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033A2">
      <w:pPr>
        <w:framePr w:w="4521" w:wrap="auto" w:vAnchor="page" w:hAnchor="page" w:x="6890" w:y="11464"/>
        <w:autoSpaceDE w:val="0"/>
        <w:autoSpaceDN w:val="0"/>
        <w:spacing w:line="319" w:lineRule="exact"/>
        <w:ind w:firstLine="840" w:firstLineChars="300"/>
        <w:rPr>
          <w:rFonts w:hint="eastAsia" w:hAnsi="Calibri" w:eastAsia="宋体"/>
          <w:color w:val="000000"/>
          <w:sz w:val="28"/>
          <w:szCs w:val="28"/>
          <w:lang w:val="en-US" w:eastAsia="zh-CN"/>
        </w:rPr>
      </w:pPr>
      <w:bookmarkStart w:id="554" w:name="_GoBack"/>
      <w:bookmarkEnd w:id="554"/>
      <w:bookmarkStart w:id="0" w:name="_Toc988889"/>
      <w:r>
        <w:rPr>
          <w:rFonts w:ascii="黑体" w:hAnsi="Calibri" w:eastAsia="宋体"/>
          <w:color w:val="54B3DC"/>
          <w:sz w:val="28"/>
          <w:szCs w:val="28"/>
        </w:rPr>
        <w:t>Semi-Annual Report 202</w:t>
      </w:r>
      <w:r>
        <w:rPr>
          <w:rFonts w:hint="eastAsia" w:ascii="黑体" w:hAnsi="Calibri" w:eastAsia="宋体"/>
          <w:color w:val="54B3DC"/>
          <w:sz w:val="28"/>
          <w:szCs w:val="28"/>
          <w:lang w:val="en-US" w:eastAsia="zh-CN"/>
        </w:rPr>
        <w:t>4</w:t>
      </w:r>
    </w:p>
    <w:p w14:paraId="36218731">
      <w:pPr>
        <w:spacing w:before="2400" w:line="773" w:lineRule="exact"/>
        <w:jc w:val="center"/>
        <w:rPr>
          <w:rFonts w:ascii="宋体" w:hAnsi="宋体" w:eastAsia="宋体" w:cs="宋体"/>
          <w:b/>
          <w:bCs/>
          <w:sz w:val="36"/>
          <w:szCs w:val="36"/>
        </w:rPr>
      </w:pPr>
    </w:p>
    <w:p w14:paraId="5EC2364D">
      <w:pPr>
        <w:framePr w:w="5839" w:wrap="auto" w:vAnchor="page" w:hAnchor="page" w:x="2956" w:y="13741"/>
        <w:autoSpaceDE w:val="0"/>
        <w:autoSpaceDN w:val="0"/>
        <w:spacing w:line="559" w:lineRule="exact"/>
        <w:rPr>
          <w:rFonts w:hAnsi="Calibri"/>
          <w:color w:val="000000"/>
          <w:sz w:val="56"/>
        </w:rPr>
      </w:pPr>
      <w:r>
        <w:rPr>
          <w:rFonts w:ascii="宋体" w:hAnsi="宋体" w:cs="宋体"/>
          <w:color w:val="54B3DC"/>
          <w:sz w:val="56"/>
        </w:rPr>
        <w:t>西藏发展股份有限公司</w:t>
      </w:r>
    </w:p>
    <w:p w14:paraId="6D12599D">
      <w:pPr>
        <w:framePr w:w="1500" w:wrap="auto" w:vAnchor="page" w:hAnchor="page" w:x="5101" w:y="14551"/>
        <w:autoSpaceDE w:val="0"/>
        <w:autoSpaceDN w:val="0"/>
        <w:spacing w:line="240" w:lineRule="exact"/>
        <w:rPr>
          <w:rFonts w:hAnsi="Calibri"/>
          <w:color w:val="000000"/>
        </w:rPr>
      </w:pPr>
      <w:r>
        <w:rPr>
          <w:rFonts w:ascii="宋体" w:hAnsi="Calibri"/>
          <w:color w:val="1E5F9B"/>
        </w:rPr>
        <w:t>202</w:t>
      </w:r>
      <w:r>
        <w:rPr>
          <w:rFonts w:hint="eastAsia" w:ascii="宋体" w:hAnsi="Calibri"/>
          <w:color w:val="1E5F9B"/>
          <w:lang w:val="en-US" w:eastAsia="zh-CN"/>
        </w:rPr>
        <w:t>4</w:t>
      </w:r>
      <w:r>
        <w:rPr>
          <w:rFonts w:hAnsi="Calibri"/>
          <w:color w:val="1E5F9B"/>
        </w:rPr>
        <w:t xml:space="preserve"> </w:t>
      </w:r>
      <w:r>
        <w:rPr>
          <w:rFonts w:ascii="宋体" w:hAnsi="宋体" w:cs="宋体"/>
          <w:color w:val="1E5F9B"/>
        </w:rPr>
        <w:t>年</w:t>
      </w:r>
      <w:r>
        <w:rPr>
          <w:rFonts w:hint="eastAsia" w:ascii="宋体" w:hAnsi="宋体" w:cs="宋体"/>
          <w:color w:val="1E5F9B"/>
        </w:rPr>
        <w:t xml:space="preserve"> </w:t>
      </w:r>
      <w:r>
        <w:rPr>
          <w:rFonts w:ascii="宋体" w:hAnsi="Calibri"/>
          <w:color w:val="1E5F9B"/>
        </w:rPr>
        <w:t xml:space="preserve">8 </w:t>
      </w:r>
      <w:r>
        <w:rPr>
          <w:rFonts w:ascii="宋体" w:hAnsi="宋体" w:cs="宋体"/>
          <w:color w:val="1E5F9B"/>
        </w:rPr>
        <w:t>月</w:t>
      </w:r>
    </w:p>
    <w:p w14:paraId="562027C2">
      <w:pPr>
        <w:spacing w:before="2400" w:line="773" w:lineRule="exact"/>
        <w:jc w:val="center"/>
        <w:rPr>
          <w:rFonts w:ascii="宋体" w:hAnsi="宋体" w:eastAsia="宋体" w:cs="宋体"/>
          <w:b/>
          <w:bCs/>
          <w:sz w:val="36"/>
          <w:szCs w:val="36"/>
        </w:rPr>
      </w:pPr>
      <w:r>
        <w:rPr>
          <w:rFonts w:ascii="宋体" w:hAnsi="宋体" w:eastAsia="宋体" w:cs="宋体"/>
          <w:b/>
          <w:bCs/>
          <w:sz w:val="36"/>
          <w:szCs w:val="36"/>
        </w:rPr>
        <w:drawing>
          <wp:anchor distT="0" distB="0" distL="114300" distR="114300" simplePos="0" relativeHeight="251659264" behindDoc="1" locked="0" layoutInCell="1" allowOverlap="1">
            <wp:simplePos x="0" y="0"/>
            <wp:positionH relativeFrom="page">
              <wp:posOffset>-337820</wp:posOffset>
            </wp:positionH>
            <wp:positionV relativeFrom="page">
              <wp:posOffset>-19050</wp:posOffset>
            </wp:positionV>
            <wp:extent cx="7919720" cy="10599420"/>
            <wp:effectExtent l="0" t="0" r="5080" b="1143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919500" cy="10599328"/>
                    </a:xfrm>
                    <a:prstGeom prst="rect">
                      <a:avLst/>
                    </a:prstGeom>
                    <a:noFill/>
                  </pic:spPr>
                </pic:pic>
              </a:graphicData>
            </a:graphic>
          </wp:anchor>
        </w:drawing>
      </w:r>
    </w:p>
    <w:p w14:paraId="7FDDB53F">
      <w:pPr>
        <w:spacing w:before="2400" w:line="773" w:lineRule="exact"/>
        <w:jc w:val="center"/>
        <w:rPr>
          <w:rFonts w:ascii="宋体" w:hAnsi="宋体" w:eastAsia="宋体" w:cs="宋体"/>
          <w:b/>
          <w:bCs/>
          <w:sz w:val="36"/>
          <w:szCs w:val="36"/>
        </w:rPr>
      </w:pPr>
    </w:p>
    <w:p w14:paraId="67480176">
      <w:pPr>
        <w:spacing w:before="2400" w:line="773" w:lineRule="exact"/>
        <w:jc w:val="center"/>
        <w:rPr>
          <w:rFonts w:ascii="宋体" w:hAnsi="宋体" w:eastAsia="宋体" w:cs="宋体"/>
          <w:b/>
          <w:bCs/>
          <w:sz w:val="36"/>
          <w:szCs w:val="36"/>
        </w:rPr>
      </w:pPr>
    </w:p>
    <w:p w14:paraId="4142E4CF">
      <w:pPr>
        <w:framePr w:w="7915" w:h="815" w:hRule="exact" w:wrap="auto" w:vAnchor="page" w:hAnchor="page" w:x="3983" w:y="12021"/>
        <w:autoSpaceDE w:val="0"/>
        <w:autoSpaceDN w:val="0"/>
        <w:spacing w:line="720" w:lineRule="exact"/>
        <w:ind w:firstLine="1440" w:firstLineChars="200"/>
        <w:rPr>
          <w:rFonts w:hAnsi="Calibri" w:eastAsia="宋体"/>
          <w:color w:val="000000"/>
          <w:sz w:val="72"/>
        </w:rPr>
      </w:pPr>
      <w:r>
        <w:rPr>
          <w:rFonts w:ascii="宋体" w:hAnsi="Calibri"/>
          <w:color w:val="1E5F9B"/>
          <w:sz w:val="72"/>
          <w:szCs w:val="72"/>
        </w:rPr>
        <w:t>202</w:t>
      </w:r>
      <w:r>
        <w:rPr>
          <w:rFonts w:hint="eastAsia" w:ascii="宋体" w:hAnsi="Calibri"/>
          <w:color w:val="1E5F9B"/>
          <w:sz w:val="72"/>
          <w:szCs w:val="72"/>
          <w:lang w:val="en-US" w:eastAsia="zh-CN"/>
        </w:rPr>
        <w:t>4</w:t>
      </w:r>
      <w:r>
        <w:rPr>
          <w:rFonts w:hint="eastAsia" w:ascii="宋体" w:hAnsi="宋体" w:eastAsia="宋体" w:cs="宋体"/>
          <w:color w:val="1E5F9B"/>
          <w:sz w:val="72"/>
          <w:szCs w:val="72"/>
        </w:rPr>
        <w:t>年半年度报告</w:t>
      </w:r>
    </w:p>
    <w:p w14:paraId="5EEECBE4">
      <w:pPr>
        <w:spacing w:before="2400" w:line="773" w:lineRule="exact"/>
        <w:jc w:val="center"/>
        <w:rPr>
          <w:rFonts w:ascii="宋体" w:hAnsi="宋体" w:eastAsia="宋体" w:cs="宋体"/>
          <w:b/>
          <w:bCs/>
          <w:sz w:val="36"/>
          <w:szCs w:val="36"/>
        </w:rPr>
      </w:pPr>
    </w:p>
    <w:p w14:paraId="0137DCF3"/>
    <w:p w14:paraId="0F803F03">
      <w:pPr>
        <w:pStyle w:val="17"/>
        <w:spacing w:before="340" w:after="330" w:line="773" w:lineRule="exact"/>
        <w:jc w:val="center"/>
        <w:rPr>
          <w:rFonts w:ascii="宋体" w:hAnsi="宋体" w:eastAsia="宋体" w:cs="宋体"/>
          <w:b/>
          <w:bCs/>
          <w:sz w:val="32"/>
          <w:szCs w:val="32"/>
        </w:rPr>
      </w:pPr>
      <w:r>
        <w:rPr>
          <w:rFonts w:ascii="宋体" w:hAnsi="宋体" w:eastAsia="宋体" w:cs="宋体"/>
          <w:b/>
          <w:bCs/>
          <w:sz w:val="32"/>
          <w:szCs w:val="32"/>
        </w:rPr>
        <w:t>第一节 重要提示、目录和释义</w:t>
      </w:r>
      <w:bookmarkEnd w:id="0"/>
    </w:p>
    <w:p w14:paraId="45FE0179">
      <w:pPr>
        <w:spacing w:before="40" w:after="40" w:line="560" w:lineRule="exact"/>
        <w:ind w:firstLine="560" w:firstLineChars="200"/>
        <w:rPr>
          <w:rFonts w:ascii="宋体" w:hAnsi="宋体" w:eastAsia="宋体" w:cs="宋体"/>
          <w:b/>
          <w:bCs/>
          <w:sz w:val="28"/>
          <w:szCs w:val="28"/>
        </w:rPr>
      </w:pPr>
      <w:r>
        <w:rPr>
          <w:rFonts w:ascii="宋体" w:hAnsi="宋体" w:eastAsia="宋体" w:cs="宋体"/>
          <w:b/>
          <w:bCs/>
          <w:sz w:val="28"/>
          <w:szCs w:val="28"/>
        </w:rPr>
        <w:t>公司董事会、监事会及董事、监事、高级管理人员保证半年度报告内容的真实、准确、完整，不存在虚假记载、误导性陈述或者重大遗漏，并承担个别和连带的法律责任。</w:t>
      </w:r>
    </w:p>
    <w:p w14:paraId="3C8B5F51">
      <w:pPr>
        <w:spacing w:line="560" w:lineRule="exact"/>
        <w:ind w:firstLine="560" w:firstLineChars="200"/>
        <w:rPr>
          <w:rFonts w:ascii="宋体" w:hAnsi="宋体" w:eastAsia="宋体" w:cs="宋体"/>
          <w:b/>
          <w:bCs/>
          <w:sz w:val="28"/>
          <w:szCs w:val="28"/>
        </w:rPr>
      </w:pPr>
      <w:r>
        <w:rPr>
          <w:rFonts w:ascii="宋体" w:hAnsi="宋体" w:eastAsia="宋体" w:cs="宋体"/>
          <w:b/>
          <w:bCs/>
          <w:sz w:val="28"/>
          <w:szCs w:val="28"/>
        </w:rPr>
        <w:t>公司负责人罗希、主管会计工作负责人唐逸及会计机构负责人(会计主管人员)陈静声明：保证本半年度报告中财务报告的真实、准确、完整。</w:t>
      </w:r>
    </w:p>
    <w:p w14:paraId="49D47088">
      <w:pPr>
        <w:spacing w:line="560" w:lineRule="exact"/>
        <w:ind w:firstLine="560" w:firstLineChars="200"/>
        <w:rPr>
          <w:rFonts w:ascii="宋体" w:hAnsi="宋体" w:eastAsia="宋体" w:cs="宋体"/>
          <w:b/>
          <w:bCs/>
          <w:sz w:val="28"/>
          <w:szCs w:val="28"/>
        </w:rPr>
      </w:pPr>
      <w:r>
        <w:rPr>
          <w:rFonts w:ascii="宋体" w:hAnsi="宋体" w:eastAsia="宋体" w:cs="宋体"/>
          <w:b/>
          <w:bCs/>
          <w:sz w:val="28"/>
          <w:szCs w:val="28"/>
        </w:rPr>
        <w:t>所有董事均已出席了审议本次半年报的董事会会议。</w:t>
      </w:r>
    </w:p>
    <w:p w14:paraId="1A7A7C8C">
      <w:pPr>
        <w:spacing w:line="560" w:lineRule="exact"/>
        <w:ind w:firstLine="560" w:firstLineChars="200"/>
        <w:rPr>
          <w:rFonts w:ascii="宋体" w:hAnsi="宋体" w:eastAsia="宋体" w:cs="宋体"/>
          <w:b/>
          <w:bCs/>
          <w:sz w:val="28"/>
          <w:szCs w:val="28"/>
        </w:rPr>
      </w:pPr>
      <w:r>
        <w:rPr>
          <w:rFonts w:hint="eastAsia" w:ascii="宋体" w:hAnsi="宋体" w:eastAsia="宋体" w:cs="宋体"/>
          <w:b/>
          <w:bCs/>
          <w:sz w:val="28"/>
          <w:szCs w:val="28"/>
        </w:rPr>
        <w:t>公司已在本报告的“第三节 管理层讨论与分析”之“十、公司面临的风险和应对措施”部分详细描述了公司可能面临的风险以及应对措施，敬请投资者阅读！本半年度报告涉及未来计划等前瞻性陈述，不构成对投资者的实质性承诺，敬请投资者注意投资风险。</w:t>
      </w:r>
    </w:p>
    <w:p w14:paraId="39B2FF76">
      <w:pPr>
        <w:keepNext w:val="0"/>
        <w:keepLines w:val="0"/>
        <w:widowControl/>
        <w:suppressLineNumbers w:val="0"/>
        <w:spacing w:line="560" w:lineRule="exact"/>
        <w:ind w:left="0" w:firstLine="560" w:firstLineChars="200"/>
        <w:rPr>
          <w:rFonts w:hint="eastAsia" w:ascii="宋体" w:hAnsi="宋体" w:eastAsia="宋体" w:cs="宋体"/>
          <w:b/>
          <w:bCs/>
          <w:sz w:val="28"/>
          <w:szCs w:val="28"/>
        </w:rPr>
      </w:pPr>
      <w:r>
        <w:rPr>
          <w:rFonts w:hint="eastAsia" w:ascii="宋体" w:hAnsi="宋体" w:eastAsia="宋体" w:cs="宋体"/>
          <w:b/>
          <w:bCs/>
          <w:sz w:val="28"/>
          <w:szCs w:val="28"/>
        </w:rPr>
        <w:t>2023年7月25日，公司收到西藏自治区拉萨市中级人民法院送达的《决定书》，经债权人申请，拉萨中院决定对公司进行预重整。</w:t>
      </w:r>
    </w:p>
    <w:p w14:paraId="4B4CBE21">
      <w:pPr>
        <w:spacing w:line="560" w:lineRule="exact"/>
        <w:ind w:firstLine="560" w:firstLineChars="200"/>
        <w:rPr>
          <w:rFonts w:ascii="宋体" w:hAnsi="宋体" w:eastAsia="宋体" w:cs="宋体"/>
          <w:b/>
          <w:bCs/>
          <w:sz w:val="28"/>
          <w:szCs w:val="28"/>
        </w:rPr>
      </w:pPr>
      <w:r>
        <w:rPr>
          <w:rFonts w:hint="eastAsia" w:ascii="宋体" w:hAnsi="宋体" w:eastAsia="宋体" w:cs="宋体"/>
          <w:b/>
          <w:bCs/>
          <w:sz w:val="28"/>
          <w:szCs w:val="28"/>
        </w:rPr>
        <w:t xml:space="preserve">公司目前处于预重整阶段，如果法院正式受理申请人对公司的重整申请且重整顺利实施完毕，将有利于改善公司的资产负债结构，推动公司回归可持续发展轨道；但即使法院正式受理重整申请，公司后续仍然存在因重整失败而被宣告破产并被实施破产清算的风险。如果公司因重整失败而被宣告破产，则根据《深圳证券交易所股票上市规则》的相关规定，公司股票将面临被终止上市的风险，敬请广大投资者理性投资，注意投资风险。 </w:t>
      </w:r>
    </w:p>
    <w:p w14:paraId="24B1A9C3">
      <w:pPr>
        <w:spacing w:line="560" w:lineRule="exact"/>
        <w:ind w:firstLine="560" w:firstLineChars="200"/>
        <w:rPr>
          <w:rFonts w:ascii="宋体" w:hAnsi="宋体" w:eastAsia="宋体" w:cs="宋体"/>
          <w:b/>
          <w:bCs/>
          <w:sz w:val="28"/>
          <w:szCs w:val="28"/>
        </w:rPr>
      </w:pPr>
      <w:r>
        <w:rPr>
          <w:rFonts w:ascii="宋体" w:hAnsi="宋体" w:eastAsia="宋体" w:cs="宋体"/>
          <w:b/>
          <w:bCs/>
          <w:sz w:val="28"/>
          <w:szCs w:val="28"/>
        </w:rPr>
        <w:t>公司计划不派发现金红利，不送红股，不以公积金转增股本。</w:t>
      </w:r>
    </w:p>
    <w:p w14:paraId="4158993A">
      <w:r>
        <w:br w:type="page"/>
      </w:r>
    </w:p>
    <w:p w14:paraId="7EFB126B">
      <w:pPr>
        <w:spacing w:line="720" w:lineRule="exact"/>
        <w:jc w:val="center"/>
        <w:rPr>
          <w:rFonts w:ascii="宋体" w:hAnsi="宋体" w:eastAsia="宋体" w:cs="宋体"/>
          <w:b/>
          <w:bCs/>
          <w:sz w:val="36"/>
          <w:szCs w:val="36"/>
        </w:rPr>
      </w:pPr>
      <w:r>
        <w:rPr>
          <w:rFonts w:ascii="宋体" w:hAnsi="宋体" w:eastAsia="宋体" w:cs="宋体"/>
          <w:b/>
          <w:bCs/>
          <w:sz w:val="36"/>
          <w:szCs w:val="36"/>
        </w:rPr>
        <w:t>目录</w:t>
      </w:r>
    </w:p>
    <w:p w14:paraId="00FE9699">
      <w:pPr>
        <w:pStyle w:val="7"/>
        <w:tabs>
          <w:tab w:val="left" w:leader="dot" w:pos="9469"/>
        </w:tabs>
      </w:pPr>
      <w:r>
        <w:fldChar w:fldCharType="begin"/>
      </w:r>
      <w:r>
        <w:instrText xml:space="preserve"> </w:instrText>
      </w:r>
      <w:r>
        <w:rPr>
          <w:rFonts w:hint="eastAsia" w:ascii="宋体" w:hAnsi="宋体" w:eastAsia="宋体"/>
        </w:rPr>
        <w:instrText xml:space="preserve">TOC \o "1-2" \h \z \u</w:instrText>
      </w:r>
      <w:r>
        <w:instrText xml:space="preserve"> </w:instrText>
      </w:r>
      <w:r>
        <w:fldChar w:fldCharType="separate"/>
      </w:r>
      <w:r>
        <w:fldChar w:fldCharType="begin"/>
      </w:r>
      <w:r>
        <w:instrText xml:space="preserve"> HYPERLINK \l "_Toc988889" </w:instrText>
      </w:r>
      <w:r>
        <w:fldChar w:fldCharType="separate"/>
      </w:r>
      <w:r>
        <w:rPr>
          <w:rFonts w:hint="eastAsia" w:ascii="宋体" w:hAnsi="宋体" w:eastAsia="宋体"/>
          <w:b/>
          <w:bCs/>
          <w:sz w:val="24"/>
        </w:rPr>
        <w:t>第一节 重要提示、目录和释义</w:t>
      </w:r>
      <w:r>
        <w:tab/>
      </w:r>
      <w:r>
        <w:fldChar w:fldCharType="begin"/>
      </w:r>
      <w:r>
        <w:instrText xml:space="preserve"> PAGEREF _Toc988889 \h </w:instrText>
      </w:r>
      <w:r>
        <w:fldChar w:fldCharType="separate"/>
      </w:r>
      <w:r>
        <w:t>1</w:t>
      </w:r>
      <w:r>
        <w:fldChar w:fldCharType="end"/>
      </w:r>
      <w:r>
        <w:fldChar w:fldCharType="end"/>
      </w:r>
    </w:p>
    <w:p w14:paraId="41E42BA5">
      <w:pPr>
        <w:pStyle w:val="7"/>
        <w:tabs>
          <w:tab w:val="left" w:leader="dot" w:pos="9469"/>
        </w:tabs>
      </w:pPr>
      <w:r>
        <w:fldChar w:fldCharType="begin"/>
      </w:r>
      <w:r>
        <w:instrText xml:space="preserve"> HYPERLINK \l "_Toc988890" </w:instrText>
      </w:r>
      <w:r>
        <w:fldChar w:fldCharType="separate"/>
      </w:r>
      <w:r>
        <w:rPr>
          <w:rFonts w:hint="eastAsia" w:ascii="宋体" w:hAnsi="宋体" w:eastAsia="宋体"/>
          <w:b/>
          <w:bCs/>
          <w:sz w:val="24"/>
        </w:rPr>
        <w:t>第二节 公司简介和主要财务指标</w:t>
      </w:r>
      <w:r>
        <w:tab/>
      </w:r>
      <w:r>
        <w:fldChar w:fldCharType="begin"/>
      </w:r>
      <w:r>
        <w:instrText xml:space="preserve"> PAGEREF _Toc988890 \h </w:instrText>
      </w:r>
      <w:r>
        <w:fldChar w:fldCharType="separate"/>
      </w:r>
      <w:r>
        <w:t>6</w:t>
      </w:r>
      <w:r>
        <w:fldChar w:fldCharType="end"/>
      </w:r>
      <w:r>
        <w:fldChar w:fldCharType="end"/>
      </w:r>
    </w:p>
    <w:p w14:paraId="696B3E65">
      <w:pPr>
        <w:pStyle w:val="7"/>
        <w:tabs>
          <w:tab w:val="left" w:leader="dot" w:pos="9469"/>
        </w:tabs>
      </w:pPr>
      <w:r>
        <w:fldChar w:fldCharType="begin"/>
      </w:r>
      <w:r>
        <w:instrText xml:space="preserve"> HYPERLINK \l "_Toc988902" </w:instrText>
      </w:r>
      <w:r>
        <w:fldChar w:fldCharType="separate"/>
      </w:r>
      <w:r>
        <w:rPr>
          <w:rFonts w:hint="eastAsia" w:ascii="宋体" w:hAnsi="宋体" w:eastAsia="宋体"/>
          <w:b/>
          <w:bCs/>
          <w:sz w:val="24"/>
        </w:rPr>
        <w:t>第三节 管理层讨论与分析</w:t>
      </w:r>
      <w:r>
        <w:tab/>
      </w:r>
      <w:r>
        <w:fldChar w:fldCharType="begin"/>
      </w:r>
      <w:r>
        <w:instrText xml:space="preserve"> PAGEREF _Toc988902 \h </w:instrText>
      </w:r>
      <w:r>
        <w:fldChar w:fldCharType="separate"/>
      </w:r>
      <w:r>
        <w:t>8</w:t>
      </w:r>
      <w:r>
        <w:fldChar w:fldCharType="end"/>
      </w:r>
      <w:r>
        <w:fldChar w:fldCharType="end"/>
      </w:r>
    </w:p>
    <w:p w14:paraId="52458BBF">
      <w:pPr>
        <w:pStyle w:val="7"/>
        <w:tabs>
          <w:tab w:val="left" w:leader="dot" w:pos="9469"/>
        </w:tabs>
      </w:pPr>
      <w:r>
        <w:fldChar w:fldCharType="begin"/>
      </w:r>
      <w:r>
        <w:instrText xml:space="preserve"> HYPERLINK \l "_Toc988927" </w:instrText>
      </w:r>
      <w:r>
        <w:fldChar w:fldCharType="separate"/>
      </w:r>
      <w:r>
        <w:rPr>
          <w:rFonts w:hint="eastAsia" w:ascii="宋体" w:hAnsi="宋体" w:eastAsia="宋体"/>
          <w:b/>
          <w:bCs/>
          <w:sz w:val="24"/>
        </w:rPr>
        <w:t>第四节 公司治理</w:t>
      </w:r>
      <w:r>
        <w:tab/>
      </w:r>
      <w:r>
        <w:fldChar w:fldCharType="begin"/>
      </w:r>
      <w:r>
        <w:instrText xml:space="preserve"> PAGEREF _Toc988927 \h </w:instrText>
      </w:r>
      <w:r>
        <w:fldChar w:fldCharType="separate"/>
      </w:r>
      <w:r>
        <w:t>16</w:t>
      </w:r>
      <w:r>
        <w:fldChar w:fldCharType="end"/>
      </w:r>
      <w:r>
        <w:fldChar w:fldCharType="end"/>
      </w:r>
    </w:p>
    <w:p w14:paraId="510EFD2C">
      <w:pPr>
        <w:pStyle w:val="7"/>
        <w:tabs>
          <w:tab w:val="left" w:leader="dot" w:pos="9469"/>
        </w:tabs>
      </w:pPr>
      <w:r>
        <w:fldChar w:fldCharType="begin"/>
      </w:r>
      <w:r>
        <w:instrText xml:space="preserve"> HYPERLINK \l "_Toc988934" </w:instrText>
      </w:r>
      <w:r>
        <w:fldChar w:fldCharType="separate"/>
      </w:r>
      <w:r>
        <w:rPr>
          <w:rFonts w:hint="eastAsia" w:ascii="宋体" w:hAnsi="宋体" w:eastAsia="宋体"/>
          <w:b/>
          <w:bCs/>
          <w:sz w:val="24"/>
        </w:rPr>
        <w:t>第五节 环境和社会责任</w:t>
      </w:r>
      <w:r>
        <w:tab/>
      </w:r>
      <w:r>
        <w:fldChar w:fldCharType="begin"/>
      </w:r>
      <w:r>
        <w:instrText xml:space="preserve"> PAGEREF _Toc988934 \h </w:instrText>
      </w:r>
      <w:r>
        <w:fldChar w:fldCharType="separate"/>
      </w:r>
      <w:r>
        <w:t>17</w:t>
      </w:r>
      <w:r>
        <w:fldChar w:fldCharType="end"/>
      </w:r>
      <w:r>
        <w:fldChar w:fldCharType="end"/>
      </w:r>
    </w:p>
    <w:p w14:paraId="47135235">
      <w:pPr>
        <w:pStyle w:val="7"/>
        <w:tabs>
          <w:tab w:val="left" w:leader="dot" w:pos="9469"/>
        </w:tabs>
      </w:pPr>
      <w:r>
        <w:fldChar w:fldCharType="begin"/>
      </w:r>
      <w:r>
        <w:instrText xml:space="preserve"> HYPERLINK \l "_Toc988937" </w:instrText>
      </w:r>
      <w:r>
        <w:fldChar w:fldCharType="separate"/>
      </w:r>
      <w:r>
        <w:rPr>
          <w:rFonts w:hint="eastAsia" w:ascii="宋体" w:hAnsi="宋体" w:eastAsia="宋体"/>
          <w:b/>
          <w:bCs/>
          <w:sz w:val="24"/>
        </w:rPr>
        <w:t>第六节 重要事项</w:t>
      </w:r>
      <w:r>
        <w:tab/>
      </w:r>
      <w:r>
        <w:fldChar w:fldCharType="begin"/>
      </w:r>
      <w:r>
        <w:instrText xml:space="preserve"> PAGEREF _Toc988937 \h </w:instrText>
      </w:r>
      <w:r>
        <w:fldChar w:fldCharType="separate"/>
      </w:r>
      <w:r>
        <w:t>19</w:t>
      </w:r>
      <w:r>
        <w:fldChar w:fldCharType="end"/>
      </w:r>
      <w:r>
        <w:fldChar w:fldCharType="end"/>
      </w:r>
    </w:p>
    <w:p w14:paraId="4B459132">
      <w:pPr>
        <w:pStyle w:val="7"/>
        <w:tabs>
          <w:tab w:val="left" w:leader="dot" w:pos="9469"/>
        </w:tabs>
      </w:pPr>
      <w:r>
        <w:fldChar w:fldCharType="begin"/>
      </w:r>
      <w:r>
        <w:instrText xml:space="preserve"> HYPERLINK \l "_Toc988966" </w:instrText>
      </w:r>
      <w:r>
        <w:fldChar w:fldCharType="separate"/>
      </w:r>
      <w:r>
        <w:rPr>
          <w:rFonts w:hint="eastAsia" w:ascii="宋体" w:hAnsi="宋体" w:eastAsia="宋体"/>
          <w:b/>
          <w:bCs/>
          <w:sz w:val="24"/>
        </w:rPr>
        <w:t>第七节 股份变动及股东情况</w:t>
      </w:r>
      <w:r>
        <w:tab/>
      </w:r>
      <w:r>
        <w:fldChar w:fldCharType="begin"/>
      </w:r>
      <w:r>
        <w:instrText xml:space="preserve"> PAGEREF _Toc988966 \h </w:instrText>
      </w:r>
      <w:r>
        <w:fldChar w:fldCharType="separate"/>
      </w:r>
      <w:r>
        <w:t>37</w:t>
      </w:r>
      <w:r>
        <w:fldChar w:fldCharType="end"/>
      </w:r>
      <w:r>
        <w:fldChar w:fldCharType="end"/>
      </w:r>
    </w:p>
    <w:p w14:paraId="46E0121E">
      <w:pPr>
        <w:pStyle w:val="7"/>
        <w:tabs>
          <w:tab w:val="left" w:leader="dot" w:pos="9469"/>
        </w:tabs>
      </w:pPr>
      <w:r>
        <w:fldChar w:fldCharType="begin"/>
      </w:r>
      <w:r>
        <w:instrText xml:space="preserve"> HYPERLINK \l "_Toc988974" </w:instrText>
      </w:r>
      <w:r>
        <w:fldChar w:fldCharType="separate"/>
      </w:r>
      <w:r>
        <w:rPr>
          <w:rFonts w:hint="eastAsia" w:ascii="宋体" w:hAnsi="宋体" w:eastAsia="宋体"/>
          <w:b/>
          <w:bCs/>
          <w:sz w:val="24"/>
        </w:rPr>
        <w:t>第八节 优先股相关情况</w:t>
      </w:r>
      <w:r>
        <w:tab/>
      </w:r>
      <w:r>
        <w:fldChar w:fldCharType="begin"/>
      </w:r>
      <w:r>
        <w:instrText xml:space="preserve"> PAGEREF _Toc988974 \h </w:instrText>
      </w:r>
      <w:r>
        <w:fldChar w:fldCharType="separate"/>
      </w:r>
      <w:r>
        <w:t>41</w:t>
      </w:r>
      <w:r>
        <w:fldChar w:fldCharType="end"/>
      </w:r>
      <w:r>
        <w:fldChar w:fldCharType="end"/>
      </w:r>
    </w:p>
    <w:p w14:paraId="1D23D268">
      <w:pPr>
        <w:pStyle w:val="7"/>
        <w:tabs>
          <w:tab w:val="left" w:leader="dot" w:pos="9469"/>
        </w:tabs>
      </w:pPr>
      <w:r>
        <w:fldChar w:fldCharType="begin"/>
      </w:r>
      <w:r>
        <w:instrText xml:space="preserve"> HYPERLINK \l "_Toc988975" </w:instrText>
      </w:r>
      <w:r>
        <w:fldChar w:fldCharType="separate"/>
      </w:r>
      <w:r>
        <w:rPr>
          <w:rFonts w:hint="eastAsia" w:ascii="宋体" w:hAnsi="宋体" w:eastAsia="宋体"/>
          <w:b/>
          <w:bCs/>
          <w:sz w:val="24"/>
        </w:rPr>
        <w:t>第九节 债券相关情况</w:t>
      </w:r>
      <w:r>
        <w:tab/>
      </w:r>
      <w:r>
        <w:fldChar w:fldCharType="begin"/>
      </w:r>
      <w:r>
        <w:instrText xml:space="preserve"> PAGEREF _Toc988975 \h </w:instrText>
      </w:r>
      <w:r>
        <w:fldChar w:fldCharType="separate"/>
      </w:r>
      <w:r>
        <w:t>42</w:t>
      </w:r>
      <w:r>
        <w:fldChar w:fldCharType="end"/>
      </w:r>
      <w:r>
        <w:fldChar w:fldCharType="end"/>
      </w:r>
    </w:p>
    <w:p w14:paraId="024B9A87">
      <w:pPr>
        <w:pStyle w:val="7"/>
        <w:tabs>
          <w:tab w:val="left" w:leader="dot" w:pos="9469"/>
        </w:tabs>
      </w:pPr>
      <w:r>
        <w:fldChar w:fldCharType="begin"/>
      </w:r>
      <w:r>
        <w:instrText xml:space="preserve"> HYPERLINK \l "_Toc988976" </w:instrText>
      </w:r>
      <w:r>
        <w:fldChar w:fldCharType="separate"/>
      </w:r>
      <w:r>
        <w:rPr>
          <w:rFonts w:hint="eastAsia" w:ascii="宋体" w:hAnsi="宋体" w:eastAsia="宋体"/>
          <w:b/>
          <w:bCs/>
          <w:sz w:val="24"/>
        </w:rPr>
        <w:t>第十节 财务报告</w:t>
      </w:r>
      <w:r>
        <w:tab/>
      </w:r>
      <w:r>
        <w:fldChar w:fldCharType="begin"/>
      </w:r>
      <w:r>
        <w:instrText xml:space="preserve"> PAGEREF _Toc988976 \h </w:instrText>
      </w:r>
      <w:r>
        <w:fldChar w:fldCharType="separate"/>
      </w:r>
      <w:r>
        <w:t>43</w:t>
      </w:r>
      <w:r>
        <w:fldChar w:fldCharType="end"/>
      </w:r>
      <w:r>
        <w:fldChar w:fldCharType="end"/>
      </w:r>
      <w:r>
        <w:fldChar w:fldCharType="end"/>
      </w:r>
    </w:p>
    <w:p w14:paraId="2973F01B">
      <w:r>
        <w:br w:type="page"/>
      </w:r>
    </w:p>
    <w:p w14:paraId="5FCF0517">
      <w:pPr>
        <w:spacing w:line="640" w:lineRule="exact"/>
        <w:jc w:val="center"/>
        <w:rPr>
          <w:rFonts w:ascii="宋体" w:hAnsi="宋体" w:eastAsia="宋体" w:cs="宋体"/>
          <w:b/>
          <w:bCs/>
          <w:sz w:val="32"/>
          <w:szCs w:val="32"/>
        </w:rPr>
      </w:pPr>
      <w:r>
        <w:rPr>
          <w:rFonts w:ascii="宋体" w:hAnsi="宋体" w:eastAsia="宋体" w:cs="宋体"/>
          <w:b/>
          <w:bCs/>
          <w:sz w:val="32"/>
          <w:szCs w:val="32"/>
        </w:rPr>
        <w:t>备查文件目录</w:t>
      </w:r>
    </w:p>
    <w:p w14:paraId="24032690">
      <w:pPr>
        <w:pStyle w:val="9"/>
        <w:spacing w:before="0" w:beforeAutospacing="0" w:after="0" w:afterAutospacing="0" w:line="560" w:lineRule="atLeast"/>
        <w:rPr>
          <w:sz w:val="18"/>
          <w:szCs w:val="18"/>
        </w:rPr>
      </w:pPr>
      <w:r>
        <w:rPr>
          <w:rFonts w:hint="eastAsia"/>
          <w:sz w:val="18"/>
          <w:szCs w:val="18"/>
        </w:rPr>
        <w:t>一、载有公司负责人、主管会计工作负责人、会计机构负责人（会计主管人员）签名并盖章的财务报表。</w:t>
      </w:r>
    </w:p>
    <w:p w14:paraId="27EB28AC">
      <w:pPr>
        <w:pStyle w:val="9"/>
        <w:spacing w:before="0" w:beforeAutospacing="0" w:after="0" w:afterAutospacing="0" w:line="560" w:lineRule="atLeast"/>
        <w:rPr>
          <w:sz w:val="18"/>
          <w:szCs w:val="18"/>
        </w:rPr>
      </w:pPr>
      <w:r>
        <w:rPr>
          <w:rFonts w:hint="eastAsia"/>
          <w:sz w:val="18"/>
          <w:szCs w:val="18"/>
        </w:rPr>
        <w:t>二、报告期内在《中国证券报》《证券时报》《上海证券报》《证券日报》《经济参考报》上公开披露过的所有文件正本及公告的原稿。</w:t>
      </w:r>
    </w:p>
    <w:p w14:paraId="03841778">
      <w:r>
        <w:br w:type="page"/>
      </w:r>
    </w:p>
    <w:p w14:paraId="7D8506EB">
      <w:pPr>
        <w:spacing w:before="40" w:after="40" w:line="640" w:lineRule="exact"/>
        <w:jc w:val="center"/>
        <w:rPr>
          <w:rFonts w:ascii="宋体" w:hAnsi="宋体" w:eastAsia="宋体" w:cs="宋体"/>
          <w:b/>
          <w:bCs/>
          <w:sz w:val="32"/>
          <w:szCs w:val="32"/>
        </w:rPr>
      </w:pPr>
      <w:r>
        <w:rPr>
          <w:rFonts w:ascii="宋体" w:hAnsi="宋体" w:eastAsia="宋体" w:cs="宋体"/>
          <w:b/>
          <w:bCs/>
          <w:sz w:val="32"/>
          <w:szCs w:val="32"/>
        </w:rPr>
        <w:t>释义</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319"/>
        <w:gridCol w:w="1000"/>
        <w:gridCol w:w="4320"/>
      </w:tblGrid>
      <w:tr w14:paraId="05DE4FC5">
        <w:trPr>
          <w:trHeight w:val="240" w:hRule="atLeast"/>
        </w:trPr>
        <w:tc>
          <w:tcPr>
            <w:tcW w:w="4320" w:type="dxa"/>
            <w:tcBorders>
              <w:top w:val="single" w:color="auto" w:sz="2" w:space="0"/>
              <w:left w:val="single" w:color="auto" w:sz="2" w:space="0"/>
              <w:bottom w:val="single" w:color="auto" w:sz="2" w:space="0"/>
              <w:right w:val="single" w:color="auto" w:sz="2" w:space="0"/>
            </w:tcBorders>
            <w:shd w:val="clear" w:color="auto" w:fill="D3D3D3"/>
            <w:vAlign w:val="center"/>
          </w:tcPr>
          <w:p w14:paraId="73676BA4">
            <w:pPr>
              <w:spacing w:before="40" w:after="40" w:line="240" w:lineRule="exact"/>
              <w:jc w:val="center"/>
              <w:rPr>
                <w:rFonts w:ascii="宋体" w:hAnsi="宋体" w:eastAsia="宋体" w:cs="宋体"/>
                <w:sz w:val="18"/>
                <w:szCs w:val="18"/>
              </w:rPr>
            </w:pPr>
            <w:r>
              <w:rPr>
                <w:rFonts w:ascii="宋体" w:hAnsi="宋体" w:eastAsia="宋体" w:cs="宋体"/>
                <w:sz w:val="18"/>
                <w:szCs w:val="18"/>
              </w:rPr>
              <w:t>释义项</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61995F99">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shd w:val="clear" w:color="auto" w:fill="D3D3D3"/>
            <w:vAlign w:val="center"/>
          </w:tcPr>
          <w:p w14:paraId="53F55582">
            <w:pPr>
              <w:spacing w:before="40" w:after="40" w:line="240" w:lineRule="exact"/>
              <w:jc w:val="center"/>
              <w:rPr>
                <w:rFonts w:ascii="宋体" w:hAnsi="宋体" w:eastAsia="宋体" w:cs="宋体"/>
                <w:sz w:val="18"/>
                <w:szCs w:val="18"/>
              </w:rPr>
            </w:pPr>
            <w:r>
              <w:rPr>
                <w:rFonts w:ascii="宋体" w:hAnsi="宋体" w:eastAsia="宋体" w:cs="宋体"/>
                <w:sz w:val="18"/>
                <w:szCs w:val="18"/>
              </w:rPr>
              <w:t>释义内容</w:t>
            </w:r>
          </w:p>
        </w:tc>
      </w:tr>
      <w:tr w14:paraId="169FD938">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3CA6EF7D">
            <w:pPr>
              <w:spacing w:line="240" w:lineRule="exact"/>
              <w:rPr>
                <w:rFonts w:ascii="宋体" w:hAnsi="宋体" w:eastAsia="宋体" w:cs="宋体"/>
                <w:sz w:val="18"/>
                <w:szCs w:val="18"/>
              </w:rPr>
            </w:pPr>
            <w:r>
              <w:rPr>
                <w:rFonts w:ascii="宋体" w:hAnsi="宋体" w:eastAsia="宋体" w:cs="宋体"/>
                <w:sz w:val="18"/>
                <w:szCs w:val="18"/>
              </w:rPr>
              <w:t>深交所</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6B3E6DB7">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5504077B">
            <w:pPr>
              <w:spacing w:line="240" w:lineRule="exact"/>
              <w:rPr>
                <w:rFonts w:ascii="宋体" w:hAnsi="宋体" w:eastAsia="宋体" w:cs="宋体"/>
                <w:sz w:val="18"/>
                <w:szCs w:val="18"/>
              </w:rPr>
            </w:pPr>
            <w:r>
              <w:rPr>
                <w:rFonts w:ascii="宋体" w:hAnsi="宋体" w:eastAsia="宋体" w:cs="宋体"/>
                <w:sz w:val="18"/>
                <w:szCs w:val="18"/>
              </w:rPr>
              <w:t>深圳证券交易所</w:t>
            </w:r>
          </w:p>
        </w:tc>
      </w:tr>
      <w:tr w14:paraId="226AD924">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0D5D0387">
            <w:pPr>
              <w:spacing w:line="240" w:lineRule="exact"/>
              <w:rPr>
                <w:rFonts w:ascii="宋体" w:hAnsi="宋体" w:eastAsia="宋体" w:cs="宋体"/>
                <w:sz w:val="18"/>
                <w:szCs w:val="18"/>
              </w:rPr>
            </w:pPr>
            <w:r>
              <w:rPr>
                <w:rFonts w:ascii="宋体" w:hAnsi="宋体" w:eastAsia="宋体" w:cs="宋体"/>
                <w:sz w:val="18"/>
                <w:szCs w:val="18"/>
              </w:rPr>
              <w:t>本公司、公司、西藏发展</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445CFEC6">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3EA6DCA1">
            <w:pPr>
              <w:spacing w:line="240" w:lineRule="exact"/>
              <w:rPr>
                <w:rFonts w:ascii="宋体" w:hAnsi="宋体" w:eastAsia="宋体" w:cs="宋体"/>
                <w:sz w:val="18"/>
                <w:szCs w:val="18"/>
              </w:rPr>
            </w:pPr>
            <w:r>
              <w:rPr>
                <w:rFonts w:ascii="宋体" w:hAnsi="宋体" w:eastAsia="宋体" w:cs="宋体"/>
                <w:sz w:val="18"/>
                <w:szCs w:val="18"/>
              </w:rPr>
              <w:t>西藏发展股份有限公司</w:t>
            </w:r>
          </w:p>
        </w:tc>
      </w:tr>
      <w:tr w14:paraId="0234F448">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78190CF2">
            <w:pPr>
              <w:spacing w:line="240" w:lineRule="exact"/>
              <w:rPr>
                <w:rFonts w:ascii="宋体" w:hAnsi="宋体" w:eastAsia="宋体" w:cs="宋体"/>
                <w:sz w:val="18"/>
                <w:szCs w:val="18"/>
              </w:rPr>
            </w:pPr>
            <w:r>
              <w:rPr>
                <w:rFonts w:ascii="宋体" w:hAnsi="宋体" w:eastAsia="宋体" w:cs="宋体"/>
                <w:sz w:val="18"/>
                <w:szCs w:val="18"/>
              </w:rPr>
              <w:t>报告期</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74129C11">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08FA37A2">
            <w:pPr>
              <w:spacing w:line="240" w:lineRule="exact"/>
              <w:rPr>
                <w:rFonts w:ascii="宋体" w:hAnsi="宋体" w:eastAsia="宋体" w:cs="宋体"/>
                <w:sz w:val="18"/>
                <w:szCs w:val="18"/>
              </w:rPr>
            </w:pPr>
            <w:r>
              <w:rPr>
                <w:rFonts w:ascii="宋体" w:hAnsi="宋体" w:eastAsia="宋体" w:cs="宋体"/>
                <w:sz w:val="18"/>
                <w:szCs w:val="18"/>
              </w:rPr>
              <w:t>2024年01月01日至2024年06月30日</w:t>
            </w:r>
          </w:p>
        </w:tc>
      </w:tr>
      <w:tr w14:paraId="176C1569">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448C2B00">
            <w:pPr>
              <w:spacing w:line="240" w:lineRule="exact"/>
              <w:rPr>
                <w:rFonts w:ascii="宋体" w:hAnsi="宋体" w:eastAsia="宋体" w:cs="宋体"/>
                <w:sz w:val="18"/>
                <w:szCs w:val="18"/>
              </w:rPr>
            </w:pPr>
            <w:r>
              <w:rPr>
                <w:rFonts w:ascii="宋体" w:hAnsi="宋体" w:eastAsia="宋体" w:cs="宋体"/>
                <w:sz w:val="18"/>
                <w:szCs w:val="18"/>
              </w:rPr>
              <w:t>年审事务所</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505A655C">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36EF5A68">
            <w:pPr>
              <w:spacing w:line="240" w:lineRule="exact"/>
              <w:rPr>
                <w:rFonts w:ascii="宋体" w:hAnsi="宋体" w:eastAsia="宋体" w:cs="宋体"/>
                <w:sz w:val="18"/>
                <w:szCs w:val="18"/>
              </w:rPr>
            </w:pPr>
            <w:r>
              <w:rPr>
                <w:rFonts w:ascii="宋体" w:hAnsi="宋体" w:eastAsia="宋体" w:cs="宋体"/>
                <w:sz w:val="18"/>
                <w:szCs w:val="18"/>
              </w:rPr>
              <w:t>中兴财光华会计师事务所（特殊普通合伙）</w:t>
            </w:r>
          </w:p>
        </w:tc>
      </w:tr>
      <w:tr w14:paraId="7419995B">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287E1784">
            <w:pPr>
              <w:spacing w:line="240" w:lineRule="exact"/>
              <w:rPr>
                <w:rFonts w:ascii="宋体" w:hAnsi="宋体" w:eastAsia="宋体" w:cs="宋体"/>
                <w:sz w:val="18"/>
                <w:szCs w:val="18"/>
              </w:rPr>
            </w:pPr>
            <w:r>
              <w:rPr>
                <w:rFonts w:ascii="宋体" w:hAnsi="宋体" w:eastAsia="宋体" w:cs="宋体"/>
                <w:sz w:val="18"/>
                <w:szCs w:val="18"/>
              </w:rPr>
              <w:t>元、万元、亿元</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0858E98A">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56040AA7">
            <w:pPr>
              <w:spacing w:line="240" w:lineRule="exact"/>
              <w:rPr>
                <w:rFonts w:ascii="宋体" w:hAnsi="宋体" w:eastAsia="宋体" w:cs="宋体"/>
                <w:sz w:val="18"/>
                <w:szCs w:val="18"/>
              </w:rPr>
            </w:pPr>
            <w:r>
              <w:rPr>
                <w:rFonts w:ascii="宋体" w:hAnsi="宋体" w:eastAsia="宋体" w:cs="宋体"/>
                <w:sz w:val="18"/>
                <w:szCs w:val="18"/>
              </w:rPr>
              <w:t>人民币元、人民币万元、人民币亿元</w:t>
            </w:r>
          </w:p>
        </w:tc>
      </w:tr>
      <w:tr w14:paraId="41D12A44">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151D3F75">
            <w:pPr>
              <w:spacing w:line="240" w:lineRule="exact"/>
              <w:rPr>
                <w:rFonts w:ascii="宋体" w:hAnsi="宋体" w:eastAsia="宋体" w:cs="宋体"/>
                <w:sz w:val="18"/>
                <w:szCs w:val="18"/>
              </w:rPr>
            </w:pPr>
            <w:r>
              <w:rPr>
                <w:rFonts w:ascii="宋体" w:hAnsi="宋体" w:eastAsia="宋体" w:cs="宋体"/>
                <w:sz w:val="18"/>
                <w:szCs w:val="18"/>
              </w:rPr>
              <w:t>拉萨啤酒</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1E1827AC">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1FB6C5DB">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r>
      <w:tr w14:paraId="172810AD">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104F4607">
            <w:pPr>
              <w:spacing w:line="240" w:lineRule="exact"/>
              <w:rPr>
                <w:rFonts w:ascii="宋体" w:hAnsi="宋体" w:eastAsia="宋体" w:cs="宋体"/>
                <w:sz w:val="18"/>
                <w:szCs w:val="18"/>
              </w:rPr>
            </w:pPr>
            <w:r>
              <w:rPr>
                <w:rFonts w:ascii="宋体" w:hAnsi="宋体" w:eastAsia="宋体" w:cs="宋体"/>
                <w:sz w:val="18"/>
                <w:szCs w:val="18"/>
              </w:rPr>
              <w:t>银河商贸</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4C3E2D6B">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08614887">
            <w:pPr>
              <w:spacing w:line="240" w:lineRule="exact"/>
              <w:rPr>
                <w:rFonts w:ascii="宋体" w:hAnsi="宋体" w:eastAsia="宋体" w:cs="宋体"/>
                <w:sz w:val="18"/>
                <w:szCs w:val="18"/>
              </w:rPr>
            </w:pPr>
            <w:r>
              <w:rPr>
                <w:rFonts w:ascii="宋体" w:hAnsi="宋体" w:eastAsia="宋体" w:cs="宋体"/>
                <w:sz w:val="18"/>
                <w:szCs w:val="18"/>
              </w:rPr>
              <w:t>西藏银河商贸有限公司</w:t>
            </w:r>
          </w:p>
        </w:tc>
      </w:tr>
      <w:tr w14:paraId="2F3F755F">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77148813">
            <w:pPr>
              <w:spacing w:line="240" w:lineRule="exact"/>
              <w:rPr>
                <w:rFonts w:ascii="宋体" w:hAnsi="宋体" w:eastAsia="宋体" w:cs="宋体"/>
                <w:sz w:val="18"/>
                <w:szCs w:val="18"/>
              </w:rPr>
            </w:pPr>
            <w:r>
              <w:rPr>
                <w:rFonts w:ascii="宋体" w:hAnsi="宋体" w:eastAsia="宋体" w:cs="宋体"/>
                <w:sz w:val="18"/>
                <w:szCs w:val="18"/>
              </w:rPr>
              <w:t>藏红花</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69B528D3">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65EC2474">
            <w:pPr>
              <w:spacing w:line="240" w:lineRule="exact"/>
              <w:rPr>
                <w:rFonts w:ascii="宋体" w:hAnsi="宋体" w:eastAsia="宋体" w:cs="宋体"/>
                <w:sz w:val="18"/>
                <w:szCs w:val="18"/>
              </w:rPr>
            </w:pPr>
            <w:r>
              <w:rPr>
                <w:rFonts w:ascii="宋体" w:hAnsi="宋体" w:eastAsia="宋体" w:cs="宋体"/>
                <w:sz w:val="18"/>
                <w:szCs w:val="18"/>
              </w:rPr>
              <w:t>西藏藏红花生物科技开发有限公司</w:t>
            </w:r>
          </w:p>
        </w:tc>
      </w:tr>
      <w:tr w14:paraId="1C9664BF">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30868153">
            <w:pPr>
              <w:spacing w:line="240" w:lineRule="exact"/>
              <w:rPr>
                <w:rFonts w:ascii="宋体" w:hAnsi="宋体" w:eastAsia="宋体" w:cs="宋体"/>
                <w:sz w:val="18"/>
                <w:szCs w:val="18"/>
              </w:rPr>
            </w:pPr>
            <w:r>
              <w:rPr>
                <w:rFonts w:ascii="宋体" w:hAnsi="宋体" w:eastAsia="宋体" w:cs="宋体"/>
                <w:sz w:val="18"/>
                <w:szCs w:val="18"/>
              </w:rPr>
              <w:t>恒生科技</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331C0F64">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568738AF">
            <w:pPr>
              <w:spacing w:line="240" w:lineRule="exact"/>
              <w:rPr>
                <w:rFonts w:ascii="宋体" w:hAnsi="宋体" w:eastAsia="宋体" w:cs="宋体"/>
                <w:sz w:val="18"/>
                <w:szCs w:val="18"/>
              </w:rPr>
            </w:pPr>
            <w:r>
              <w:rPr>
                <w:rFonts w:ascii="宋体" w:hAnsi="宋体" w:eastAsia="宋体" w:cs="宋体"/>
                <w:sz w:val="18"/>
                <w:szCs w:val="18"/>
              </w:rPr>
              <w:t>四川恒生科技发展有限公司</w:t>
            </w:r>
          </w:p>
        </w:tc>
      </w:tr>
      <w:tr w14:paraId="40AEC666">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50A3BEB0">
            <w:pPr>
              <w:spacing w:line="240" w:lineRule="exact"/>
              <w:rPr>
                <w:rFonts w:ascii="宋体" w:hAnsi="宋体" w:eastAsia="宋体" w:cs="宋体"/>
                <w:sz w:val="18"/>
                <w:szCs w:val="18"/>
              </w:rPr>
            </w:pPr>
            <w:r>
              <w:rPr>
                <w:rFonts w:ascii="宋体" w:hAnsi="宋体" w:eastAsia="宋体" w:cs="宋体"/>
                <w:sz w:val="18"/>
                <w:szCs w:val="18"/>
              </w:rPr>
              <w:t>力创基金</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34D754D5">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43DE42A0">
            <w:pPr>
              <w:spacing w:line="240" w:lineRule="exact"/>
              <w:rPr>
                <w:rFonts w:ascii="宋体" w:hAnsi="宋体" w:eastAsia="宋体" w:cs="宋体"/>
                <w:sz w:val="18"/>
                <w:szCs w:val="18"/>
              </w:rPr>
            </w:pPr>
            <w:r>
              <w:rPr>
                <w:rFonts w:ascii="宋体" w:hAnsi="宋体" w:eastAsia="宋体" w:cs="宋体"/>
                <w:sz w:val="18"/>
                <w:szCs w:val="18"/>
              </w:rPr>
              <w:t>苏州华信善达力创投资企业（有限合伙）</w:t>
            </w:r>
          </w:p>
        </w:tc>
      </w:tr>
      <w:tr w14:paraId="08D3DE16">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0BFDFB78">
            <w:pPr>
              <w:spacing w:line="240" w:lineRule="exact"/>
              <w:rPr>
                <w:rFonts w:ascii="宋体" w:hAnsi="宋体" w:eastAsia="宋体" w:cs="宋体"/>
                <w:sz w:val="18"/>
                <w:szCs w:val="18"/>
              </w:rPr>
            </w:pPr>
            <w:r>
              <w:rPr>
                <w:rFonts w:ascii="宋体" w:hAnsi="宋体" w:eastAsia="宋体" w:cs="宋体"/>
                <w:sz w:val="18"/>
                <w:szCs w:val="18"/>
              </w:rPr>
              <w:t>中诚善达</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29A4D7DA">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33F994F2">
            <w:pPr>
              <w:spacing w:line="240" w:lineRule="exact"/>
              <w:rPr>
                <w:rFonts w:ascii="宋体" w:hAnsi="宋体" w:eastAsia="宋体" w:cs="宋体"/>
                <w:sz w:val="18"/>
                <w:szCs w:val="18"/>
              </w:rPr>
            </w:pPr>
            <w:r>
              <w:rPr>
                <w:rFonts w:ascii="宋体" w:hAnsi="宋体" w:eastAsia="宋体" w:cs="宋体"/>
                <w:sz w:val="18"/>
                <w:szCs w:val="18"/>
              </w:rPr>
              <w:t>中诚善达（苏州）资产管理有限公司</w:t>
            </w:r>
          </w:p>
        </w:tc>
      </w:tr>
      <w:tr w14:paraId="00FB0B30">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42FBA11F">
            <w:pPr>
              <w:spacing w:line="240" w:lineRule="exact"/>
              <w:rPr>
                <w:rFonts w:ascii="宋体" w:hAnsi="宋体" w:eastAsia="宋体" w:cs="宋体"/>
                <w:sz w:val="18"/>
                <w:szCs w:val="18"/>
              </w:rPr>
            </w:pPr>
            <w:r>
              <w:rPr>
                <w:rFonts w:ascii="宋体" w:hAnsi="宋体" w:eastAsia="宋体" w:cs="宋体"/>
                <w:sz w:val="18"/>
                <w:szCs w:val="18"/>
              </w:rPr>
              <w:t>浙江至中</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4A6105C4">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07271270">
            <w:pPr>
              <w:spacing w:line="240" w:lineRule="exact"/>
              <w:rPr>
                <w:rFonts w:ascii="宋体" w:hAnsi="宋体" w:eastAsia="宋体" w:cs="宋体"/>
                <w:sz w:val="18"/>
                <w:szCs w:val="18"/>
              </w:rPr>
            </w:pPr>
            <w:r>
              <w:rPr>
                <w:rFonts w:ascii="宋体" w:hAnsi="宋体" w:eastAsia="宋体" w:cs="宋体"/>
                <w:sz w:val="18"/>
                <w:szCs w:val="18"/>
              </w:rPr>
              <w:t>浙江至中实业有限公司</w:t>
            </w:r>
          </w:p>
        </w:tc>
      </w:tr>
      <w:tr w14:paraId="74CF66EB">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39E8E244">
            <w:pPr>
              <w:spacing w:line="240" w:lineRule="exact"/>
              <w:rPr>
                <w:rFonts w:ascii="宋体" w:hAnsi="宋体" w:eastAsia="宋体" w:cs="宋体"/>
                <w:sz w:val="18"/>
                <w:szCs w:val="18"/>
              </w:rPr>
            </w:pPr>
            <w:r>
              <w:rPr>
                <w:rFonts w:ascii="宋体" w:hAnsi="宋体" w:eastAsia="宋体" w:cs="宋体"/>
                <w:sz w:val="18"/>
                <w:szCs w:val="18"/>
              </w:rPr>
              <w:t>天易隆兴</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363D1C87">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617C3378">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r>
      <w:tr w14:paraId="15B209C3">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53AC4DE4">
            <w:pPr>
              <w:spacing w:line="240" w:lineRule="exact"/>
              <w:rPr>
                <w:rFonts w:ascii="宋体" w:hAnsi="宋体" w:eastAsia="宋体" w:cs="宋体"/>
                <w:sz w:val="18"/>
                <w:szCs w:val="18"/>
              </w:rPr>
            </w:pPr>
            <w:r>
              <w:rPr>
                <w:rFonts w:ascii="宋体" w:hAnsi="宋体" w:eastAsia="宋体" w:cs="宋体"/>
                <w:sz w:val="18"/>
                <w:szCs w:val="18"/>
              </w:rPr>
              <w:t>西藏盛邦</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1434FBDF">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4FAF5DE5">
            <w:pPr>
              <w:spacing w:line="240" w:lineRule="exact"/>
              <w:rPr>
                <w:rFonts w:ascii="宋体" w:hAnsi="宋体" w:eastAsia="宋体" w:cs="宋体"/>
                <w:sz w:val="18"/>
                <w:szCs w:val="18"/>
              </w:rPr>
            </w:pPr>
            <w:r>
              <w:rPr>
                <w:rFonts w:ascii="宋体" w:hAnsi="宋体" w:eastAsia="宋体" w:cs="宋体"/>
                <w:sz w:val="18"/>
                <w:szCs w:val="18"/>
              </w:rPr>
              <w:t>西藏盛邦控股有限公司</w:t>
            </w:r>
          </w:p>
        </w:tc>
      </w:tr>
      <w:tr w14:paraId="36FFBA3D">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6A2D4312">
            <w:pPr>
              <w:spacing w:line="240" w:lineRule="exact"/>
              <w:rPr>
                <w:rFonts w:ascii="宋体" w:hAnsi="宋体" w:eastAsia="宋体" w:cs="宋体"/>
                <w:sz w:val="18"/>
                <w:szCs w:val="18"/>
              </w:rPr>
            </w:pPr>
            <w:r>
              <w:rPr>
                <w:rFonts w:ascii="宋体" w:hAnsi="宋体" w:eastAsia="宋体" w:cs="宋体"/>
                <w:sz w:val="18"/>
                <w:szCs w:val="18"/>
              </w:rPr>
              <w:t>芜湖华融</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65730372">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08581A90">
            <w:pPr>
              <w:spacing w:line="240" w:lineRule="exact"/>
              <w:rPr>
                <w:rFonts w:ascii="宋体" w:hAnsi="宋体" w:eastAsia="宋体" w:cs="宋体"/>
                <w:sz w:val="18"/>
                <w:szCs w:val="18"/>
              </w:rPr>
            </w:pPr>
            <w:r>
              <w:rPr>
                <w:rFonts w:ascii="宋体" w:hAnsi="宋体" w:eastAsia="宋体" w:cs="宋体"/>
                <w:sz w:val="18"/>
                <w:szCs w:val="18"/>
              </w:rPr>
              <w:t>芜湖华融渝展投资中心（有限合伙）</w:t>
            </w:r>
          </w:p>
        </w:tc>
      </w:tr>
      <w:tr w14:paraId="20E04EFA">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0B988B48">
            <w:pPr>
              <w:spacing w:line="240" w:lineRule="exact"/>
              <w:rPr>
                <w:rFonts w:ascii="宋体" w:hAnsi="宋体" w:eastAsia="宋体" w:cs="宋体"/>
                <w:sz w:val="18"/>
                <w:szCs w:val="18"/>
              </w:rPr>
            </w:pPr>
            <w:r>
              <w:rPr>
                <w:rFonts w:ascii="宋体" w:hAnsi="宋体" w:eastAsia="宋体" w:cs="宋体"/>
                <w:sz w:val="18"/>
                <w:szCs w:val="18"/>
              </w:rPr>
              <w:t>盛邦发展</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762409D1">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5F998DC3">
            <w:pPr>
              <w:spacing w:line="240" w:lineRule="exact"/>
              <w:rPr>
                <w:rFonts w:ascii="宋体" w:hAnsi="宋体" w:eastAsia="宋体" w:cs="宋体"/>
                <w:sz w:val="18"/>
                <w:szCs w:val="18"/>
              </w:rPr>
            </w:pPr>
            <w:r>
              <w:rPr>
                <w:rFonts w:ascii="宋体" w:hAnsi="宋体" w:eastAsia="宋体" w:cs="宋体"/>
                <w:sz w:val="18"/>
                <w:szCs w:val="18"/>
              </w:rPr>
              <w:t>西藏盛邦发展有限公司</w:t>
            </w:r>
          </w:p>
        </w:tc>
      </w:tr>
      <w:tr w14:paraId="764A1DFC">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58429E31">
            <w:pPr>
              <w:spacing w:line="240" w:lineRule="exact"/>
              <w:rPr>
                <w:rFonts w:ascii="宋体" w:hAnsi="宋体" w:eastAsia="宋体" w:cs="宋体"/>
                <w:sz w:val="18"/>
                <w:szCs w:val="18"/>
              </w:rPr>
            </w:pPr>
            <w:r>
              <w:rPr>
                <w:rFonts w:ascii="宋体" w:hAnsi="宋体" w:eastAsia="宋体" w:cs="宋体"/>
                <w:sz w:val="18"/>
                <w:szCs w:val="18"/>
              </w:rPr>
              <w:t>嘉士伯、嘉士伯公司</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0EBBA1AF">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4F366EEB">
            <w:pPr>
              <w:spacing w:line="240" w:lineRule="exact"/>
              <w:rPr>
                <w:rFonts w:ascii="宋体" w:hAnsi="宋体" w:eastAsia="宋体" w:cs="宋体"/>
                <w:sz w:val="18"/>
                <w:szCs w:val="18"/>
              </w:rPr>
            </w:pPr>
            <w:r>
              <w:rPr>
                <w:rFonts w:ascii="宋体" w:hAnsi="宋体" w:eastAsia="宋体" w:cs="宋体"/>
                <w:sz w:val="18"/>
                <w:szCs w:val="18"/>
              </w:rPr>
              <w:t>Carlsberg InternationalA／S（嘉士伯国际有限公司）</w:t>
            </w:r>
          </w:p>
        </w:tc>
      </w:tr>
      <w:tr w14:paraId="48F77FBD">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146D4CFA">
            <w:pPr>
              <w:spacing w:line="240" w:lineRule="exact"/>
              <w:rPr>
                <w:rFonts w:ascii="宋体" w:hAnsi="宋体" w:eastAsia="宋体" w:cs="宋体"/>
                <w:sz w:val="18"/>
                <w:szCs w:val="18"/>
              </w:rPr>
            </w:pPr>
            <w:r>
              <w:rPr>
                <w:rFonts w:ascii="宋体" w:hAnsi="宋体" w:eastAsia="宋体" w:cs="宋体"/>
                <w:sz w:val="18"/>
                <w:szCs w:val="18"/>
              </w:rPr>
              <w:t>道合公司</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402ED32F">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5F688D09">
            <w:pPr>
              <w:spacing w:line="240" w:lineRule="exact"/>
              <w:rPr>
                <w:rFonts w:ascii="宋体" w:hAnsi="宋体" w:eastAsia="宋体" w:cs="宋体"/>
                <w:sz w:val="18"/>
                <w:szCs w:val="18"/>
              </w:rPr>
            </w:pPr>
            <w:r>
              <w:rPr>
                <w:rFonts w:ascii="宋体" w:hAnsi="宋体" w:eastAsia="宋体" w:cs="宋体"/>
                <w:sz w:val="18"/>
                <w:szCs w:val="18"/>
              </w:rPr>
              <w:t>西藏道合实业有限公司</w:t>
            </w:r>
          </w:p>
        </w:tc>
      </w:tr>
      <w:tr w14:paraId="38EF403C">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59EC5DF6">
            <w:pPr>
              <w:spacing w:line="240" w:lineRule="exact"/>
              <w:rPr>
                <w:rFonts w:ascii="宋体" w:hAnsi="宋体" w:eastAsia="宋体" w:cs="宋体"/>
                <w:sz w:val="18"/>
                <w:szCs w:val="18"/>
              </w:rPr>
            </w:pPr>
            <w:r>
              <w:rPr>
                <w:rFonts w:ascii="宋体" w:hAnsi="宋体" w:eastAsia="宋体" w:cs="宋体"/>
                <w:sz w:val="18"/>
                <w:szCs w:val="18"/>
              </w:rPr>
              <w:t>金脉青枫</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5BDD7A36">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5AA64D45">
            <w:pPr>
              <w:spacing w:line="240" w:lineRule="exact"/>
              <w:rPr>
                <w:rFonts w:ascii="宋体" w:hAnsi="宋体" w:eastAsia="宋体" w:cs="宋体"/>
                <w:sz w:val="18"/>
                <w:szCs w:val="18"/>
              </w:rPr>
            </w:pPr>
            <w:r>
              <w:rPr>
                <w:rFonts w:ascii="宋体" w:hAnsi="宋体" w:eastAsia="宋体" w:cs="宋体"/>
                <w:sz w:val="18"/>
                <w:szCs w:val="18"/>
              </w:rPr>
              <w:t>深圳市金脉青枫投资管理有限公司</w:t>
            </w:r>
          </w:p>
        </w:tc>
      </w:tr>
      <w:tr w14:paraId="7DAC9110">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4D80146A">
            <w:pPr>
              <w:spacing w:line="240" w:lineRule="exact"/>
              <w:rPr>
                <w:rFonts w:ascii="宋体" w:hAnsi="宋体" w:eastAsia="宋体" w:cs="宋体"/>
                <w:sz w:val="18"/>
                <w:szCs w:val="18"/>
              </w:rPr>
            </w:pPr>
            <w:r>
              <w:rPr>
                <w:rFonts w:ascii="宋体" w:hAnsi="宋体" w:eastAsia="宋体" w:cs="宋体"/>
                <w:sz w:val="18"/>
                <w:szCs w:val="18"/>
              </w:rPr>
              <w:t>西藏源耀</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459BFF73">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0CA3A98F">
            <w:pPr>
              <w:spacing w:line="240" w:lineRule="exact"/>
              <w:rPr>
                <w:rFonts w:ascii="宋体" w:hAnsi="宋体" w:eastAsia="宋体" w:cs="宋体"/>
                <w:sz w:val="18"/>
                <w:szCs w:val="18"/>
              </w:rPr>
            </w:pPr>
            <w:r>
              <w:rPr>
                <w:rFonts w:ascii="宋体" w:hAnsi="宋体" w:eastAsia="宋体" w:cs="宋体"/>
                <w:sz w:val="18"/>
                <w:szCs w:val="18"/>
              </w:rPr>
              <w:t>西藏源耀环保科技有限公司</w:t>
            </w:r>
          </w:p>
        </w:tc>
      </w:tr>
      <w:tr w14:paraId="0D9B5F3D">
        <w:trPr>
          <w:trHeight w:val="240" w:hRule="atLeast"/>
        </w:trPr>
        <w:tc>
          <w:tcPr>
            <w:tcW w:w="4320" w:type="dxa"/>
            <w:tcBorders>
              <w:top w:val="single" w:color="auto" w:sz="2" w:space="0"/>
              <w:left w:val="single" w:color="auto" w:sz="2" w:space="0"/>
              <w:bottom w:val="single" w:color="auto" w:sz="2" w:space="0"/>
              <w:right w:val="single" w:color="auto" w:sz="2" w:space="0"/>
            </w:tcBorders>
            <w:vAlign w:val="center"/>
          </w:tcPr>
          <w:p w14:paraId="604602E7">
            <w:pPr>
              <w:spacing w:line="240" w:lineRule="exact"/>
              <w:rPr>
                <w:rFonts w:ascii="宋体" w:hAnsi="宋体" w:eastAsia="宋体" w:cs="宋体"/>
                <w:sz w:val="18"/>
                <w:szCs w:val="18"/>
              </w:rPr>
            </w:pPr>
            <w:r>
              <w:rPr>
                <w:rFonts w:ascii="宋体" w:hAnsi="宋体" w:eastAsia="宋体" w:cs="宋体"/>
                <w:sz w:val="18"/>
                <w:szCs w:val="18"/>
              </w:rPr>
              <w:t>达州百益</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78EA4DE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4320" w:type="dxa"/>
            <w:tcBorders>
              <w:top w:val="single" w:color="auto" w:sz="2" w:space="0"/>
              <w:left w:val="single" w:color="auto" w:sz="2" w:space="0"/>
              <w:bottom w:val="single" w:color="auto" w:sz="2" w:space="0"/>
              <w:right w:val="single" w:color="auto" w:sz="2" w:space="0"/>
            </w:tcBorders>
            <w:vAlign w:val="center"/>
          </w:tcPr>
          <w:p w14:paraId="4FBC8085">
            <w:pPr>
              <w:spacing w:line="240" w:lineRule="exact"/>
              <w:rPr>
                <w:rFonts w:ascii="宋体" w:hAnsi="宋体" w:eastAsia="宋体" w:cs="宋体"/>
                <w:sz w:val="18"/>
                <w:szCs w:val="18"/>
              </w:rPr>
            </w:pPr>
            <w:r>
              <w:rPr>
                <w:rFonts w:ascii="宋体" w:hAnsi="宋体" w:eastAsia="宋体" w:cs="宋体"/>
                <w:sz w:val="18"/>
                <w:szCs w:val="18"/>
              </w:rPr>
              <w:t>达州百益企业管理有限公司</w:t>
            </w:r>
          </w:p>
        </w:tc>
      </w:tr>
    </w:tbl>
    <w:p w14:paraId="1CA15060">
      <w:r>
        <w:br w:type="page"/>
      </w:r>
    </w:p>
    <w:p w14:paraId="7395229A">
      <w:pPr>
        <w:pStyle w:val="17"/>
        <w:spacing w:before="340" w:after="330" w:line="773" w:lineRule="exact"/>
        <w:jc w:val="center"/>
        <w:rPr>
          <w:rFonts w:ascii="宋体" w:hAnsi="宋体" w:eastAsia="宋体" w:cs="宋体"/>
          <w:b/>
          <w:bCs/>
          <w:sz w:val="32"/>
          <w:szCs w:val="32"/>
        </w:rPr>
      </w:pPr>
      <w:bookmarkStart w:id="1" w:name="_Toc988890"/>
      <w:r>
        <w:rPr>
          <w:rFonts w:ascii="宋体" w:hAnsi="宋体" w:eastAsia="宋体" w:cs="宋体"/>
          <w:b/>
          <w:bCs/>
          <w:sz w:val="32"/>
          <w:szCs w:val="32"/>
        </w:rPr>
        <w:t>第二节 公司简介和主要财务指标</w:t>
      </w:r>
      <w:bookmarkEnd w:id="1"/>
    </w:p>
    <w:p w14:paraId="3B5D62D6">
      <w:pPr>
        <w:pStyle w:val="2"/>
        <w:spacing w:before="300" w:after="300" w:line="320" w:lineRule="exact"/>
        <w:rPr>
          <w:rFonts w:ascii="宋体" w:hAnsi="宋体" w:eastAsia="宋体" w:cs="宋体"/>
          <w:b/>
          <w:bCs/>
          <w:sz w:val="24"/>
          <w:szCs w:val="24"/>
        </w:rPr>
      </w:pPr>
      <w:bookmarkStart w:id="2" w:name="_Toc988891"/>
      <w:r>
        <w:rPr>
          <w:rFonts w:ascii="宋体" w:hAnsi="宋体" w:eastAsia="宋体" w:cs="宋体"/>
          <w:b/>
          <w:bCs/>
          <w:sz w:val="24"/>
          <w:szCs w:val="24"/>
        </w:rPr>
        <w:t>一、公司简介</w:t>
      </w:r>
      <w:bookmarkEnd w:id="2"/>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F415F50">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8A56D02">
            <w:pPr>
              <w:spacing w:before="40" w:after="40" w:line="240" w:lineRule="exact"/>
              <w:rPr>
                <w:rFonts w:ascii="宋体" w:hAnsi="宋体" w:eastAsia="宋体" w:cs="宋体"/>
                <w:sz w:val="18"/>
                <w:szCs w:val="18"/>
              </w:rPr>
            </w:pPr>
            <w:r>
              <w:rPr>
                <w:rFonts w:ascii="宋体" w:hAnsi="宋体" w:eastAsia="宋体" w:cs="宋体"/>
                <w:sz w:val="18"/>
                <w:szCs w:val="18"/>
              </w:rPr>
              <w:t>股票简称</w:t>
            </w:r>
          </w:p>
        </w:tc>
        <w:tc>
          <w:tcPr>
            <w:tcW w:w="2410" w:type="dxa"/>
            <w:tcBorders>
              <w:top w:val="single" w:color="auto" w:sz="2" w:space="0"/>
              <w:left w:val="single" w:color="auto" w:sz="2" w:space="0"/>
              <w:bottom w:val="single" w:color="auto" w:sz="2" w:space="0"/>
              <w:right w:val="single" w:color="auto" w:sz="2" w:space="0"/>
            </w:tcBorders>
            <w:vAlign w:val="center"/>
          </w:tcPr>
          <w:p w14:paraId="4D53A138">
            <w:pPr>
              <w:spacing w:line="240" w:lineRule="exact"/>
              <w:rPr>
                <w:rFonts w:ascii="宋体" w:hAnsi="宋体" w:eastAsia="宋体" w:cs="宋体"/>
                <w:sz w:val="18"/>
                <w:szCs w:val="18"/>
              </w:rPr>
            </w:pPr>
            <w:r>
              <w:rPr>
                <w:rFonts w:ascii="宋体" w:hAnsi="宋体" w:eastAsia="宋体" w:cs="宋体"/>
                <w:sz w:val="18"/>
                <w:szCs w:val="18"/>
              </w:rPr>
              <w:t>ST西发</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5CC3BA">
            <w:pPr>
              <w:spacing w:before="40" w:after="40" w:line="240" w:lineRule="exact"/>
              <w:rPr>
                <w:rFonts w:ascii="宋体" w:hAnsi="宋体" w:eastAsia="宋体" w:cs="宋体"/>
                <w:sz w:val="18"/>
                <w:szCs w:val="18"/>
              </w:rPr>
            </w:pPr>
            <w:r>
              <w:rPr>
                <w:rFonts w:ascii="宋体" w:hAnsi="宋体" w:eastAsia="宋体" w:cs="宋体"/>
                <w:sz w:val="18"/>
                <w:szCs w:val="18"/>
              </w:rPr>
              <w:t>股票代码</w:t>
            </w:r>
          </w:p>
        </w:tc>
        <w:tc>
          <w:tcPr>
            <w:tcW w:w="2410" w:type="dxa"/>
            <w:tcBorders>
              <w:top w:val="single" w:color="auto" w:sz="2" w:space="0"/>
              <w:left w:val="single" w:color="auto" w:sz="2" w:space="0"/>
              <w:bottom w:val="single" w:color="auto" w:sz="2" w:space="0"/>
              <w:right w:val="single" w:color="auto" w:sz="2" w:space="0"/>
            </w:tcBorders>
            <w:vAlign w:val="center"/>
          </w:tcPr>
          <w:p w14:paraId="2DCD7D01">
            <w:pPr>
              <w:spacing w:line="240" w:lineRule="exact"/>
              <w:rPr>
                <w:rFonts w:ascii="宋体" w:hAnsi="宋体" w:eastAsia="宋体" w:cs="宋体"/>
                <w:sz w:val="18"/>
                <w:szCs w:val="18"/>
              </w:rPr>
            </w:pPr>
            <w:r>
              <w:rPr>
                <w:rFonts w:ascii="宋体" w:hAnsi="宋体" w:eastAsia="宋体" w:cs="宋体"/>
                <w:sz w:val="18"/>
                <w:szCs w:val="18"/>
              </w:rPr>
              <w:t>000752</w:t>
            </w:r>
          </w:p>
        </w:tc>
      </w:tr>
      <w:tr w14:paraId="1F278EDA">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9F252A2">
            <w:pPr>
              <w:spacing w:before="40" w:after="40" w:line="240" w:lineRule="exact"/>
              <w:rPr>
                <w:rFonts w:ascii="宋体" w:hAnsi="宋体" w:eastAsia="宋体" w:cs="宋体"/>
                <w:sz w:val="18"/>
                <w:szCs w:val="18"/>
              </w:rPr>
            </w:pPr>
            <w:r>
              <w:rPr>
                <w:rFonts w:ascii="宋体" w:hAnsi="宋体" w:eastAsia="宋体" w:cs="宋体"/>
                <w:sz w:val="18"/>
                <w:szCs w:val="18"/>
              </w:rPr>
              <w:t>股票上市证券交易所</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7058F122">
            <w:pPr>
              <w:spacing w:line="240" w:lineRule="exact"/>
              <w:rPr>
                <w:rFonts w:ascii="宋体" w:hAnsi="宋体" w:eastAsia="宋体" w:cs="宋体"/>
                <w:sz w:val="18"/>
                <w:szCs w:val="18"/>
              </w:rPr>
            </w:pPr>
            <w:r>
              <w:rPr>
                <w:rFonts w:ascii="宋体" w:hAnsi="宋体" w:eastAsia="宋体" w:cs="宋体"/>
                <w:sz w:val="18"/>
                <w:szCs w:val="18"/>
              </w:rPr>
              <w:t>深圳证券交易所</w:t>
            </w:r>
          </w:p>
        </w:tc>
      </w:tr>
      <w:tr w14:paraId="200179F0">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BA01171">
            <w:pPr>
              <w:spacing w:before="40" w:after="40" w:line="240" w:lineRule="exact"/>
              <w:rPr>
                <w:rFonts w:ascii="宋体" w:hAnsi="宋体" w:eastAsia="宋体" w:cs="宋体"/>
                <w:sz w:val="18"/>
                <w:szCs w:val="18"/>
              </w:rPr>
            </w:pPr>
            <w:r>
              <w:rPr>
                <w:rFonts w:ascii="宋体" w:hAnsi="宋体" w:eastAsia="宋体" w:cs="宋体"/>
                <w:sz w:val="18"/>
                <w:szCs w:val="18"/>
              </w:rPr>
              <w:t>公司的中文名称</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56CA0A7E">
            <w:pPr>
              <w:spacing w:line="240" w:lineRule="exact"/>
              <w:rPr>
                <w:rFonts w:ascii="宋体" w:hAnsi="宋体" w:eastAsia="宋体" w:cs="宋体"/>
                <w:sz w:val="18"/>
                <w:szCs w:val="18"/>
              </w:rPr>
            </w:pPr>
            <w:r>
              <w:rPr>
                <w:rFonts w:ascii="宋体" w:hAnsi="宋体" w:eastAsia="宋体" w:cs="宋体"/>
                <w:sz w:val="18"/>
                <w:szCs w:val="18"/>
              </w:rPr>
              <w:t>西藏发展股份有限公司</w:t>
            </w:r>
          </w:p>
        </w:tc>
      </w:tr>
      <w:tr w14:paraId="6A6C2463">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3AFB0D2">
            <w:pPr>
              <w:spacing w:before="40" w:after="40" w:line="240" w:lineRule="exact"/>
              <w:rPr>
                <w:rFonts w:ascii="宋体" w:hAnsi="宋体" w:eastAsia="宋体" w:cs="宋体"/>
                <w:sz w:val="18"/>
                <w:szCs w:val="18"/>
              </w:rPr>
            </w:pPr>
            <w:r>
              <w:rPr>
                <w:rFonts w:ascii="宋体" w:hAnsi="宋体" w:eastAsia="宋体" w:cs="宋体"/>
                <w:sz w:val="18"/>
                <w:szCs w:val="18"/>
              </w:rPr>
              <w:t>公司的中文简称（如有）</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361F50D1">
            <w:pPr>
              <w:spacing w:line="240" w:lineRule="exact"/>
              <w:rPr>
                <w:rFonts w:ascii="宋体" w:hAnsi="宋体" w:eastAsia="宋体" w:cs="宋体"/>
                <w:sz w:val="18"/>
                <w:szCs w:val="18"/>
              </w:rPr>
            </w:pPr>
            <w:r>
              <w:rPr>
                <w:rFonts w:ascii="宋体" w:hAnsi="宋体" w:eastAsia="宋体" w:cs="宋体"/>
                <w:sz w:val="18"/>
                <w:szCs w:val="18"/>
              </w:rPr>
              <w:t>西藏发展</w:t>
            </w:r>
          </w:p>
        </w:tc>
      </w:tr>
      <w:tr w14:paraId="6685C72A">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1BCC839">
            <w:pPr>
              <w:spacing w:before="40" w:after="40" w:line="240" w:lineRule="exact"/>
              <w:rPr>
                <w:rFonts w:ascii="宋体" w:hAnsi="宋体" w:eastAsia="宋体" w:cs="宋体"/>
                <w:sz w:val="18"/>
                <w:szCs w:val="18"/>
              </w:rPr>
            </w:pPr>
            <w:r>
              <w:rPr>
                <w:rFonts w:ascii="宋体" w:hAnsi="宋体" w:eastAsia="宋体" w:cs="宋体"/>
                <w:sz w:val="18"/>
                <w:szCs w:val="18"/>
              </w:rPr>
              <w:t>公司的外文名称（如有）</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525A1FE0">
            <w:pPr>
              <w:spacing w:line="240" w:lineRule="exact"/>
              <w:rPr>
                <w:rFonts w:ascii="宋体" w:hAnsi="宋体" w:eastAsia="宋体" w:cs="宋体"/>
                <w:sz w:val="18"/>
                <w:szCs w:val="18"/>
              </w:rPr>
            </w:pPr>
            <w:r>
              <w:rPr>
                <w:rFonts w:ascii="宋体" w:hAnsi="宋体" w:eastAsia="宋体" w:cs="宋体"/>
                <w:sz w:val="18"/>
                <w:szCs w:val="18"/>
              </w:rPr>
              <w:t>TIBET DEVELOPMENT CO., LTD</w:t>
            </w:r>
          </w:p>
        </w:tc>
      </w:tr>
      <w:tr w14:paraId="3C7DEE32">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5367A96">
            <w:pPr>
              <w:spacing w:before="40" w:after="40" w:line="240" w:lineRule="exact"/>
              <w:rPr>
                <w:rFonts w:ascii="宋体" w:hAnsi="宋体" w:eastAsia="宋体" w:cs="宋体"/>
                <w:sz w:val="18"/>
                <w:szCs w:val="18"/>
              </w:rPr>
            </w:pPr>
            <w:r>
              <w:rPr>
                <w:rFonts w:ascii="宋体" w:hAnsi="宋体" w:eastAsia="宋体" w:cs="宋体"/>
                <w:sz w:val="18"/>
                <w:szCs w:val="18"/>
              </w:rPr>
              <w:t>公司的外文名称缩写（如有）</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0609AEA7">
            <w:pPr>
              <w:spacing w:line="240" w:lineRule="exact"/>
              <w:rPr>
                <w:rFonts w:ascii="宋体" w:hAnsi="宋体" w:eastAsia="宋体" w:cs="宋体"/>
                <w:sz w:val="18"/>
                <w:szCs w:val="18"/>
              </w:rPr>
            </w:pPr>
            <w:r>
              <w:rPr>
                <w:rFonts w:ascii="宋体" w:hAnsi="宋体" w:eastAsia="宋体" w:cs="宋体"/>
                <w:sz w:val="18"/>
                <w:szCs w:val="18"/>
              </w:rPr>
              <w:t>TIBET DEVELOPMENT</w:t>
            </w:r>
          </w:p>
        </w:tc>
      </w:tr>
      <w:tr w14:paraId="3CFEAF0D">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627D07A">
            <w:pPr>
              <w:spacing w:before="40" w:after="40" w:line="240" w:lineRule="exact"/>
              <w:rPr>
                <w:rFonts w:ascii="宋体" w:hAnsi="宋体" w:eastAsia="宋体" w:cs="宋体"/>
                <w:sz w:val="18"/>
                <w:szCs w:val="18"/>
              </w:rPr>
            </w:pPr>
            <w:r>
              <w:rPr>
                <w:rFonts w:ascii="宋体" w:hAnsi="宋体" w:eastAsia="宋体" w:cs="宋体"/>
                <w:sz w:val="18"/>
                <w:szCs w:val="18"/>
              </w:rPr>
              <w:t>公司的法定代表人</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0075A9C6">
            <w:pPr>
              <w:spacing w:line="240" w:lineRule="exact"/>
              <w:rPr>
                <w:rFonts w:ascii="宋体" w:hAnsi="宋体" w:eastAsia="宋体" w:cs="宋体"/>
                <w:sz w:val="18"/>
                <w:szCs w:val="18"/>
              </w:rPr>
            </w:pPr>
            <w:r>
              <w:rPr>
                <w:rFonts w:ascii="宋体" w:hAnsi="宋体" w:eastAsia="宋体" w:cs="宋体"/>
                <w:sz w:val="18"/>
                <w:szCs w:val="18"/>
              </w:rPr>
              <w:t>罗希</w:t>
            </w:r>
          </w:p>
        </w:tc>
      </w:tr>
    </w:tbl>
    <w:p w14:paraId="118E6051">
      <w:pPr>
        <w:pStyle w:val="2"/>
        <w:spacing w:before="300" w:after="300" w:line="320" w:lineRule="exact"/>
        <w:rPr>
          <w:rFonts w:ascii="宋体" w:hAnsi="宋体" w:eastAsia="宋体" w:cs="宋体"/>
          <w:b/>
          <w:bCs/>
          <w:sz w:val="24"/>
          <w:szCs w:val="24"/>
        </w:rPr>
      </w:pPr>
      <w:bookmarkStart w:id="3" w:name="_Toc988892"/>
      <w:r>
        <w:rPr>
          <w:rFonts w:ascii="宋体" w:hAnsi="宋体" w:eastAsia="宋体" w:cs="宋体"/>
          <w:b/>
          <w:bCs/>
          <w:sz w:val="24"/>
          <w:szCs w:val="24"/>
        </w:rPr>
        <w:t>二、联系人和联系方式</w:t>
      </w:r>
      <w:bookmarkEnd w:id="3"/>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2E79BF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11B328"/>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12D40F">
            <w:pPr>
              <w:spacing w:before="40" w:after="40" w:line="240" w:lineRule="exact"/>
              <w:jc w:val="center"/>
              <w:rPr>
                <w:rFonts w:ascii="宋体" w:hAnsi="宋体" w:eastAsia="宋体" w:cs="宋体"/>
                <w:sz w:val="18"/>
                <w:szCs w:val="18"/>
              </w:rPr>
            </w:pPr>
            <w:r>
              <w:rPr>
                <w:rFonts w:ascii="宋体" w:hAnsi="宋体" w:eastAsia="宋体" w:cs="宋体"/>
                <w:sz w:val="18"/>
                <w:szCs w:val="18"/>
              </w:rPr>
              <w:t>董事会秘书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5E04B5">
            <w:pPr>
              <w:spacing w:before="40" w:after="40" w:line="240" w:lineRule="exact"/>
              <w:jc w:val="center"/>
              <w:rPr>
                <w:rFonts w:ascii="宋体" w:hAnsi="宋体" w:eastAsia="宋体" w:cs="宋体"/>
                <w:sz w:val="18"/>
                <w:szCs w:val="18"/>
              </w:rPr>
            </w:pPr>
            <w:r>
              <w:rPr>
                <w:rFonts w:ascii="宋体" w:hAnsi="宋体" w:eastAsia="宋体" w:cs="宋体"/>
                <w:sz w:val="18"/>
                <w:szCs w:val="18"/>
              </w:rPr>
              <w:t>证券事务代表</w:t>
            </w:r>
          </w:p>
        </w:tc>
      </w:tr>
      <w:tr w14:paraId="18E4115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5781FC">
            <w:pPr>
              <w:spacing w:before="40" w:after="40" w:line="240" w:lineRule="exact"/>
              <w:rPr>
                <w:rFonts w:ascii="宋体" w:hAnsi="宋体" w:eastAsia="宋体" w:cs="宋体"/>
                <w:sz w:val="18"/>
                <w:szCs w:val="18"/>
              </w:rPr>
            </w:pPr>
            <w:r>
              <w:rPr>
                <w:rFonts w:ascii="宋体" w:hAnsi="宋体" w:eastAsia="宋体" w:cs="宋体"/>
                <w:sz w:val="18"/>
                <w:szCs w:val="18"/>
              </w:rPr>
              <w:t>姓名</w:t>
            </w:r>
          </w:p>
        </w:tc>
        <w:tc>
          <w:tcPr>
            <w:tcW w:w="3213" w:type="dxa"/>
            <w:tcBorders>
              <w:top w:val="single" w:color="auto" w:sz="2" w:space="0"/>
              <w:left w:val="single" w:color="auto" w:sz="2" w:space="0"/>
              <w:bottom w:val="single" w:color="auto" w:sz="2" w:space="0"/>
              <w:right w:val="single" w:color="auto" w:sz="2" w:space="0"/>
            </w:tcBorders>
            <w:vAlign w:val="center"/>
          </w:tcPr>
          <w:p w14:paraId="0A229B48">
            <w:pPr>
              <w:spacing w:line="240" w:lineRule="exact"/>
              <w:rPr>
                <w:rFonts w:ascii="宋体" w:hAnsi="宋体" w:eastAsia="宋体" w:cs="宋体"/>
                <w:sz w:val="18"/>
                <w:szCs w:val="18"/>
              </w:rPr>
            </w:pPr>
            <w:r>
              <w:rPr>
                <w:rFonts w:ascii="宋体" w:hAnsi="宋体" w:eastAsia="宋体" w:cs="宋体"/>
                <w:sz w:val="18"/>
                <w:szCs w:val="18"/>
              </w:rPr>
              <w:t>宋晓玲</w:t>
            </w:r>
          </w:p>
        </w:tc>
        <w:tc>
          <w:tcPr>
            <w:tcW w:w="3213" w:type="dxa"/>
            <w:tcBorders>
              <w:top w:val="single" w:color="auto" w:sz="2" w:space="0"/>
              <w:left w:val="single" w:color="auto" w:sz="2" w:space="0"/>
              <w:bottom w:val="single" w:color="auto" w:sz="2" w:space="0"/>
              <w:right w:val="single" w:color="auto" w:sz="2" w:space="0"/>
            </w:tcBorders>
            <w:vAlign w:val="center"/>
          </w:tcPr>
          <w:p w14:paraId="6CABE103">
            <w:pPr>
              <w:spacing w:line="240" w:lineRule="exact"/>
              <w:rPr>
                <w:rFonts w:ascii="宋体" w:hAnsi="宋体" w:eastAsia="宋体" w:cs="宋体"/>
                <w:sz w:val="18"/>
                <w:szCs w:val="18"/>
              </w:rPr>
            </w:pPr>
            <w:r>
              <w:rPr>
                <w:rFonts w:ascii="宋体" w:hAnsi="宋体" w:eastAsia="宋体" w:cs="宋体"/>
                <w:sz w:val="18"/>
                <w:szCs w:val="18"/>
              </w:rPr>
              <w:t>吴秋</w:t>
            </w:r>
          </w:p>
        </w:tc>
      </w:tr>
      <w:tr w14:paraId="4E0B218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7A547C">
            <w:pPr>
              <w:spacing w:before="40" w:after="40" w:line="240" w:lineRule="exact"/>
              <w:rPr>
                <w:rFonts w:ascii="宋体" w:hAnsi="宋体" w:eastAsia="宋体" w:cs="宋体"/>
                <w:sz w:val="18"/>
                <w:szCs w:val="18"/>
              </w:rPr>
            </w:pPr>
            <w:r>
              <w:rPr>
                <w:rFonts w:ascii="宋体" w:hAnsi="宋体" w:eastAsia="宋体" w:cs="宋体"/>
                <w:sz w:val="18"/>
                <w:szCs w:val="18"/>
              </w:rPr>
              <w:t>联系地址</w:t>
            </w:r>
          </w:p>
        </w:tc>
        <w:tc>
          <w:tcPr>
            <w:tcW w:w="3213" w:type="dxa"/>
            <w:tcBorders>
              <w:top w:val="single" w:color="auto" w:sz="2" w:space="0"/>
              <w:left w:val="single" w:color="auto" w:sz="2" w:space="0"/>
              <w:bottom w:val="single" w:color="auto" w:sz="2" w:space="0"/>
              <w:right w:val="single" w:color="auto" w:sz="2" w:space="0"/>
            </w:tcBorders>
            <w:vAlign w:val="center"/>
          </w:tcPr>
          <w:p w14:paraId="7007C1A8">
            <w:pPr>
              <w:spacing w:line="240" w:lineRule="exact"/>
              <w:rPr>
                <w:rFonts w:ascii="宋体" w:hAnsi="宋体" w:eastAsia="宋体" w:cs="宋体"/>
                <w:sz w:val="18"/>
                <w:szCs w:val="18"/>
              </w:rPr>
            </w:pPr>
            <w:r>
              <w:rPr>
                <w:rFonts w:ascii="宋体" w:hAnsi="宋体" w:eastAsia="宋体" w:cs="宋体"/>
                <w:sz w:val="18"/>
                <w:szCs w:val="18"/>
              </w:rPr>
              <w:t>成都市高新区天府大道北段966号4号楼西藏发展董事会办公室</w:t>
            </w:r>
          </w:p>
        </w:tc>
        <w:tc>
          <w:tcPr>
            <w:tcW w:w="3213" w:type="dxa"/>
            <w:tcBorders>
              <w:top w:val="single" w:color="auto" w:sz="2" w:space="0"/>
              <w:left w:val="single" w:color="auto" w:sz="2" w:space="0"/>
              <w:bottom w:val="single" w:color="auto" w:sz="2" w:space="0"/>
              <w:right w:val="single" w:color="auto" w:sz="2" w:space="0"/>
            </w:tcBorders>
            <w:vAlign w:val="center"/>
          </w:tcPr>
          <w:p w14:paraId="749D351A">
            <w:pPr>
              <w:spacing w:line="240" w:lineRule="exact"/>
              <w:rPr>
                <w:rFonts w:ascii="宋体" w:hAnsi="宋体" w:eastAsia="宋体" w:cs="宋体"/>
                <w:sz w:val="18"/>
                <w:szCs w:val="18"/>
              </w:rPr>
            </w:pPr>
            <w:r>
              <w:rPr>
                <w:rFonts w:ascii="宋体" w:hAnsi="宋体" w:eastAsia="宋体" w:cs="宋体"/>
                <w:sz w:val="18"/>
                <w:szCs w:val="18"/>
              </w:rPr>
              <w:t>成都市高新区天府大道北段966号4号楼西藏发展董事会办公室</w:t>
            </w:r>
          </w:p>
        </w:tc>
      </w:tr>
      <w:tr w14:paraId="4C4EC15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1308D9">
            <w:pPr>
              <w:spacing w:before="40" w:after="40" w:line="240" w:lineRule="exact"/>
              <w:rPr>
                <w:rFonts w:ascii="宋体" w:hAnsi="宋体" w:eastAsia="宋体" w:cs="宋体"/>
                <w:sz w:val="18"/>
                <w:szCs w:val="18"/>
              </w:rPr>
            </w:pPr>
            <w:r>
              <w:rPr>
                <w:rFonts w:ascii="宋体" w:hAnsi="宋体" w:eastAsia="宋体" w:cs="宋体"/>
                <w:sz w:val="18"/>
                <w:szCs w:val="18"/>
              </w:rPr>
              <w:t>电话</w:t>
            </w:r>
          </w:p>
        </w:tc>
        <w:tc>
          <w:tcPr>
            <w:tcW w:w="3213" w:type="dxa"/>
            <w:tcBorders>
              <w:top w:val="single" w:color="auto" w:sz="2" w:space="0"/>
              <w:left w:val="single" w:color="auto" w:sz="2" w:space="0"/>
              <w:bottom w:val="single" w:color="auto" w:sz="2" w:space="0"/>
              <w:right w:val="single" w:color="auto" w:sz="2" w:space="0"/>
            </w:tcBorders>
            <w:vAlign w:val="center"/>
          </w:tcPr>
          <w:p w14:paraId="21473284">
            <w:pPr>
              <w:spacing w:line="240" w:lineRule="exact"/>
              <w:rPr>
                <w:rFonts w:ascii="宋体" w:hAnsi="宋体" w:eastAsia="宋体" w:cs="宋体"/>
                <w:sz w:val="18"/>
                <w:szCs w:val="18"/>
              </w:rPr>
            </w:pPr>
            <w:r>
              <w:rPr>
                <w:rFonts w:ascii="宋体" w:hAnsi="宋体" w:eastAsia="宋体" w:cs="宋体"/>
                <w:sz w:val="18"/>
                <w:szCs w:val="18"/>
              </w:rPr>
              <w:t>028-85238616</w:t>
            </w:r>
          </w:p>
        </w:tc>
        <w:tc>
          <w:tcPr>
            <w:tcW w:w="3213" w:type="dxa"/>
            <w:tcBorders>
              <w:top w:val="single" w:color="auto" w:sz="2" w:space="0"/>
              <w:left w:val="single" w:color="auto" w:sz="2" w:space="0"/>
              <w:bottom w:val="single" w:color="auto" w:sz="2" w:space="0"/>
              <w:right w:val="single" w:color="auto" w:sz="2" w:space="0"/>
            </w:tcBorders>
            <w:vAlign w:val="center"/>
          </w:tcPr>
          <w:p w14:paraId="4369C8F2">
            <w:pPr>
              <w:spacing w:line="240" w:lineRule="exact"/>
              <w:rPr>
                <w:rFonts w:ascii="宋体" w:hAnsi="宋体" w:eastAsia="宋体" w:cs="宋体"/>
                <w:sz w:val="18"/>
                <w:szCs w:val="18"/>
              </w:rPr>
            </w:pPr>
            <w:r>
              <w:rPr>
                <w:rFonts w:ascii="宋体" w:hAnsi="宋体" w:eastAsia="宋体" w:cs="宋体"/>
                <w:sz w:val="18"/>
                <w:szCs w:val="18"/>
              </w:rPr>
              <w:t>028-85238616</w:t>
            </w:r>
          </w:p>
        </w:tc>
      </w:tr>
      <w:tr w14:paraId="47C2C57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5BB66B">
            <w:pPr>
              <w:spacing w:before="40" w:after="40" w:line="240" w:lineRule="exact"/>
              <w:rPr>
                <w:rFonts w:ascii="宋体" w:hAnsi="宋体" w:eastAsia="宋体" w:cs="宋体"/>
                <w:sz w:val="18"/>
                <w:szCs w:val="18"/>
              </w:rPr>
            </w:pPr>
            <w:r>
              <w:rPr>
                <w:rFonts w:ascii="宋体" w:hAnsi="宋体" w:eastAsia="宋体" w:cs="宋体"/>
                <w:sz w:val="18"/>
                <w:szCs w:val="18"/>
              </w:rPr>
              <w:t>传真</w:t>
            </w:r>
          </w:p>
        </w:tc>
        <w:tc>
          <w:tcPr>
            <w:tcW w:w="3213" w:type="dxa"/>
            <w:tcBorders>
              <w:top w:val="single" w:color="auto" w:sz="2" w:space="0"/>
              <w:left w:val="single" w:color="auto" w:sz="2" w:space="0"/>
              <w:bottom w:val="single" w:color="auto" w:sz="2" w:space="0"/>
              <w:right w:val="single" w:color="auto" w:sz="2" w:space="0"/>
            </w:tcBorders>
            <w:vAlign w:val="center"/>
          </w:tcPr>
          <w:p w14:paraId="4D71E6DC">
            <w:pPr>
              <w:spacing w:line="240" w:lineRule="exact"/>
              <w:rPr>
                <w:rFonts w:ascii="宋体" w:hAnsi="宋体" w:eastAsia="宋体" w:cs="宋体"/>
                <w:sz w:val="18"/>
                <w:szCs w:val="18"/>
              </w:rPr>
            </w:pPr>
            <w:r>
              <w:rPr>
                <w:rFonts w:ascii="宋体" w:hAnsi="宋体" w:eastAsia="宋体" w:cs="宋体"/>
                <w:sz w:val="18"/>
                <w:szCs w:val="18"/>
              </w:rPr>
              <w:t>028-65223967</w:t>
            </w:r>
          </w:p>
        </w:tc>
        <w:tc>
          <w:tcPr>
            <w:tcW w:w="3213" w:type="dxa"/>
            <w:tcBorders>
              <w:top w:val="single" w:color="auto" w:sz="2" w:space="0"/>
              <w:left w:val="single" w:color="auto" w:sz="2" w:space="0"/>
              <w:bottom w:val="single" w:color="auto" w:sz="2" w:space="0"/>
              <w:right w:val="single" w:color="auto" w:sz="2" w:space="0"/>
            </w:tcBorders>
            <w:vAlign w:val="center"/>
          </w:tcPr>
          <w:p w14:paraId="25B26469">
            <w:pPr>
              <w:spacing w:line="240" w:lineRule="exact"/>
              <w:rPr>
                <w:rFonts w:ascii="宋体" w:hAnsi="宋体" w:eastAsia="宋体" w:cs="宋体"/>
                <w:sz w:val="18"/>
                <w:szCs w:val="18"/>
              </w:rPr>
            </w:pPr>
            <w:r>
              <w:rPr>
                <w:rFonts w:ascii="宋体" w:hAnsi="宋体" w:eastAsia="宋体" w:cs="宋体"/>
                <w:sz w:val="18"/>
                <w:szCs w:val="18"/>
              </w:rPr>
              <w:t>028-65223967</w:t>
            </w:r>
          </w:p>
        </w:tc>
      </w:tr>
      <w:tr w14:paraId="642004B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1F5934">
            <w:pPr>
              <w:spacing w:before="40" w:after="40" w:line="240" w:lineRule="exact"/>
              <w:rPr>
                <w:rFonts w:ascii="宋体" w:hAnsi="宋体" w:eastAsia="宋体" w:cs="宋体"/>
                <w:sz w:val="18"/>
                <w:szCs w:val="18"/>
              </w:rPr>
            </w:pPr>
            <w:r>
              <w:rPr>
                <w:rFonts w:ascii="宋体" w:hAnsi="宋体" w:eastAsia="宋体" w:cs="宋体"/>
                <w:sz w:val="18"/>
                <w:szCs w:val="18"/>
              </w:rPr>
              <w:t>电子信箱</w:t>
            </w:r>
          </w:p>
        </w:tc>
        <w:tc>
          <w:tcPr>
            <w:tcW w:w="3213" w:type="dxa"/>
            <w:tcBorders>
              <w:top w:val="single" w:color="auto" w:sz="2" w:space="0"/>
              <w:left w:val="single" w:color="auto" w:sz="2" w:space="0"/>
              <w:bottom w:val="single" w:color="auto" w:sz="2" w:space="0"/>
              <w:right w:val="single" w:color="auto" w:sz="2" w:space="0"/>
            </w:tcBorders>
            <w:vAlign w:val="center"/>
          </w:tcPr>
          <w:p w14:paraId="4BADDEFB">
            <w:pPr>
              <w:spacing w:line="240" w:lineRule="exact"/>
              <w:rPr>
                <w:rFonts w:ascii="宋体" w:hAnsi="宋体" w:eastAsia="宋体" w:cs="宋体"/>
                <w:sz w:val="18"/>
                <w:szCs w:val="18"/>
              </w:rPr>
            </w:pPr>
            <w:r>
              <w:rPr>
                <w:rFonts w:ascii="宋体" w:hAnsi="宋体" w:eastAsia="宋体" w:cs="宋体"/>
                <w:sz w:val="18"/>
                <w:szCs w:val="18"/>
              </w:rPr>
              <w:t>xzfz000752@163.com</w:t>
            </w:r>
          </w:p>
        </w:tc>
        <w:tc>
          <w:tcPr>
            <w:tcW w:w="3213" w:type="dxa"/>
            <w:tcBorders>
              <w:top w:val="single" w:color="auto" w:sz="2" w:space="0"/>
              <w:left w:val="single" w:color="auto" w:sz="2" w:space="0"/>
              <w:bottom w:val="single" w:color="auto" w:sz="2" w:space="0"/>
              <w:right w:val="single" w:color="auto" w:sz="2" w:space="0"/>
            </w:tcBorders>
            <w:vAlign w:val="center"/>
          </w:tcPr>
          <w:p w14:paraId="68501AC6">
            <w:pPr>
              <w:spacing w:line="240" w:lineRule="exact"/>
              <w:rPr>
                <w:rFonts w:ascii="宋体" w:hAnsi="宋体" w:eastAsia="宋体" w:cs="宋体"/>
                <w:sz w:val="18"/>
                <w:szCs w:val="18"/>
              </w:rPr>
            </w:pPr>
            <w:r>
              <w:rPr>
                <w:rFonts w:ascii="宋体" w:hAnsi="宋体" w:eastAsia="宋体" w:cs="宋体"/>
                <w:sz w:val="18"/>
                <w:szCs w:val="18"/>
              </w:rPr>
              <w:t>xzfz000752@163.com</w:t>
            </w:r>
          </w:p>
        </w:tc>
      </w:tr>
    </w:tbl>
    <w:p w14:paraId="3B625BDE">
      <w:pPr>
        <w:pStyle w:val="2"/>
        <w:spacing w:before="300" w:after="300" w:line="320" w:lineRule="exact"/>
        <w:rPr>
          <w:rFonts w:ascii="宋体" w:hAnsi="宋体" w:eastAsia="宋体" w:cs="宋体"/>
          <w:b/>
          <w:bCs/>
          <w:sz w:val="24"/>
          <w:szCs w:val="24"/>
        </w:rPr>
      </w:pPr>
      <w:bookmarkStart w:id="4" w:name="_Toc988893"/>
      <w:r>
        <w:rPr>
          <w:rFonts w:ascii="宋体" w:hAnsi="宋体" w:eastAsia="宋体" w:cs="宋体"/>
          <w:b/>
          <w:bCs/>
          <w:sz w:val="24"/>
          <w:szCs w:val="24"/>
        </w:rPr>
        <w:t>三、其他情况</w:t>
      </w:r>
      <w:bookmarkEnd w:id="4"/>
    </w:p>
    <w:p w14:paraId="476B16A2">
      <w:pPr>
        <w:pStyle w:val="3"/>
        <w:spacing w:after="100" w:line="280" w:lineRule="exact"/>
        <w:jc w:val="left"/>
        <w:rPr>
          <w:rFonts w:ascii="宋体" w:hAnsi="宋体" w:cs="宋体"/>
          <w:b/>
          <w:bCs/>
        </w:rPr>
      </w:pPr>
      <w:bookmarkStart w:id="5" w:name="_Toc988894"/>
      <w:r>
        <w:rPr>
          <w:rFonts w:ascii="宋体" w:hAnsi="宋体" w:cs="宋体"/>
          <w:b/>
          <w:bCs/>
        </w:rPr>
        <w:t>1、公司联系方式</w:t>
      </w:r>
      <w:bookmarkEnd w:id="5"/>
    </w:p>
    <w:p w14:paraId="72502D86">
      <w:pPr>
        <w:spacing w:before="100" w:after="100" w:line="240" w:lineRule="exact"/>
        <w:rPr>
          <w:rFonts w:ascii="宋体" w:hAnsi="宋体" w:eastAsia="宋体" w:cs="宋体"/>
          <w:sz w:val="18"/>
          <w:szCs w:val="18"/>
        </w:rPr>
      </w:pPr>
      <w:r>
        <w:rPr>
          <w:rFonts w:ascii="宋体" w:hAnsi="宋体" w:eastAsia="宋体" w:cs="宋体"/>
          <w:sz w:val="18"/>
          <w:szCs w:val="18"/>
        </w:rPr>
        <w:t>公司注册地址、公司办公地址及其邮政编码、公司网址、电子信箱等在报告期是否变化</w:t>
      </w:r>
    </w:p>
    <w:p w14:paraId="08EF645F">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2EA3932">
      <w:pPr>
        <w:spacing w:before="100" w:after="100" w:line="240" w:lineRule="exact"/>
        <w:rPr>
          <w:rFonts w:ascii="宋体" w:hAnsi="宋体" w:eastAsia="宋体" w:cs="宋体"/>
          <w:sz w:val="18"/>
          <w:szCs w:val="18"/>
        </w:rPr>
      </w:pPr>
      <w:r>
        <w:rPr>
          <w:rFonts w:ascii="宋体" w:hAnsi="宋体" w:eastAsia="宋体" w:cs="宋体"/>
          <w:sz w:val="18"/>
          <w:szCs w:val="18"/>
        </w:rPr>
        <w:t>公司注册地址、公司办公地址及其邮政编码、公司网址、电子信箱等在报告期无变化，具体可参见2023年年报。</w:t>
      </w:r>
    </w:p>
    <w:p w14:paraId="4EA12534">
      <w:pPr>
        <w:pStyle w:val="3"/>
        <w:spacing w:after="100" w:line="280" w:lineRule="exact"/>
        <w:jc w:val="left"/>
        <w:rPr>
          <w:rFonts w:ascii="宋体" w:hAnsi="宋体" w:cs="宋体"/>
          <w:b/>
          <w:bCs/>
        </w:rPr>
      </w:pPr>
      <w:bookmarkStart w:id="6" w:name="_Toc988895"/>
      <w:r>
        <w:rPr>
          <w:rFonts w:ascii="宋体" w:hAnsi="宋体" w:cs="宋体"/>
          <w:b/>
          <w:bCs/>
        </w:rPr>
        <w:t>2、信息披露及备置地点</w:t>
      </w:r>
      <w:bookmarkEnd w:id="6"/>
    </w:p>
    <w:p w14:paraId="171D2744">
      <w:pPr>
        <w:spacing w:before="100" w:after="100" w:line="240" w:lineRule="exact"/>
        <w:rPr>
          <w:rFonts w:ascii="宋体" w:hAnsi="宋体" w:eastAsia="宋体" w:cs="宋体"/>
          <w:sz w:val="18"/>
          <w:szCs w:val="18"/>
        </w:rPr>
      </w:pPr>
      <w:r>
        <w:rPr>
          <w:rFonts w:ascii="宋体" w:hAnsi="宋体" w:eastAsia="宋体" w:cs="宋体"/>
          <w:sz w:val="18"/>
          <w:szCs w:val="18"/>
        </w:rPr>
        <w:t>信息披露及备置地点在报告期是否变化</w:t>
      </w:r>
    </w:p>
    <w:p w14:paraId="54781A58">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E97761E">
      <w:pPr>
        <w:spacing w:before="100" w:after="100" w:line="240" w:lineRule="exact"/>
        <w:rPr>
          <w:rFonts w:ascii="宋体" w:hAnsi="宋体" w:eastAsia="宋体" w:cs="宋体"/>
          <w:sz w:val="18"/>
          <w:szCs w:val="18"/>
        </w:rPr>
      </w:pPr>
      <w:r>
        <w:rPr>
          <w:rFonts w:ascii="宋体" w:hAnsi="宋体" w:eastAsia="宋体" w:cs="宋体"/>
          <w:sz w:val="18"/>
          <w:szCs w:val="18"/>
        </w:rPr>
        <w:t>公司披露半年度报告的证券交易所网站和媒体名称及网址，公司半年度报告备置地在报告期无变化，具体可参见2023年年报。</w:t>
      </w:r>
    </w:p>
    <w:p w14:paraId="339B0FB3">
      <w:pPr>
        <w:pStyle w:val="3"/>
        <w:spacing w:after="100" w:line="280" w:lineRule="exact"/>
        <w:jc w:val="left"/>
        <w:rPr>
          <w:rFonts w:ascii="宋体" w:hAnsi="宋体" w:cs="宋体"/>
          <w:b/>
          <w:bCs/>
        </w:rPr>
      </w:pPr>
      <w:bookmarkStart w:id="7" w:name="_Toc988896"/>
      <w:r>
        <w:rPr>
          <w:rFonts w:ascii="宋体" w:hAnsi="宋体" w:cs="宋体"/>
          <w:b/>
          <w:bCs/>
        </w:rPr>
        <w:t>3、其他有关资料</w:t>
      </w:r>
      <w:bookmarkEnd w:id="7"/>
    </w:p>
    <w:p w14:paraId="5EB625B6">
      <w:pPr>
        <w:spacing w:before="100" w:after="100" w:line="240" w:lineRule="exact"/>
        <w:rPr>
          <w:rFonts w:ascii="宋体" w:hAnsi="宋体" w:eastAsia="宋体" w:cs="宋体"/>
          <w:sz w:val="18"/>
          <w:szCs w:val="18"/>
        </w:rPr>
      </w:pPr>
      <w:r>
        <w:rPr>
          <w:rFonts w:ascii="宋体" w:hAnsi="宋体" w:eastAsia="宋体" w:cs="宋体"/>
          <w:sz w:val="18"/>
          <w:szCs w:val="18"/>
        </w:rPr>
        <w:t>其他有关资料在报告期是否变更情况</w:t>
      </w:r>
    </w:p>
    <w:p w14:paraId="0CD18F3C">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E70BBA6">
      <w:pPr>
        <w:pStyle w:val="2"/>
        <w:spacing w:before="300" w:after="300" w:line="320" w:lineRule="exact"/>
        <w:rPr>
          <w:rFonts w:ascii="宋体" w:hAnsi="宋体" w:eastAsia="宋体" w:cs="宋体"/>
          <w:b/>
          <w:bCs/>
          <w:sz w:val="24"/>
          <w:szCs w:val="24"/>
        </w:rPr>
      </w:pPr>
      <w:bookmarkStart w:id="8" w:name="_Toc988897"/>
      <w:r>
        <w:rPr>
          <w:rFonts w:ascii="宋体" w:hAnsi="宋体" w:eastAsia="宋体" w:cs="宋体"/>
          <w:b/>
          <w:bCs/>
          <w:sz w:val="24"/>
          <w:szCs w:val="24"/>
        </w:rPr>
        <w:t>四、主要会计数据和财务指标</w:t>
      </w:r>
      <w:bookmarkEnd w:id="8"/>
    </w:p>
    <w:p w14:paraId="25DBBAC1">
      <w:pPr>
        <w:spacing w:before="100" w:after="100" w:line="240" w:lineRule="exact"/>
        <w:rPr>
          <w:rFonts w:ascii="宋体" w:hAnsi="宋体" w:eastAsia="宋体" w:cs="宋体"/>
          <w:sz w:val="18"/>
          <w:szCs w:val="18"/>
        </w:rPr>
      </w:pPr>
      <w:r>
        <w:rPr>
          <w:rFonts w:ascii="宋体" w:hAnsi="宋体" w:eastAsia="宋体" w:cs="宋体"/>
          <w:sz w:val="18"/>
          <w:szCs w:val="18"/>
        </w:rPr>
        <w:t>公司是否需追溯调整或重述以前年度会计数据</w:t>
      </w:r>
    </w:p>
    <w:p w14:paraId="799843B8">
      <w:pPr>
        <w:spacing w:before="100"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193"/>
        <w:gridCol w:w="1626"/>
        <w:gridCol w:w="2410"/>
        <w:gridCol w:w="2410"/>
      </w:tblGrid>
      <w:tr w14:paraId="2FFA0128">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616AE03B"/>
        </w:tc>
        <w:tc>
          <w:tcPr>
            <w:tcW w:w="1626" w:type="dxa"/>
            <w:tcBorders>
              <w:top w:val="single" w:color="auto" w:sz="2" w:space="0"/>
              <w:left w:val="single" w:color="auto" w:sz="2" w:space="0"/>
              <w:bottom w:val="single" w:color="auto" w:sz="2" w:space="0"/>
              <w:right w:val="single" w:color="auto" w:sz="2" w:space="0"/>
            </w:tcBorders>
            <w:shd w:val="clear" w:color="auto" w:fill="D3D3D3"/>
            <w:vAlign w:val="center"/>
          </w:tcPr>
          <w:p w14:paraId="5C2910F9">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7CFC9F">
            <w:pPr>
              <w:spacing w:before="40" w:after="40" w:line="240" w:lineRule="exact"/>
              <w:jc w:val="center"/>
              <w:rPr>
                <w:rFonts w:ascii="宋体" w:hAnsi="宋体" w:eastAsia="宋体" w:cs="宋体"/>
                <w:sz w:val="18"/>
                <w:szCs w:val="18"/>
              </w:rPr>
            </w:pPr>
            <w:r>
              <w:rPr>
                <w:rFonts w:ascii="宋体" w:hAnsi="宋体" w:eastAsia="宋体" w:cs="宋体"/>
                <w:sz w:val="18"/>
                <w:szCs w:val="18"/>
              </w:rPr>
              <w:t>上年同期</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BF42347">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本报告期比上年同期增减</w:t>
            </w:r>
          </w:p>
        </w:tc>
      </w:tr>
      <w:tr w14:paraId="24541A42">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250B355F">
            <w:pPr>
              <w:spacing w:before="40" w:after="40" w:line="240" w:lineRule="exact"/>
              <w:rPr>
                <w:rFonts w:ascii="宋体" w:hAnsi="宋体" w:eastAsia="宋体" w:cs="宋体"/>
                <w:sz w:val="18"/>
                <w:szCs w:val="18"/>
              </w:rPr>
            </w:pPr>
            <w:r>
              <w:rPr>
                <w:rFonts w:ascii="宋体" w:hAnsi="宋体" w:eastAsia="宋体" w:cs="宋体"/>
                <w:sz w:val="18"/>
                <w:szCs w:val="18"/>
              </w:rPr>
              <w:t>营业收入（元）</w:t>
            </w:r>
          </w:p>
        </w:tc>
        <w:tc>
          <w:tcPr>
            <w:tcW w:w="1626" w:type="dxa"/>
            <w:tcBorders>
              <w:top w:val="single" w:color="auto" w:sz="2" w:space="0"/>
              <w:left w:val="single" w:color="auto" w:sz="2" w:space="0"/>
              <w:bottom w:val="single" w:color="auto" w:sz="2" w:space="0"/>
              <w:right w:val="single" w:color="auto" w:sz="2" w:space="0"/>
            </w:tcBorders>
            <w:vAlign w:val="center"/>
          </w:tcPr>
          <w:p w14:paraId="3A0B4F2F">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2410" w:type="dxa"/>
            <w:tcBorders>
              <w:top w:val="single" w:color="auto" w:sz="2" w:space="0"/>
              <w:left w:val="single" w:color="auto" w:sz="2" w:space="0"/>
              <w:bottom w:val="single" w:color="auto" w:sz="2" w:space="0"/>
              <w:right w:val="single" w:color="auto" w:sz="2" w:space="0"/>
            </w:tcBorders>
            <w:vAlign w:val="center"/>
          </w:tcPr>
          <w:p w14:paraId="5EE99776">
            <w:pPr>
              <w:spacing w:line="240" w:lineRule="exact"/>
              <w:jc w:val="right"/>
              <w:rPr>
                <w:rFonts w:ascii="宋体" w:hAnsi="宋体" w:eastAsia="宋体" w:cs="宋体"/>
                <w:sz w:val="18"/>
                <w:szCs w:val="18"/>
              </w:rPr>
            </w:pPr>
            <w:r>
              <w:rPr>
                <w:rFonts w:ascii="宋体" w:hAnsi="宋体" w:eastAsia="宋体" w:cs="宋体"/>
                <w:sz w:val="18"/>
                <w:szCs w:val="18"/>
              </w:rPr>
              <w:t>147,414,128.78</w:t>
            </w:r>
          </w:p>
        </w:tc>
        <w:tc>
          <w:tcPr>
            <w:tcW w:w="2410" w:type="dxa"/>
            <w:tcBorders>
              <w:top w:val="single" w:color="auto" w:sz="2" w:space="0"/>
              <w:left w:val="single" w:color="auto" w:sz="2" w:space="0"/>
              <w:bottom w:val="single" w:color="auto" w:sz="2" w:space="0"/>
              <w:right w:val="single" w:color="auto" w:sz="2" w:space="0"/>
            </w:tcBorders>
            <w:vAlign w:val="center"/>
          </w:tcPr>
          <w:p w14:paraId="42647E75">
            <w:pPr>
              <w:spacing w:line="240" w:lineRule="exact"/>
              <w:jc w:val="right"/>
              <w:rPr>
                <w:rFonts w:ascii="宋体" w:hAnsi="宋体" w:eastAsia="宋体" w:cs="宋体"/>
                <w:sz w:val="18"/>
                <w:szCs w:val="18"/>
              </w:rPr>
            </w:pPr>
            <w:r>
              <w:rPr>
                <w:rFonts w:ascii="宋体" w:hAnsi="宋体" w:eastAsia="宋体" w:cs="宋体"/>
                <w:sz w:val="18"/>
                <w:szCs w:val="18"/>
              </w:rPr>
              <w:t>30%</w:t>
            </w:r>
          </w:p>
        </w:tc>
      </w:tr>
      <w:tr w14:paraId="659CCC10">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498021F4">
            <w:pPr>
              <w:spacing w:before="40" w:after="40" w:line="240" w:lineRule="exact"/>
              <w:rPr>
                <w:rFonts w:ascii="宋体" w:hAnsi="宋体" w:eastAsia="宋体" w:cs="宋体"/>
                <w:sz w:val="18"/>
                <w:szCs w:val="18"/>
              </w:rPr>
            </w:pPr>
            <w:r>
              <w:rPr>
                <w:rFonts w:ascii="宋体" w:hAnsi="宋体" w:eastAsia="宋体" w:cs="宋体"/>
                <w:sz w:val="18"/>
                <w:szCs w:val="18"/>
              </w:rPr>
              <w:t>归属于上市公司股东的净利润（元）</w:t>
            </w:r>
          </w:p>
        </w:tc>
        <w:tc>
          <w:tcPr>
            <w:tcW w:w="1626" w:type="dxa"/>
            <w:tcBorders>
              <w:top w:val="single" w:color="auto" w:sz="2" w:space="0"/>
              <w:left w:val="single" w:color="auto" w:sz="2" w:space="0"/>
              <w:bottom w:val="single" w:color="auto" w:sz="2" w:space="0"/>
              <w:right w:val="single" w:color="auto" w:sz="2" w:space="0"/>
            </w:tcBorders>
            <w:vAlign w:val="center"/>
          </w:tcPr>
          <w:p w14:paraId="53A36E86">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2410" w:type="dxa"/>
            <w:tcBorders>
              <w:top w:val="single" w:color="auto" w:sz="2" w:space="0"/>
              <w:left w:val="single" w:color="auto" w:sz="2" w:space="0"/>
              <w:bottom w:val="single" w:color="auto" w:sz="2" w:space="0"/>
              <w:right w:val="single" w:color="auto" w:sz="2" w:space="0"/>
            </w:tcBorders>
            <w:vAlign w:val="center"/>
          </w:tcPr>
          <w:p w14:paraId="3FD3DF33">
            <w:pPr>
              <w:spacing w:line="240" w:lineRule="exact"/>
              <w:jc w:val="right"/>
              <w:rPr>
                <w:rFonts w:ascii="宋体" w:hAnsi="宋体" w:eastAsia="宋体" w:cs="宋体"/>
                <w:sz w:val="18"/>
                <w:szCs w:val="18"/>
              </w:rPr>
            </w:pPr>
            <w:r>
              <w:rPr>
                <w:rFonts w:ascii="宋体" w:hAnsi="宋体" w:eastAsia="宋体" w:cs="宋体"/>
                <w:sz w:val="18"/>
                <w:szCs w:val="18"/>
              </w:rPr>
              <w:t>-39,953,574.25</w:t>
            </w:r>
          </w:p>
        </w:tc>
        <w:tc>
          <w:tcPr>
            <w:tcW w:w="2410" w:type="dxa"/>
            <w:tcBorders>
              <w:top w:val="single" w:color="auto" w:sz="2" w:space="0"/>
              <w:left w:val="single" w:color="auto" w:sz="2" w:space="0"/>
              <w:bottom w:val="single" w:color="auto" w:sz="2" w:space="0"/>
              <w:right w:val="single" w:color="auto" w:sz="2" w:space="0"/>
            </w:tcBorders>
            <w:vAlign w:val="center"/>
          </w:tcPr>
          <w:p w14:paraId="3E267D2C">
            <w:pPr>
              <w:spacing w:line="240" w:lineRule="exact"/>
              <w:jc w:val="right"/>
              <w:rPr>
                <w:rFonts w:ascii="宋体" w:hAnsi="宋体" w:eastAsia="宋体" w:cs="宋体"/>
                <w:sz w:val="18"/>
                <w:szCs w:val="18"/>
              </w:rPr>
            </w:pPr>
            <w:r>
              <w:rPr>
                <w:rFonts w:ascii="宋体" w:hAnsi="宋体" w:eastAsia="宋体" w:cs="宋体"/>
                <w:sz w:val="18"/>
                <w:szCs w:val="18"/>
              </w:rPr>
              <w:t>125.21%</w:t>
            </w:r>
          </w:p>
        </w:tc>
      </w:tr>
      <w:tr w14:paraId="3800E1A6">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4B4D5BCD">
            <w:pPr>
              <w:spacing w:before="40" w:after="40" w:line="240" w:lineRule="exact"/>
              <w:rPr>
                <w:rFonts w:ascii="宋体" w:hAnsi="宋体" w:eastAsia="宋体" w:cs="宋体"/>
                <w:sz w:val="18"/>
                <w:szCs w:val="18"/>
              </w:rPr>
            </w:pPr>
            <w:r>
              <w:rPr>
                <w:rFonts w:ascii="宋体" w:hAnsi="宋体" w:eastAsia="宋体" w:cs="宋体"/>
                <w:sz w:val="18"/>
                <w:szCs w:val="18"/>
              </w:rPr>
              <w:t>归属于上市公司股东的扣除非经常性损益的净利润（元）</w:t>
            </w:r>
          </w:p>
        </w:tc>
        <w:tc>
          <w:tcPr>
            <w:tcW w:w="1626" w:type="dxa"/>
            <w:tcBorders>
              <w:top w:val="single" w:color="auto" w:sz="2" w:space="0"/>
              <w:left w:val="single" w:color="auto" w:sz="2" w:space="0"/>
              <w:bottom w:val="single" w:color="auto" w:sz="2" w:space="0"/>
              <w:right w:val="single" w:color="auto" w:sz="2" w:space="0"/>
            </w:tcBorders>
            <w:vAlign w:val="center"/>
          </w:tcPr>
          <w:p w14:paraId="71C7A714">
            <w:pPr>
              <w:spacing w:line="240" w:lineRule="exact"/>
              <w:jc w:val="right"/>
              <w:rPr>
                <w:rFonts w:hint="default" w:ascii="宋体" w:hAnsi="宋体" w:eastAsia="宋体" w:cs="宋体"/>
                <w:sz w:val="18"/>
                <w:szCs w:val="18"/>
                <w:lang w:val="en-US" w:eastAsia="zh-CN"/>
              </w:rPr>
            </w:pPr>
            <w:r>
              <w:rPr>
                <w:rFonts w:ascii="宋体" w:hAnsi="宋体" w:eastAsia="宋体" w:cs="宋体"/>
                <w:sz w:val="18"/>
                <w:szCs w:val="18"/>
              </w:rPr>
              <w:t>3,186,729.</w:t>
            </w:r>
            <w:r>
              <w:rPr>
                <w:rFonts w:hint="eastAsia" w:ascii="宋体" w:hAnsi="宋体" w:eastAsia="宋体" w:cs="宋体"/>
                <w:sz w:val="18"/>
                <w:szCs w:val="18"/>
                <w:lang w:val="en-US" w:eastAsia="zh-CN"/>
              </w:rPr>
              <w:t>00</w:t>
            </w:r>
          </w:p>
        </w:tc>
        <w:tc>
          <w:tcPr>
            <w:tcW w:w="2410" w:type="dxa"/>
            <w:tcBorders>
              <w:top w:val="single" w:color="auto" w:sz="2" w:space="0"/>
              <w:left w:val="single" w:color="auto" w:sz="2" w:space="0"/>
              <w:bottom w:val="single" w:color="auto" w:sz="2" w:space="0"/>
              <w:right w:val="single" w:color="auto" w:sz="2" w:space="0"/>
            </w:tcBorders>
            <w:vAlign w:val="center"/>
          </w:tcPr>
          <w:p w14:paraId="1361A1C8">
            <w:pPr>
              <w:spacing w:line="240" w:lineRule="exact"/>
              <w:jc w:val="right"/>
              <w:rPr>
                <w:rFonts w:ascii="宋体" w:hAnsi="宋体" w:eastAsia="宋体" w:cs="宋体"/>
                <w:sz w:val="18"/>
                <w:szCs w:val="18"/>
              </w:rPr>
            </w:pPr>
            <w:r>
              <w:rPr>
                <w:rFonts w:ascii="宋体" w:hAnsi="宋体" w:eastAsia="宋体" w:cs="宋体"/>
                <w:sz w:val="18"/>
                <w:szCs w:val="18"/>
              </w:rPr>
              <w:t>-19,213,183.40</w:t>
            </w:r>
          </w:p>
        </w:tc>
        <w:tc>
          <w:tcPr>
            <w:tcW w:w="2410" w:type="dxa"/>
            <w:tcBorders>
              <w:top w:val="single" w:color="auto" w:sz="2" w:space="0"/>
              <w:left w:val="single" w:color="auto" w:sz="2" w:space="0"/>
              <w:bottom w:val="single" w:color="auto" w:sz="2" w:space="0"/>
              <w:right w:val="single" w:color="auto" w:sz="2" w:space="0"/>
            </w:tcBorders>
            <w:vAlign w:val="center"/>
          </w:tcPr>
          <w:p w14:paraId="23881E58">
            <w:pPr>
              <w:spacing w:line="240" w:lineRule="exact"/>
              <w:jc w:val="right"/>
              <w:rPr>
                <w:rFonts w:ascii="宋体" w:hAnsi="宋体" w:eastAsia="宋体" w:cs="宋体"/>
                <w:sz w:val="18"/>
                <w:szCs w:val="18"/>
              </w:rPr>
            </w:pPr>
            <w:r>
              <w:rPr>
                <w:rFonts w:ascii="宋体" w:hAnsi="宋体" w:eastAsia="宋体" w:cs="宋体"/>
                <w:sz w:val="18"/>
                <w:szCs w:val="18"/>
              </w:rPr>
              <w:t>116.59%</w:t>
            </w:r>
          </w:p>
        </w:tc>
      </w:tr>
      <w:tr w14:paraId="00889654">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14DD6251">
            <w:pPr>
              <w:spacing w:before="40" w:after="40" w:line="240" w:lineRule="exact"/>
              <w:rPr>
                <w:rFonts w:ascii="宋体" w:hAnsi="宋体" w:eastAsia="宋体" w:cs="宋体"/>
                <w:sz w:val="18"/>
                <w:szCs w:val="18"/>
              </w:rPr>
            </w:pPr>
            <w:r>
              <w:rPr>
                <w:rFonts w:ascii="宋体" w:hAnsi="宋体" w:eastAsia="宋体" w:cs="宋体"/>
                <w:sz w:val="18"/>
                <w:szCs w:val="18"/>
              </w:rPr>
              <w:t>经营活动产生的现金流量净额（元）</w:t>
            </w:r>
          </w:p>
        </w:tc>
        <w:tc>
          <w:tcPr>
            <w:tcW w:w="1626" w:type="dxa"/>
            <w:tcBorders>
              <w:top w:val="single" w:color="auto" w:sz="2" w:space="0"/>
              <w:left w:val="single" w:color="auto" w:sz="2" w:space="0"/>
              <w:bottom w:val="single" w:color="auto" w:sz="2" w:space="0"/>
              <w:right w:val="single" w:color="auto" w:sz="2" w:space="0"/>
            </w:tcBorders>
            <w:vAlign w:val="center"/>
          </w:tcPr>
          <w:p w14:paraId="0C117C12">
            <w:pPr>
              <w:spacing w:line="240" w:lineRule="exact"/>
              <w:jc w:val="right"/>
              <w:rPr>
                <w:rFonts w:ascii="宋体" w:hAnsi="宋体" w:eastAsia="宋体" w:cs="宋体"/>
                <w:sz w:val="18"/>
                <w:szCs w:val="18"/>
              </w:rPr>
            </w:pPr>
            <w:r>
              <w:rPr>
                <w:rFonts w:ascii="宋体" w:hAnsi="宋体" w:eastAsia="宋体" w:cs="宋体"/>
                <w:sz w:val="18"/>
                <w:szCs w:val="18"/>
              </w:rPr>
              <w:t>44,117,367.06</w:t>
            </w:r>
          </w:p>
        </w:tc>
        <w:tc>
          <w:tcPr>
            <w:tcW w:w="2410" w:type="dxa"/>
            <w:tcBorders>
              <w:top w:val="single" w:color="auto" w:sz="2" w:space="0"/>
              <w:left w:val="single" w:color="auto" w:sz="2" w:space="0"/>
              <w:bottom w:val="single" w:color="auto" w:sz="2" w:space="0"/>
              <w:right w:val="single" w:color="auto" w:sz="2" w:space="0"/>
            </w:tcBorders>
            <w:vAlign w:val="center"/>
          </w:tcPr>
          <w:p w14:paraId="15D16C53">
            <w:pPr>
              <w:spacing w:line="240" w:lineRule="exact"/>
              <w:jc w:val="right"/>
              <w:rPr>
                <w:rFonts w:ascii="宋体" w:hAnsi="宋体" w:eastAsia="宋体" w:cs="宋体"/>
                <w:sz w:val="18"/>
                <w:szCs w:val="18"/>
              </w:rPr>
            </w:pPr>
            <w:r>
              <w:rPr>
                <w:rFonts w:ascii="宋体" w:hAnsi="宋体" w:eastAsia="宋体" w:cs="宋体"/>
                <w:sz w:val="18"/>
                <w:szCs w:val="18"/>
              </w:rPr>
              <w:t>17,088,404.43</w:t>
            </w:r>
          </w:p>
        </w:tc>
        <w:tc>
          <w:tcPr>
            <w:tcW w:w="2410" w:type="dxa"/>
            <w:tcBorders>
              <w:top w:val="single" w:color="auto" w:sz="2" w:space="0"/>
              <w:left w:val="single" w:color="auto" w:sz="2" w:space="0"/>
              <w:bottom w:val="single" w:color="auto" w:sz="2" w:space="0"/>
              <w:right w:val="single" w:color="auto" w:sz="2" w:space="0"/>
            </w:tcBorders>
            <w:vAlign w:val="center"/>
          </w:tcPr>
          <w:p w14:paraId="1E355EF5">
            <w:pPr>
              <w:spacing w:line="240" w:lineRule="exact"/>
              <w:jc w:val="right"/>
              <w:rPr>
                <w:rFonts w:ascii="宋体" w:hAnsi="宋体" w:eastAsia="宋体" w:cs="宋体"/>
                <w:sz w:val="18"/>
                <w:szCs w:val="18"/>
              </w:rPr>
            </w:pPr>
            <w:r>
              <w:rPr>
                <w:rFonts w:ascii="宋体" w:hAnsi="宋体" w:eastAsia="宋体" w:cs="宋体"/>
                <w:sz w:val="18"/>
                <w:szCs w:val="18"/>
              </w:rPr>
              <w:t>158.17%</w:t>
            </w:r>
          </w:p>
        </w:tc>
      </w:tr>
      <w:tr w14:paraId="42DD7BDC">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12FBC645">
            <w:pPr>
              <w:spacing w:before="40" w:after="40" w:line="240" w:lineRule="exact"/>
              <w:rPr>
                <w:rFonts w:ascii="宋体" w:hAnsi="宋体" w:eastAsia="宋体" w:cs="宋体"/>
                <w:sz w:val="18"/>
                <w:szCs w:val="18"/>
              </w:rPr>
            </w:pPr>
            <w:r>
              <w:rPr>
                <w:rFonts w:ascii="宋体" w:hAnsi="宋体" w:eastAsia="宋体" w:cs="宋体"/>
                <w:sz w:val="18"/>
                <w:szCs w:val="18"/>
              </w:rPr>
              <w:t>基本每股收益（元/股）</w:t>
            </w:r>
          </w:p>
        </w:tc>
        <w:tc>
          <w:tcPr>
            <w:tcW w:w="1626" w:type="dxa"/>
            <w:tcBorders>
              <w:top w:val="single" w:color="auto" w:sz="2" w:space="0"/>
              <w:left w:val="single" w:color="auto" w:sz="2" w:space="0"/>
              <w:bottom w:val="single" w:color="auto" w:sz="2" w:space="0"/>
              <w:right w:val="single" w:color="auto" w:sz="2" w:space="0"/>
            </w:tcBorders>
            <w:vAlign w:val="center"/>
          </w:tcPr>
          <w:p w14:paraId="5FF20FEB">
            <w:pPr>
              <w:spacing w:line="240" w:lineRule="exact"/>
              <w:jc w:val="right"/>
              <w:rPr>
                <w:rFonts w:ascii="宋体" w:hAnsi="宋体" w:eastAsia="宋体" w:cs="宋体"/>
                <w:sz w:val="18"/>
                <w:szCs w:val="18"/>
              </w:rPr>
            </w:pPr>
            <w:r>
              <w:rPr>
                <w:rFonts w:ascii="宋体" w:hAnsi="宋体" w:eastAsia="宋体" w:cs="宋体"/>
                <w:sz w:val="18"/>
                <w:szCs w:val="18"/>
              </w:rPr>
              <w:t>0.038</w:t>
            </w:r>
          </w:p>
        </w:tc>
        <w:tc>
          <w:tcPr>
            <w:tcW w:w="2410" w:type="dxa"/>
            <w:tcBorders>
              <w:top w:val="single" w:color="auto" w:sz="2" w:space="0"/>
              <w:left w:val="single" w:color="auto" w:sz="2" w:space="0"/>
              <w:bottom w:val="single" w:color="auto" w:sz="2" w:space="0"/>
              <w:right w:val="single" w:color="auto" w:sz="2" w:space="0"/>
            </w:tcBorders>
            <w:vAlign w:val="center"/>
          </w:tcPr>
          <w:p w14:paraId="6459A151">
            <w:pPr>
              <w:spacing w:line="240" w:lineRule="exact"/>
              <w:jc w:val="right"/>
              <w:rPr>
                <w:rFonts w:ascii="宋体" w:hAnsi="宋体" w:eastAsia="宋体" w:cs="宋体"/>
                <w:sz w:val="18"/>
                <w:szCs w:val="18"/>
              </w:rPr>
            </w:pPr>
            <w:r>
              <w:rPr>
                <w:rFonts w:ascii="宋体" w:hAnsi="宋体" w:eastAsia="宋体" w:cs="宋体"/>
                <w:sz w:val="18"/>
                <w:szCs w:val="18"/>
              </w:rPr>
              <w:t>-0.15</w:t>
            </w:r>
          </w:p>
        </w:tc>
        <w:tc>
          <w:tcPr>
            <w:tcW w:w="2410" w:type="dxa"/>
            <w:tcBorders>
              <w:top w:val="single" w:color="auto" w:sz="2" w:space="0"/>
              <w:left w:val="single" w:color="auto" w:sz="2" w:space="0"/>
              <w:bottom w:val="single" w:color="auto" w:sz="2" w:space="0"/>
              <w:right w:val="single" w:color="auto" w:sz="2" w:space="0"/>
            </w:tcBorders>
            <w:vAlign w:val="center"/>
          </w:tcPr>
          <w:p w14:paraId="5D8E9B02">
            <w:pPr>
              <w:spacing w:line="240" w:lineRule="exact"/>
              <w:jc w:val="right"/>
              <w:rPr>
                <w:rFonts w:ascii="宋体" w:hAnsi="宋体" w:eastAsia="宋体" w:cs="宋体"/>
                <w:sz w:val="18"/>
                <w:szCs w:val="18"/>
              </w:rPr>
            </w:pPr>
            <w:r>
              <w:rPr>
                <w:rFonts w:ascii="宋体" w:hAnsi="宋体" w:eastAsia="宋体" w:cs="宋体"/>
                <w:sz w:val="18"/>
                <w:szCs w:val="18"/>
              </w:rPr>
              <w:t>125.33%</w:t>
            </w:r>
          </w:p>
        </w:tc>
      </w:tr>
      <w:tr w14:paraId="61D43C75">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45E5827C">
            <w:pPr>
              <w:spacing w:before="40" w:after="40" w:line="240" w:lineRule="exact"/>
              <w:rPr>
                <w:rFonts w:ascii="宋体" w:hAnsi="宋体" w:eastAsia="宋体" w:cs="宋体"/>
                <w:sz w:val="18"/>
                <w:szCs w:val="18"/>
              </w:rPr>
            </w:pPr>
            <w:r>
              <w:rPr>
                <w:rFonts w:ascii="宋体" w:hAnsi="宋体" w:eastAsia="宋体" w:cs="宋体"/>
                <w:sz w:val="18"/>
                <w:szCs w:val="18"/>
              </w:rPr>
              <w:t>稀释每股收益（元/股）</w:t>
            </w:r>
          </w:p>
        </w:tc>
        <w:tc>
          <w:tcPr>
            <w:tcW w:w="1626" w:type="dxa"/>
            <w:tcBorders>
              <w:top w:val="single" w:color="auto" w:sz="2" w:space="0"/>
              <w:left w:val="single" w:color="auto" w:sz="2" w:space="0"/>
              <w:bottom w:val="single" w:color="auto" w:sz="2" w:space="0"/>
              <w:right w:val="single" w:color="auto" w:sz="2" w:space="0"/>
            </w:tcBorders>
            <w:vAlign w:val="center"/>
          </w:tcPr>
          <w:p w14:paraId="10CBA78A">
            <w:pPr>
              <w:spacing w:line="240" w:lineRule="exact"/>
              <w:jc w:val="right"/>
              <w:rPr>
                <w:rFonts w:ascii="宋体" w:hAnsi="宋体" w:eastAsia="宋体" w:cs="宋体"/>
                <w:sz w:val="18"/>
                <w:szCs w:val="18"/>
              </w:rPr>
            </w:pPr>
            <w:r>
              <w:rPr>
                <w:rFonts w:ascii="宋体" w:hAnsi="宋体" w:eastAsia="宋体" w:cs="宋体"/>
                <w:sz w:val="18"/>
                <w:szCs w:val="18"/>
              </w:rPr>
              <w:t>0.038</w:t>
            </w:r>
          </w:p>
        </w:tc>
        <w:tc>
          <w:tcPr>
            <w:tcW w:w="2410" w:type="dxa"/>
            <w:tcBorders>
              <w:top w:val="single" w:color="auto" w:sz="2" w:space="0"/>
              <w:left w:val="single" w:color="auto" w:sz="2" w:space="0"/>
              <w:bottom w:val="single" w:color="auto" w:sz="2" w:space="0"/>
              <w:right w:val="single" w:color="auto" w:sz="2" w:space="0"/>
            </w:tcBorders>
            <w:vAlign w:val="center"/>
          </w:tcPr>
          <w:p w14:paraId="6FE72076">
            <w:pPr>
              <w:spacing w:line="240" w:lineRule="exact"/>
              <w:jc w:val="right"/>
              <w:rPr>
                <w:rFonts w:ascii="宋体" w:hAnsi="宋体" w:eastAsia="宋体" w:cs="宋体"/>
                <w:sz w:val="18"/>
                <w:szCs w:val="18"/>
              </w:rPr>
            </w:pPr>
            <w:r>
              <w:rPr>
                <w:rFonts w:ascii="宋体" w:hAnsi="宋体" w:eastAsia="宋体" w:cs="宋体"/>
                <w:sz w:val="18"/>
                <w:szCs w:val="18"/>
              </w:rPr>
              <w:t>-0.15</w:t>
            </w:r>
          </w:p>
        </w:tc>
        <w:tc>
          <w:tcPr>
            <w:tcW w:w="2410" w:type="dxa"/>
            <w:tcBorders>
              <w:top w:val="single" w:color="auto" w:sz="2" w:space="0"/>
              <w:left w:val="single" w:color="auto" w:sz="2" w:space="0"/>
              <w:bottom w:val="single" w:color="auto" w:sz="2" w:space="0"/>
              <w:right w:val="single" w:color="auto" w:sz="2" w:space="0"/>
            </w:tcBorders>
            <w:vAlign w:val="center"/>
          </w:tcPr>
          <w:p w14:paraId="10D54C13">
            <w:pPr>
              <w:spacing w:line="240" w:lineRule="exact"/>
              <w:jc w:val="right"/>
              <w:rPr>
                <w:rFonts w:ascii="宋体" w:hAnsi="宋体" w:eastAsia="宋体" w:cs="宋体"/>
                <w:sz w:val="18"/>
                <w:szCs w:val="18"/>
              </w:rPr>
            </w:pPr>
            <w:r>
              <w:rPr>
                <w:rFonts w:ascii="宋体" w:hAnsi="宋体" w:eastAsia="宋体" w:cs="宋体"/>
                <w:sz w:val="18"/>
                <w:szCs w:val="18"/>
              </w:rPr>
              <w:t>125.33%</w:t>
            </w:r>
          </w:p>
        </w:tc>
      </w:tr>
      <w:tr w14:paraId="1A689DBC">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26204041">
            <w:pPr>
              <w:spacing w:before="40" w:after="40" w:line="240" w:lineRule="exact"/>
              <w:rPr>
                <w:rFonts w:ascii="宋体" w:hAnsi="宋体" w:eastAsia="宋体" w:cs="宋体"/>
                <w:sz w:val="18"/>
                <w:szCs w:val="18"/>
              </w:rPr>
            </w:pPr>
            <w:r>
              <w:rPr>
                <w:rFonts w:ascii="宋体" w:hAnsi="宋体" w:eastAsia="宋体" w:cs="宋体"/>
                <w:sz w:val="18"/>
                <w:szCs w:val="18"/>
              </w:rPr>
              <w:t>加权平均净资产收益率</w:t>
            </w:r>
          </w:p>
        </w:tc>
        <w:tc>
          <w:tcPr>
            <w:tcW w:w="1626" w:type="dxa"/>
            <w:tcBorders>
              <w:top w:val="single" w:color="auto" w:sz="2" w:space="0"/>
              <w:left w:val="single" w:color="auto" w:sz="2" w:space="0"/>
              <w:bottom w:val="single" w:color="auto" w:sz="2" w:space="0"/>
              <w:right w:val="single" w:color="auto" w:sz="2" w:space="0"/>
            </w:tcBorders>
            <w:vAlign w:val="center"/>
          </w:tcPr>
          <w:p w14:paraId="3E4DB8BB">
            <w:pPr>
              <w:spacing w:line="240" w:lineRule="exact"/>
              <w:jc w:val="right"/>
              <w:rPr>
                <w:rFonts w:ascii="宋体" w:hAnsi="宋体" w:eastAsia="宋体" w:cs="宋体"/>
                <w:sz w:val="18"/>
                <w:szCs w:val="18"/>
              </w:rPr>
            </w:pPr>
            <w:r>
              <w:rPr>
                <w:rFonts w:ascii="宋体" w:hAnsi="宋体" w:eastAsia="宋体" w:cs="宋体"/>
                <w:sz w:val="18"/>
                <w:szCs w:val="18"/>
              </w:rPr>
              <w:t>8.64%</w:t>
            </w:r>
          </w:p>
        </w:tc>
        <w:tc>
          <w:tcPr>
            <w:tcW w:w="2410" w:type="dxa"/>
            <w:tcBorders>
              <w:top w:val="single" w:color="auto" w:sz="2" w:space="0"/>
              <w:left w:val="single" w:color="auto" w:sz="2" w:space="0"/>
              <w:bottom w:val="single" w:color="auto" w:sz="2" w:space="0"/>
              <w:right w:val="single" w:color="auto" w:sz="2" w:space="0"/>
            </w:tcBorders>
            <w:vAlign w:val="center"/>
          </w:tcPr>
          <w:p w14:paraId="46B4C3D6">
            <w:pPr>
              <w:spacing w:line="240" w:lineRule="exact"/>
              <w:jc w:val="righ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不适用</w:t>
            </w:r>
          </w:p>
        </w:tc>
        <w:tc>
          <w:tcPr>
            <w:tcW w:w="2410" w:type="dxa"/>
            <w:tcBorders>
              <w:top w:val="single" w:color="auto" w:sz="2" w:space="0"/>
              <w:left w:val="single" w:color="auto" w:sz="2" w:space="0"/>
              <w:bottom w:val="single" w:color="auto" w:sz="2" w:space="0"/>
              <w:right w:val="single" w:color="auto" w:sz="2" w:space="0"/>
            </w:tcBorders>
            <w:vAlign w:val="center"/>
          </w:tcPr>
          <w:p w14:paraId="1FC9C3C8">
            <w:pPr>
              <w:spacing w:line="240" w:lineRule="exact"/>
              <w:jc w:val="righ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不适用</w:t>
            </w:r>
          </w:p>
        </w:tc>
      </w:tr>
      <w:tr w14:paraId="39551B45">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3A77F31D"/>
        </w:tc>
        <w:tc>
          <w:tcPr>
            <w:tcW w:w="1626" w:type="dxa"/>
            <w:tcBorders>
              <w:top w:val="single" w:color="auto" w:sz="2" w:space="0"/>
              <w:left w:val="single" w:color="auto" w:sz="2" w:space="0"/>
              <w:bottom w:val="single" w:color="auto" w:sz="2" w:space="0"/>
              <w:right w:val="single" w:color="auto" w:sz="2" w:space="0"/>
            </w:tcBorders>
            <w:shd w:val="clear" w:color="auto" w:fill="D3D3D3"/>
            <w:vAlign w:val="center"/>
          </w:tcPr>
          <w:p w14:paraId="26B673C2">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本报告期末</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083933F">
            <w:pPr>
              <w:spacing w:before="40" w:after="40" w:line="240" w:lineRule="exact"/>
              <w:jc w:val="center"/>
              <w:rPr>
                <w:rFonts w:ascii="宋体" w:hAnsi="宋体" w:eastAsia="宋体" w:cs="宋体"/>
                <w:sz w:val="18"/>
                <w:szCs w:val="18"/>
              </w:rPr>
            </w:pPr>
            <w:r>
              <w:rPr>
                <w:rFonts w:ascii="宋体" w:hAnsi="宋体" w:eastAsia="宋体" w:cs="宋体"/>
                <w:sz w:val="18"/>
                <w:szCs w:val="18"/>
              </w:rPr>
              <w:t>上年度末</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2B4B374">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本报告期末比上年度末增减</w:t>
            </w:r>
          </w:p>
        </w:tc>
      </w:tr>
      <w:tr w14:paraId="6C5EC6F6">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1103ED67">
            <w:pPr>
              <w:spacing w:before="40" w:after="40" w:line="240" w:lineRule="exact"/>
              <w:rPr>
                <w:rFonts w:ascii="宋体" w:hAnsi="宋体" w:eastAsia="宋体" w:cs="宋体"/>
                <w:sz w:val="18"/>
                <w:szCs w:val="18"/>
              </w:rPr>
            </w:pPr>
            <w:r>
              <w:rPr>
                <w:rFonts w:ascii="宋体" w:hAnsi="宋体" w:eastAsia="宋体" w:cs="宋体"/>
                <w:sz w:val="18"/>
                <w:szCs w:val="18"/>
              </w:rPr>
              <w:t>总资产（元）</w:t>
            </w:r>
          </w:p>
        </w:tc>
        <w:tc>
          <w:tcPr>
            <w:tcW w:w="1626" w:type="dxa"/>
            <w:tcBorders>
              <w:top w:val="single" w:color="auto" w:sz="2" w:space="0"/>
              <w:left w:val="single" w:color="auto" w:sz="2" w:space="0"/>
              <w:bottom w:val="single" w:color="auto" w:sz="2" w:space="0"/>
              <w:right w:val="single" w:color="auto" w:sz="2" w:space="0"/>
            </w:tcBorders>
            <w:vAlign w:val="center"/>
          </w:tcPr>
          <w:p w14:paraId="5EB738E5">
            <w:pPr>
              <w:spacing w:line="240" w:lineRule="exact"/>
              <w:jc w:val="right"/>
              <w:rPr>
                <w:rFonts w:ascii="宋体" w:hAnsi="宋体" w:eastAsia="宋体" w:cs="宋体"/>
                <w:sz w:val="18"/>
                <w:szCs w:val="18"/>
              </w:rPr>
            </w:pPr>
            <w:r>
              <w:rPr>
                <w:rFonts w:ascii="宋体" w:hAnsi="宋体" w:eastAsia="宋体" w:cs="宋体"/>
                <w:sz w:val="18"/>
                <w:szCs w:val="18"/>
              </w:rPr>
              <w:t>952,204,248.46</w:t>
            </w:r>
          </w:p>
        </w:tc>
        <w:tc>
          <w:tcPr>
            <w:tcW w:w="2410" w:type="dxa"/>
            <w:tcBorders>
              <w:top w:val="single" w:color="auto" w:sz="2" w:space="0"/>
              <w:left w:val="single" w:color="auto" w:sz="2" w:space="0"/>
              <w:bottom w:val="single" w:color="auto" w:sz="2" w:space="0"/>
              <w:right w:val="single" w:color="auto" w:sz="2" w:space="0"/>
            </w:tcBorders>
            <w:vAlign w:val="center"/>
          </w:tcPr>
          <w:p w14:paraId="360E970A">
            <w:pPr>
              <w:spacing w:line="240" w:lineRule="exact"/>
              <w:jc w:val="right"/>
              <w:rPr>
                <w:rFonts w:ascii="宋体" w:hAnsi="宋体" w:eastAsia="宋体" w:cs="宋体"/>
                <w:sz w:val="18"/>
                <w:szCs w:val="18"/>
              </w:rPr>
            </w:pPr>
            <w:r>
              <w:rPr>
                <w:rFonts w:ascii="宋体" w:hAnsi="宋体" w:eastAsia="宋体" w:cs="宋体"/>
                <w:sz w:val="18"/>
                <w:szCs w:val="18"/>
              </w:rPr>
              <w:t>926,558,573.00</w:t>
            </w:r>
          </w:p>
        </w:tc>
        <w:tc>
          <w:tcPr>
            <w:tcW w:w="2410" w:type="dxa"/>
            <w:tcBorders>
              <w:top w:val="single" w:color="auto" w:sz="2" w:space="0"/>
              <w:left w:val="single" w:color="auto" w:sz="2" w:space="0"/>
              <w:bottom w:val="single" w:color="auto" w:sz="2" w:space="0"/>
              <w:right w:val="single" w:color="auto" w:sz="2" w:space="0"/>
            </w:tcBorders>
            <w:vAlign w:val="center"/>
          </w:tcPr>
          <w:p w14:paraId="68C5190C">
            <w:pPr>
              <w:spacing w:line="240" w:lineRule="exact"/>
              <w:jc w:val="right"/>
              <w:rPr>
                <w:rFonts w:ascii="宋体" w:hAnsi="宋体" w:eastAsia="宋体" w:cs="宋体"/>
                <w:sz w:val="18"/>
                <w:szCs w:val="18"/>
              </w:rPr>
            </w:pPr>
            <w:r>
              <w:rPr>
                <w:rFonts w:ascii="宋体" w:hAnsi="宋体" w:eastAsia="宋体" w:cs="宋体"/>
                <w:sz w:val="18"/>
                <w:szCs w:val="18"/>
              </w:rPr>
              <w:t>2.77%</w:t>
            </w:r>
          </w:p>
        </w:tc>
      </w:tr>
      <w:tr w14:paraId="5C360FBB">
        <w:trPr>
          <w:trHeight w:val="240" w:hRule="atLeast"/>
        </w:trPr>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0B03B0E6">
            <w:pPr>
              <w:spacing w:before="40" w:after="40" w:line="240" w:lineRule="exact"/>
              <w:rPr>
                <w:rFonts w:ascii="宋体" w:hAnsi="宋体" w:eastAsia="宋体" w:cs="宋体"/>
                <w:sz w:val="18"/>
                <w:szCs w:val="18"/>
              </w:rPr>
            </w:pPr>
            <w:r>
              <w:rPr>
                <w:rFonts w:ascii="宋体" w:hAnsi="宋体" w:eastAsia="宋体" w:cs="宋体"/>
                <w:sz w:val="18"/>
                <w:szCs w:val="18"/>
              </w:rPr>
              <w:t>归属于上市公司股东的净资产（元）</w:t>
            </w:r>
          </w:p>
        </w:tc>
        <w:tc>
          <w:tcPr>
            <w:tcW w:w="1626" w:type="dxa"/>
            <w:tcBorders>
              <w:top w:val="single" w:color="auto" w:sz="2" w:space="0"/>
              <w:left w:val="single" w:color="auto" w:sz="2" w:space="0"/>
              <w:bottom w:val="single" w:color="auto" w:sz="2" w:space="0"/>
              <w:right w:val="single" w:color="auto" w:sz="2" w:space="0"/>
            </w:tcBorders>
            <w:vAlign w:val="center"/>
          </w:tcPr>
          <w:p w14:paraId="27A61FD4">
            <w:pPr>
              <w:spacing w:line="240" w:lineRule="exact"/>
              <w:jc w:val="right"/>
              <w:rPr>
                <w:rFonts w:ascii="宋体" w:hAnsi="宋体" w:eastAsia="宋体" w:cs="宋体"/>
                <w:sz w:val="18"/>
                <w:szCs w:val="18"/>
              </w:rPr>
            </w:pPr>
            <w:r>
              <w:rPr>
                <w:rFonts w:ascii="宋体" w:hAnsi="宋体" w:eastAsia="宋体" w:cs="宋体"/>
                <w:sz w:val="18"/>
                <w:szCs w:val="18"/>
              </w:rPr>
              <w:t>121,687,013.28</w:t>
            </w:r>
          </w:p>
        </w:tc>
        <w:tc>
          <w:tcPr>
            <w:tcW w:w="2410" w:type="dxa"/>
            <w:tcBorders>
              <w:top w:val="single" w:color="auto" w:sz="2" w:space="0"/>
              <w:left w:val="single" w:color="auto" w:sz="2" w:space="0"/>
              <w:bottom w:val="single" w:color="auto" w:sz="2" w:space="0"/>
              <w:right w:val="single" w:color="auto" w:sz="2" w:space="0"/>
            </w:tcBorders>
            <w:vAlign w:val="center"/>
          </w:tcPr>
          <w:p w14:paraId="2B1FCB4E">
            <w:pPr>
              <w:spacing w:line="240" w:lineRule="exact"/>
              <w:jc w:val="right"/>
              <w:rPr>
                <w:rFonts w:ascii="宋体" w:hAnsi="宋体" w:eastAsia="宋体" w:cs="宋体"/>
                <w:sz w:val="18"/>
                <w:szCs w:val="18"/>
              </w:rPr>
            </w:pPr>
            <w:r>
              <w:rPr>
                <w:rFonts w:ascii="宋体" w:hAnsi="宋体" w:eastAsia="宋体" w:cs="宋体"/>
                <w:sz w:val="18"/>
                <w:szCs w:val="18"/>
              </w:rPr>
              <w:t>111,613,159.83</w:t>
            </w:r>
          </w:p>
        </w:tc>
        <w:tc>
          <w:tcPr>
            <w:tcW w:w="2410" w:type="dxa"/>
            <w:tcBorders>
              <w:top w:val="single" w:color="auto" w:sz="2" w:space="0"/>
              <w:left w:val="single" w:color="auto" w:sz="2" w:space="0"/>
              <w:bottom w:val="single" w:color="auto" w:sz="2" w:space="0"/>
              <w:right w:val="single" w:color="auto" w:sz="2" w:space="0"/>
            </w:tcBorders>
            <w:vAlign w:val="center"/>
          </w:tcPr>
          <w:p w14:paraId="7DC72727">
            <w:pPr>
              <w:spacing w:line="240" w:lineRule="exact"/>
              <w:jc w:val="right"/>
              <w:rPr>
                <w:rFonts w:ascii="宋体" w:hAnsi="宋体" w:eastAsia="宋体" w:cs="宋体"/>
                <w:sz w:val="18"/>
                <w:szCs w:val="18"/>
              </w:rPr>
            </w:pPr>
            <w:r>
              <w:rPr>
                <w:rFonts w:ascii="宋体" w:hAnsi="宋体" w:eastAsia="宋体" w:cs="宋体"/>
                <w:sz w:val="18"/>
                <w:szCs w:val="18"/>
              </w:rPr>
              <w:t>9.03%</w:t>
            </w:r>
          </w:p>
        </w:tc>
      </w:tr>
    </w:tbl>
    <w:p w14:paraId="21066FD9">
      <w:pPr>
        <w:pStyle w:val="2"/>
        <w:spacing w:before="300" w:after="300" w:line="320" w:lineRule="exact"/>
        <w:rPr>
          <w:rFonts w:ascii="宋体" w:hAnsi="宋体" w:eastAsia="宋体" w:cs="宋体"/>
          <w:b/>
          <w:bCs/>
          <w:sz w:val="24"/>
          <w:szCs w:val="24"/>
        </w:rPr>
      </w:pPr>
      <w:bookmarkStart w:id="9" w:name="_Toc988898"/>
      <w:r>
        <w:rPr>
          <w:rFonts w:ascii="宋体" w:hAnsi="宋体" w:eastAsia="宋体" w:cs="宋体"/>
          <w:b/>
          <w:bCs/>
          <w:sz w:val="24"/>
          <w:szCs w:val="24"/>
        </w:rPr>
        <w:t>五、境内外会计准则下会计数据差异</w:t>
      </w:r>
      <w:bookmarkEnd w:id="9"/>
    </w:p>
    <w:p w14:paraId="0EFD956D">
      <w:pPr>
        <w:pStyle w:val="3"/>
        <w:spacing w:after="100" w:line="280" w:lineRule="exact"/>
        <w:jc w:val="left"/>
        <w:rPr>
          <w:rFonts w:ascii="宋体" w:hAnsi="宋体" w:cs="宋体"/>
          <w:b/>
          <w:bCs/>
        </w:rPr>
      </w:pPr>
      <w:bookmarkStart w:id="10" w:name="_Toc988899"/>
      <w:r>
        <w:rPr>
          <w:rFonts w:ascii="宋体" w:hAnsi="宋体" w:cs="宋体"/>
          <w:b/>
          <w:bCs/>
        </w:rPr>
        <w:t>1、同时按照国际会计准则与按照中国会计准则披露的财务报告中净利润和净资产差异情况</w:t>
      </w:r>
      <w:bookmarkEnd w:id="10"/>
    </w:p>
    <w:p w14:paraId="315A35E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CD31823">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公司报告期不存在按照国际会计准则与按照中国会计准则披露的财务报告中净利润和净资产差异情况。</w:t>
      </w:r>
    </w:p>
    <w:p w14:paraId="7951F783">
      <w:pPr>
        <w:pStyle w:val="3"/>
        <w:spacing w:after="100" w:line="280" w:lineRule="exact"/>
        <w:jc w:val="left"/>
        <w:rPr>
          <w:rFonts w:ascii="宋体" w:hAnsi="宋体" w:cs="宋体"/>
          <w:b/>
          <w:bCs/>
        </w:rPr>
      </w:pPr>
      <w:bookmarkStart w:id="11" w:name="_Toc988900"/>
      <w:r>
        <w:rPr>
          <w:rFonts w:ascii="宋体" w:hAnsi="宋体" w:cs="宋体"/>
          <w:b/>
          <w:bCs/>
        </w:rPr>
        <w:t>2、同时按照境外会计准则与按照中国会计准则披露的财务报告中净利润和净资产差异情况</w:t>
      </w:r>
      <w:bookmarkEnd w:id="11"/>
    </w:p>
    <w:p w14:paraId="58916615">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D061974">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公司报告期不存在按照境外会计准则与按照中国会计准则披露的财务报告中净利润和净资产差异情况。</w:t>
      </w:r>
    </w:p>
    <w:p w14:paraId="4E0B7193">
      <w:pPr>
        <w:pStyle w:val="2"/>
        <w:spacing w:before="300" w:after="100" w:line="320" w:lineRule="exact"/>
        <w:rPr>
          <w:rFonts w:ascii="宋体" w:hAnsi="宋体" w:eastAsia="宋体" w:cs="宋体"/>
          <w:b/>
          <w:bCs/>
          <w:sz w:val="24"/>
          <w:szCs w:val="24"/>
        </w:rPr>
      </w:pPr>
      <w:bookmarkStart w:id="12" w:name="_Toc988901"/>
      <w:r>
        <w:rPr>
          <w:rFonts w:ascii="宋体" w:hAnsi="宋体" w:eastAsia="宋体" w:cs="宋体"/>
          <w:b/>
          <w:bCs/>
          <w:sz w:val="24"/>
          <w:szCs w:val="24"/>
        </w:rPr>
        <w:t>六、非经常性损益项目及金额</w:t>
      </w:r>
      <w:bookmarkEnd w:id="12"/>
    </w:p>
    <w:p w14:paraId="2810E69A">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B6B5F63">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461"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064"/>
        <w:gridCol w:w="3397"/>
      </w:tblGrid>
      <w:tr w14:paraId="376363F2">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513730B5">
            <w:pPr>
              <w:spacing w:line="240" w:lineRule="exact"/>
              <w:jc w:val="center"/>
              <w:rPr>
                <w:rFonts w:ascii="宋体" w:hAnsi="宋体" w:eastAsia="宋体" w:cs="宋体"/>
                <w:sz w:val="18"/>
                <w:szCs w:val="18"/>
              </w:rPr>
            </w:pPr>
            <w:r>
              <w:rPr>
                <w:rFonts w:ascii="宋体" w:hAnsi="宋体" w:eastAsia="宋体" w:cs="宋体"/>
                <w:sz w:val="18"/>
                <w:szCs w:val="18"/>
              </w:rPr>
              <w:t>项目</w:t>
            </w:r>
          </w:p>
        </w:tc>
        <w:tc>
          <w:tcPr>
            <w:tcW w:w="3397" w:type="dxa"/>
            <w:tcBorders>
              <w:top w:val="single" w:color="auto" w:sz="2" w:space="0"/>
              <w:left w:val="single" w:color="auto" w:sz="2" w:space="0"/>
              <w:bottom w:val="single" w:color="auto" w:sz="2" w:space="0"/>
              <w:right w:val="single" w:color="auto" w:sz="2" w:space="0"/>
            </w:tcBorders>
            <w:shd w:val="clear" w:color="auto" w:fill="D3D3D3"/>
            <w:vAlign w:val="center"/>
          </w:tcPr>
          <w:p w14:paraId="4D545E21">
            <w:pPr>
              <w:spacing w:line="240" w:lineRule="exact"/>
              <w:jc w:val="center"/>
              <w:rPr>
                <w:rFonts w:ascii="宋体" w:hAnsi="宋体" w:eastAsia="宋体" w:cs="宋体"/>
                <w:sz w:val="18"/>
                <w:szCs w:val="18"/>
              </w:rPr>
            </w:pPr>
            <w:r>
              <w:rPr>
                <w:rFonts w:ascii="宋体" w:hAnsi="宋体" w:eastAsia="宋体" w:cs="宋体"/>
                <w:sz w:val="18"/>
                <w:szCs w:val="18"/>
              </w:rPr>
              <w:t>金额</w:t>
            </w:r>
          </w:p>
        </w:tc>
      </w:tr>
      <w:tr w14:paraId="3B73C033">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7AFE1C8B">
            <w:pPr>
              <w:spacing w:line="240" w:lineRule="exact"/>
              <w:rPr>
                <w:rFonts w:ascii="宋体" w:hAnsi="宋体" w:eastAsia="宋体" w:cs="宋体"/>
                <w:sz w:val="18"/>
                <w:szCs w:val="18"/>
              </w:rPr>
            </w:pPr>
            <w:r>
              <w:rPr>
                <w:rFonts w:ascii="宋体" w:hAnsi="宋体" w:eastAsia="宋体" w:cs="宋体"/>
                <w:sz w:val="18"/>
                <w:szCs w:val="18"/>
              </w:rPr>
              <w:t>非流动性资产处置损益（包括已计提资产减值准备的冲销部分）</w:t>
            </w:r>
          </w:p>
        </w:tc>
        <w:tc>
          <w:tcPr>
            <w:tcW w:w="3397" w:type="dxa"/>
            <w:tcBorders>
              <w:top w:val="single" w:color="auto" w:sz="2" w:space="0"/>
              <w:left w:val="single" w:color="auto" w:sz="2" w:space="0"/>
              <w:bottom w:val="single" w:color="auto" w:sz="2" w:space="0"/>
              <w:right w:val="single" w:color="auto" w:sz="2" w:space="0"/>
            </w:tcBorders>
            <w:vAlign w:val="center"/>
          </w:tcPr>
          <w:p w14:paraId="0199F457">
            <w:pPr>
              <w:spacing w:line="240" w:lineRule="exact"/>
              <w:jc w:val="right"/>
              <w:rPr>
                <w:rFonts w:ascii="宋体" w:hAnsi="宋体" w:eastAsia="宋体" w:cs="宋体"/>
                <w:sz w:val="18"/>
                <w:szCs w:val="18"/>
              </w:rPr>
            </w:pPr>
            <w:r>
              <w:rPr>
                <w:rFonts w:ascii="宋体" w:hAnsi="宋体" w:eastAsia="宋体" w:cs="宋体"/>
                <w:sz w:val="18"/>
                <w:szCs w:val="18"/>
              </w:rPr>
              <w:t>-281,185.69</w:t>
            </w:r>
          </w:p>
        </w:tc>
      </w:tr>
      <w:tr w14:paraId="233F8220">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62A144EC">
            <w:pPr>
              <w:spacing w:line="240" w:lineRule="exact"/>
              <w:rPr>
                <w:rFonts w:ascii="宋体" w:hAnsi="宋体" w:eastAsia="宋体" w:cs="宋体"/>
                <w:sz w:val="18"/>
                <w:szCs w:val="18"/>
              </w:rPr>
            </w:pPr>
            <w:r>
              <w:rPr>
                <w:rFonts w:ascii="宋体" w:hAnsi="宋体" w:eastAsia="宋体" w:cs="宋体"/>
                <w:sz w:val="18"/>
                <w:szCs w:val="18"/>
              </w:rPr>
              <w:t>计入当期损益的政府补助（与公司正常经营业务密切相关、符合国家政策规定、按照确定的标准享有、对公司损益产生持续影响的政府补助除外）</w:t>
            </w:r>
          </w:p>
        </w:tc>
        <w:tc>
          <w:tcPr>
            <w:tcW w:w="3397" w:type="dxa"/>
            <w:tcBorders>
              <w:top w:val="single" w:color="auto" w:sz="2" w:space="0"/>
              <w:left w:val="single" w:color="auto" w:sz="2" w:space="0"/>
              <w:bottom w:val="single" w:color="auto" w:sz="2" w:space="0"/>
              <w:right w:val="single" w:color="auto" w:sz="2" w:space="0"/>
            </w:tcBorders>
            <w:vAlign w:val="center"/>
          </w:tcPr>
          <w:p w14:paraId="5FDDF28A">
            <w:pPr>
              <w:spacing w:line="240" w:lineRule="exact"/>
              <w:jc w:val="right"/>
              <w:rPr>
                <w:rFonts w:ascii="宋体" w:hAnsi="宋体" w:eastAsia="宋体" w:cs="宋体"/>
                <w:sz w:val="18"/>
                <w:szCs w:val="18"/>
              </w:rPr>
            </w:pPr>
            <w:r>
              <w:rPr>
                <w:rFonts w:ascii="宋体" w:hAnsi="宋体" w:eastAsia="宋体" w:cs="宋体"/>
                <w:sz w:val="18"/>
                <w:szCs w:val="18"/>
              </w:rPr>
              <w:t>15,755.47</w:t>
            </w:r>
          </w:p>
        </w:tc>
      </w:tr>
      <w:tr w14:paraId="15CF47F8">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566FD054">
            <w:pPr>
              <w:spacing w:line="240" w:lineRule="exact"/>
              <w:rPr>
                <w:rFonts w:ascii="宋体" w:hAnsi="宋体" w:eastAsia="宋体" w:cs="宋体"/>
                <w:sz w:val="18"/>
                <w:szCs w:val="18"/>
              </w:rPr>
            </w:pPr>
            <w:r>
              <w:rPr>
                <w:rFonts w:ascii="宋体" w:hAnsi="宋体" w:eastAsia="宋体" w:cs="宋体"/>
                <w:sz w:val="18"/>
                <w:szCs w:val="18"/>
              </w:rPr>
              <w:t>除同公司正常经营业务相关的有效套期保值业务外，非金融企业持有金融资产和金融负债产生的公允价值变动损益以及处置金融资产和金融负债产生的损益</w:t>
            </w:r>
          </w:p>
        </w:tc>
        <w:tc>
          <w:tcPr>
            <w:tcW w:w="3397" w:type="dxa"/>
            <w:tcBorders>
              <w:top w:val="single" w:color="auto" w:sz="2" w:space="0"/>
              <w:left w:val="single" w:color="auto" w:sz="2" w:space="0"/>
              <w:bottom w:val="single" w:color="auto" w:sz="2" w:space="0"/>
              <w:right w:val="single" w:color="auto" w:sz="2" w:space="0"/>
            </w:tcBorders>
            <w:vAlign w:val="center"/>
          </w:tcPr>
          <w:p w14:paraId="2CB2EA1C">
            <w:pPr>
              <w:widowControl/>
              <w:jc w:val="right"/>
              <w:rPr>
                <w:rFonts w:ascii="Times New Roman" w:hAnsi="Times New Roman" w:cs="Times New Roman"/>
                <w:kern w:val="0"/>
                <w:sz w:val="18"/>
                <w:szCs w:val="18"/>
              </w:rPr>
            </w:pPr>
            <w:r>
              <w:rPr>
                <w:rFonts w:ascii="Times New Roman" w:hAnsi="Times New Roman" w:cs="Times New Roman"/>
                <w:sz w:val="18"/>
                <w:szCs w:val="18"/>
              </w:rPr>
              <w:t>7,028,315.36</w:t>
            </w:r>
          </w:p>
          <w:p w14:paraId="72234686">
            <w:pPr>
              <w:spacing w:line="240" w:lineRule="exact"/>
              <w:jc w:val="right"/>
              <w:rPr>
                <w:rFonts w:ascii="宋体" w:hAnsi="宋体" w:eastAsia="宋体" w:cs="宋体"/>
                <w:sz w:val="18"/>
                <w:szCs w:val="18"/>
              </w:rPr>
            </w:pPr>
          </w:p>
        </w:tc>
      </w:tr>
      <w:tr w14:paraId="0734C8B4">
        <w:trPr>
          <w:trHeight w:val="246"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4C08AF50">
            <w:pPr>
              <w:spacing w:line="240" w:lineRule="exact"/>
              <w:rPr>
                <w:rFonts w:ascii="宋体" w:hAnsi="宋体" w:eastAsia="宋体" w:cs="宋体"/>
                <w:sz w:val="18"/>
                <w:szCs w:val="18"/>
              </w:rPr>
            </w:pPr>
            <w:r>
              <w:rPr>
                <w:rFonts w:ascii="宋体" w:hAnsi="宋体" w:eastAsia="宋体" w:cs="宋体"/>
                <w:sz w:val="18"/>
                <w:szCs w:val="18"/>
              </w:rPr>
              <w:t>除上述各项之外的其他营业外收入和支出</w:t>
            </w:r>
          </w:p>
        </w:tc>
        <w:tc>
          <w:tcPr>
            <w:tcW w:w="3397" w:type="dxa"/>
            <w:tcBorders>
              <w:top w:val="single" w:color="auto" w:sz="2" w:space="0"/>
              <w:left w:val="single" w:color="auto" w:sz="2" w:space="0"/>
              <w:bottom w:val="single" w:color="auto" w:sz="2" w:space="0"/>
              <w:right w:val="single" w:color="auto" w:sz="2" w:space="0"/>
            </w:tcBorders>
            <w:vAlign w:val="center"/>
          </w:tcPr>
          <w:p w14:paraId="22CDC326">
            <w:pPr>
              <w:widowControl/>
              <w:spacing w:line="240" w:lineRule="auto"/>
              <w:jc w:val="right"/>
              <w:rPr>
                <w:rFonts w:ascii="宋体" w:hAnsi="宋体" w:eastAsia="宋体" w:cs="宋体"/>
                <w:sz w:val="18"/>
                <w:szCs w:val="18"/>
              </w:rPr>
            </w:pPr>
            <w:r>
              <w:rPr>
                <w:rFonts w:ascii="Times New Roman" w:hAnsi="Times New Roman" w:cs="Times New Roman"/>
                <w:sz w:val="18"/>
                <w:szCs w:val="18"/>
              </w:rPr>
              <w:t>-62,000.45</w:t>
            </w:r>
          </w:p>
        </w:tc>
      </w:tr>
      <w:tr w14:paraId="512DDA76">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0F04631B">
            <w:pPr>
              <w:spacing w:line="240" w:lineRule="exact"/>
              <w:rPr>
                <w:rFonts w:ascii="宋体" w:hAnsi="宋体" w:eastAsia="宋体" w:cs="宋体"/>
                <w:sz w:val="18"/>
                <w:szCs w:val="18"/>
              </w:rPr>
            </w:pPr>
            <w:r>
              <w:rPr>
                <w:rFonts w:ascii="宋体" w:hAnsi="宋体" w:eastAsia="宋体" w:cs="宋体"/>
                <w:sz w:val="18"/>
                <w:szCs w:val="18"/>
              </w:rPr>
              <w:t>减：所得税影响额</w:t>
            </w:r>
          </w:p>
        </w:tc>
        <w:tc>
          <w:tcPr>
            <w:tcW w:w="3397" w:type="dxa"/>
            <w:tcBorders>
              <w:top w:val="single" w:color="auto" w:sz="2" w:space="0"/>
              <w:left w:val="single" w:color="auto" w:sz="2" w:space="0"/>
              <w:bottom w:val="single" w:color="auto" w:sz="2" w:space="0"/>
              <w:right w:val="single" w:color="auto" w:sz="2" w:space="0"/>
            </w:tcBorders>
            <w:vAlign w:val="center"/>
          </w:tcPr>
          <w:p w14:paraId="365AC1C0">
            <w:pPr>
              <w:spacing w:line="240" w:lineRule="exact"/>
              <w:jc w:val="right"/>
              <w:rPr>
                <w:rFonts w:ascii="宋体" w:hAnsi="宋体" w:eastAsia="宋体" w:cs="宋体"/>
                <w:sz w:val="18"/>
                <w:szCs w:val="18"/>
              </w:rPr>
            </w:pPr>
            <w:r>
              <w:rPr>
                <w:rFonts w:ascii="宋体" w:hAnsi="宋体" w:eastAsia="宋体" w:cs="宋体"/>
                <w:sz w:val="18"/>
                <w:szCs w:val="18"/>
              </w:rPr>
              <w:t>-30,755.06</w:t>
            </w:r>
          </w:p>
        </w:tc>
      </w:tr>
      <w:tr w14:paraId="1E1DFD02">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6722C20C">
            <w:pPr>
              <w:spacing w:line="240" w:lineRule="exact"/>
              <w:ind w:firstLine="360" w:firstLineChars="200"/>
              <w:rPr>
                <w:rFonts w:ascii="宋体" w:hAnsi="宋体" w:eastAsia="宋体" w:cs="宋体"/>
                <w:sz w:val="18"/>
                <w:szCs w:val="18"/>
              </w:rPr>
            </w:pPr>
            <w:r>
              <w:rPr>
                <w:rFonts w:ascii="宋体" w:hAnsi="宋体" w:eastAsia="宋体" w:cs="宋体"/>
                <w:sz w:val="18"/>
                <w:szCs w:val="18"/>
              </w:rPr>
              <w:t>少数股东权益影响额（税后）</w:t>
            </w:r>
          </w:p>
        </w:tc>
        <w:tc>
          <w:tcPr>
            <w:tcW w:w="3397" w:type="dxa"/>
            <w:tcBorders>
              <w:top w:val="single" w:color="auto" w:sz="2" w:space="0"/>
              <w:left w:val="single" w:color="auto" w:sz="2" w:space="0"/>
              <w:bottom w:val="single" w:color="auto" w:sz="2" w:space="0"/>
              <w:right w:val="single" w:color="auto" w:sz="2" w:space="0"/>
            </w:tcBorders>
            <w:vAlign w:val="center"/>
          </w:tcPr>
          <w:p w14:paraId="3B7B36C1">
            <w:pPr>
              <w:spacing w:line="240" w:lineRule="exact"/>
              <w:jc w:val="right"/>
              <w:rPr>
                <w:rFonts w:ascii="宋体" w:hAnsi="宋体" w:eastAsia="宋体" w:cs="宋体"/>
                <w:sz w:val="18"/>
                <w:szCs w:val="18"/>
              </w:rPr>
            </w:pPr>
            <w:r>
              <w:rPr>
                <w:rFonts w:ascii="宋体" w:hAnsi="宋体" w:eastAsia="宋体" w:cs="宋体"/>
                <w:sz w:val="18"/>
                <w:szCs w:val="18"/>
              </w:rPr>
              <w:t>-155,483.91</w:t>
            </w:r>
          </w:p>
        </w:tc>
      </w:tr>
      <w:tr w14:paraId="3A2179F2">
        <w:trPr>
          <w:trHeight w:val="240" w:hRule="atLeast"/>
        </w:trPr>
        <w:tc>
          <w:tcPr>
            <w:tcW w:w="6064" w:type="dxa"/>
            <w:tcBorders>
              <w:top w:val="single" w:color="auto" w:sz="2" w:space="0"/>
              <w:left w:val="single" w:color="auto" w:sz="2" w:space="0"/>
              <w:bottom w:val="single" w:color="auto" w:sz="2" w:space="0"/>
              <w:right w:val="single" w:color="auto" w:sz="2" w:space="0"/>
            </w:tcBorders>
            <w:shd w:val="clear" w:color="auto" w:fill="D3D3D3"/>
            <w:vAlign w:val="center"/>
          </w:tcPr>
          <w:p w14:paraId="7F8001A0">
            <w:pPr>
              <w:spacing w:line="240" w:lineRule="exact"/>
              <w:rPr>
                <w:rFonts w:ascii="宋体" w:hAnsi="宋体" w:eastAsia="宋体" w:cs="宋体"/>
                <w:sz w:val="18"/>
                <w:szCs w:val="18"/>
              </w:rPr>
            </w:pPr>
            <w:r>
              <w:rPr>
                <w:rFonts w:ascii="宋体" w:hAnsi="宋体" w:eastAsia="宋体" w:cs="宋体"/>
                <w:sz w:val="18"/>
                <w:szCs w:val="18"/>
              </w:rPr>
              <w:t>合计</w:t>
            </w:r>
          </w:p>
        </w:tc>
        <w:tc>
          <w:tcPr>
            <w:tcW w:w="3397" w:type="dxa"/>
            <w:tcBorders>
              <w:top w:val="single" w:color="auto" w:sz="2" w:space="0"/>
              <w:left w:val="single" w:color="auto" w:sz="2" w:space="0"/>
              <w:bottom w:val="single" w:color="auto" w:sz="2" w:space="0"/>
              <w:right w:val="single" w:color="auto" w:sz="2" w:space="0"/>
            </w:tcBorders>
            <w:vAlign w:val="center"/>
          </w:tcPr>
          <w:p w14:paraId="6CCB62E7">
            <w:pPr>
              <w:spacing w:line="240" w:lineRule="exact"/>
              <w:jc w:val="right"/>
              <w:rPr>
                <w:rFonts w:ascii="宋体" w:hAnsi="宋体" w:eastAsia="宋体" w:cs="宋体"/>
                <w:sz w:val="18"/>
                <w:szCs w:val="18"/>
              </w:rPr>
            </w:pPr>
            <w:r>
              <w:rPr>
                <w:rFonts w:ascii="宋体" w:hAnsi="宋体" w:eastAsia="宋体" w:cs="宋体"/>
                <w:sz w:val="18"/>
                <w:szCs w:val="18"/>
              </w:rPr>
              <w:t>6,887,123.66</w:t>
            </w:r>
          </w:p>
        </w:tc>
      </w:tr>
    </w:tbl>
    <w:p w14:paraId="31500C63">
      <w:pPr>
        <w:spacing w:before="100" w:after="100" w:line="240" w:lineRule="exact"/>
        <w:rPr>
          <w:rFonts w:ascii="宋体" w:hAnsi="宋体" w:eastAsia="宋体" w:cs="宋体"/>
          <w:sz w:val="18"/>
          <w:szCs w:val="18"/>
        </w:rPr>
      </w:pPr>
      <w:r>
        <w:rPr>
          <w:rFonts w:ascii="宋体" w:hAnsi="宋体" w:eastAsia="宋体" w:cs="宋体"/>
          <w:sz w:val="18"/>
          <w:szCs w:val="18"/>
        </w:rPr>
        <w:t>其他符合非经常性损益定义的损益项目的具体情况：</w:t>
      </w:r>
    </w:p>
    <w:p w14:paraId="66F7F2C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1299AB4">
      <w:pPr>
        <w:spacing w:before="100" w:after="100" w:line="240" w:lineRule="exact"/>
        <w:rPr>
          <w:rFonts w:ascii="宋体" w:hAnsi="宋体" w:eastAsia="宋体" w:cs="宋体"/>
          <w:sz w:val="18"/>
          <w:szCs w:val="18"/>
        </w:rPr>
      </w:pPr>
      <w:r>
        <w:rPr>
          <w:rFonts w:ascii="宋体" w:hAnsi="宋体" w:eastAsia="宋体" w:cs="宋体"/>
          <w:sz w:val="18"/>
          <w:szCs w:val="18"/>
        </w:rPr>
        <w:t>公司不存在其他符合非经常性损益定义的损益项目的具体情况。</w:t>
      </w:r>
    </w:p>
    <w:p w14:paraId="4420C022">
      <w:pPr>
        <w:spacing w:before="100" w:after="100" w:line="240" w:lineRule="exact"/>
        <w:rPr>
          <w:rFonts w:ascii="宋体" w:hAnsi="宋体" w:eastAsia="宋体" w:cs="宋体"/>
          <w:sz w:val="18"/>
          <w:szCs w:val="18"/>
        </w:rPr>
      </w:pPr>
      <w:r>
        <w:rPr>
          <w:rFonts w:ascii="宋体" w:hAnsi="宋体" w:eastAsia="宋体" w:cs="宋体"/>
          <w:sz w:val="18"/>
          <w:szCs w:val="18"/>
        </w:rPr>
        <w:t>将《公开发行证券的公司信息披露解释性公告第1号——非经常性损益》中列举的非经常性损益项目界定为经常性损益项目的情况说明</w:t>
      </w:r>
    </w:p>
    <w:p w14:paraId="3777C2E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87CD6A3">
      <w:pPr>
        <w:spacing w:before="100" w:after="100" w:line="240" w:lineRule="exact"/>
        <w:rPr>
          <w:rFonts w:ascii="宋体" w:hAnsi="宋体" w:eastAsia="宋体" w:cs="宋体"/>
          <w:sz w:val="18"/>
          <w:szCs w:val="18"/>
        </w:rPr>
      </w:pPr>
      <w:r>
        <w:rPr>
          <w:rFonts w:ascii="宋体" w:hAnsi="宋体" w:eastAsia="宋体" w:cs="宋体"/>
          <w:sz w:val="18"/>
          <w:szCs w:val="18"/>
        </w:rPr>
        <w:t>公司不存在将《公开发行证券的公司信息披露解释性公告第1号——非经常性损益》中列举的非经常性损益项目界定为经常性损益的项目的情形。</w:t>
      </w:r>
    </w:p>
    <w:p w14:paraId="3842DFF7">
      <w:r>
        <w:br w:type="page"/>
      </w:r>
    </w:p>
    <w:p w14:paraId="7896DBC5">
      <w:pPr>
        <w:pStyle w:val="17"/>
        <w:spacing w:before="340" w:after="330" w:line="773" w:lineRule="exact"/>
        <w:jc w:val="center"/>
        <w:rPr>
          <w:rFonts w:ascii="宋体" w:hAnsi="宋体" w:eastAsia="宋体" w:cs="宋体"/>
          <w:b/>
          <w:bCs/>
          <w:sz w:val="32"/>
          <w:szCs w:val="32"/>
        </w:rPr>
      </w:pPr>
      <w:bookmarkStart w:id="13" w:name="_Toc988902"/>
      <w:r>
        <w:rPr>
          <w:rFonts w:ascii="宋体" w:hAnsi="宋体" w:eastAsia="宋体" w:cs="宋体"/>
          <w:b/>
          <w:bCs/>
          <w:sz w:val="32"/>
          <w:szCs w:val="32"/>
        </w:rPr>
        <w:t>第三节 管理层讨论与分析</w:t>
      </w:r>
      <w:bookmarkEnd w:id="13"/>
    </w:p>
    <w:p w14:paraId="4E7A1AFD">
      <w:pPr>
        <w:pStyle w:val="2"/>
        <w:spacing w:before="300" w:after="300" w:line="320" w:lineRule="exact"/>
        <w:rPr>
          <w:rFonts w:ascii="Times New Roman" w:hAnsi="Times New Roman" w:cs="Times New Roman"/>
        </w:rPr>
      </w:pPr>
      <w:bookmarkStart w:id="14" w:name="_Toc988903"/>
      <w:r>
        <w:rPr>
          <w:rFonts w:ascii="宋体" w:hAnsi="宋体" w:eastAsia="宋体" w:cs="宋体"/>
          <w:b/>
          <w:bCs/>
          <w:sz w:val="24"/>
          <w:szCs w:val="24"/>
        </w:rPr>
        <w:t>一、报告期内公司从事的主要业务</w:t>
      </w:r>
      <w:bookmarkEnd w:id="14"/>
    </w:p>
    <w:p w14:paraId="2DD96138">
      <w:pPr>
        <w:pStyle w:val="9"/>
        <w:spacing w:before="0" w:beforeAutospacing="0" w:after="62" w:afterLines="20" w:afterAutospacing="0"/>
        <w:ind w:firstLine="360"/>
        <w:rPr>
          <w:sz w:val="18"/>
          <w:szCs w:val="18"/>
        </w:rPr>
      </w:pPr>
      <w:r>
        <w:rPr>
          <w:rFonts w:hint="eastAsia"/>
          <w:color w:val="000000"/>
          <w:sz w:val="18"/>
          <w:szCs w:val="18"/>
        </w:rPr>
        <w:t>2024年上半年，全国啤酒产量累计值为1908.8万千升，累计增长-0.1%。公司主营啤酒的生产与销售，公司拥有的“拉萨啤酒”系西藏本土品牌，在西藏自治区具有较大的品牌影响力和知名度。2024年上半年，公司加强经营管理，开拓销售渠道，扩大销售范围，实现营业收入1.93亿元，同比增加30.99 %</w:t>
      </w:r>
      <w:r>
        <w:rPr>
          <w:rFonts w:hint="eastAsia"/>
          <w:color w:val="000000"/>
          <w:sz w:val="18"/>
          <w:szCs w:val="18"/>
          <w:lang w:eastAsia="zh-CN"/>
        </w:rPr>
        <w:t>；</w:t>
      </w:r>
      <w:r>
        <w:rPr>
          <w:rFonts w:hint="eastAsia"/>
          <w:color w:val="000000"/>
          <w:sz w:val="18"/>
          <w:szCs w:val="18"/>
        </w:rPr>
        <w:t>毛利 7,045.89万元，同比增加59.79%。</w:t>
      </w:r>
    </w:p>
    <w:p w14:paraId="7038FA8F">
      <w:pPr>
        <w:pStyle w:val="9"/>
        <w:spacing w:before="0" w:beforeAutospacing="0" w:after="62" w:afterLines="20" w:afterAutospacing="0"/>
        <w:ind w:firstLine="360"/>
        <w:rPr>
          <w:sz w:val="18"/>
          <w:szCs w:val="18"/>
        </w:rPr>
      </w:pPr>
      <w:r>
        <w:rPr>
          <w:rFonts w:hint="eastAsia"/>
          <w:sz w:val="18"/>
          <w:szCs w:val="18"/>
        </w:rPr>
        <w:t>1.公司经营模式</w:t>
      </w:r>
    </w:p>
    <w:p w14:paraId="54F13B5B">
      <w:pPr>
        <w:pStyle w:val="9"/>
        <w:spacing w:before="0" w:beforeAutospacing="0" w:after="62" w:afterLines="20" w:afterAutospacing="0"/>
        <w:ind w:firstLine="360"/>
        <w:rPr>
          <w:rFonts w:ascii="Times New Roman" w:hAnsi="Times New Roman" w:cs="Times New Roman"/>
        </w:rPr>
      </w:pPr>
      <w:r>
        <w:rPr>
          <w:rFonts w:hint="eastAsia"/>
          <w:sz w:val="18"/>
          <w:szCs w:val="18"/>
        </w:rPr>
        <w:t>报告期内，公司经营模式</w:t>
      </w:r>
      <w:r>
        <w:rPr>
          <w:rFonts w:hint="eastAsia" w:cs="Times New Roman"/>
          <w:sz w:val="18"/>
          <w:szCs w:val="18"/>
        </w:rPr>
        <w:t>未发生重大变化，公司的经营模式是传统的酿造制造企业模式，建立了配套完整的采购、生产、销售体系。公司的采购模式是公司组织二人以上对供应商进行先期考察，核查供应商行业资质；对供应商实施认定，供应商提供样品、价格和供应商生产规模等，由公司质检部门确定样品是否达到国家或行业标准，达标者进入合格供应商名录；根据生产需求，选择至少两家及以上合格供应商进入拟合作体系，通过综合评定确定最终供货商。公司每年年底前和主要的原材料供应商签署下一年的采购合同，采购部根据生产部提供的采购明细表和生产计划，编制采购计划，下达采购订单，分批向供应商采购，通过“以需定购”合理控制原材料库存量，有效降低存货资金占用。公司的生产模式是与客户签订框架合同后，按照客户的月度订单由销售部门根据订单并结合产成品的库存情况，编制月度预测计划，经销售、制造等部门评审后，由销售部门确定次月生产计划，再由制造部门安排组织生产。销售部接到客户订单后，结合产品库存，下达销售需求计划，生产部门制定生产计划及材料采购计划，组织生产。</w:t>
      </w:r>
    </w:p>
    <w:p w14:paraId="457EF231">
      <w:pPr>
        <w:pStyle w:val="9"/>
        <w:spacing w:before="0" w:beforeAutospacing="0" w:after="62" w:afterLines="20" w:afterAutospacing="0"/>
        <w:ind w:firstLine="360"/>
        <w:rPr>
          <w:rFonts w:ascii="Times New Roman" w:hAnsi="Times New Roman" w:cs="Times New Roman"/>
        </w:rPr>
      </w:pPr>
      <w:r>
        <w:rPr>
          <w:rFonts w:hint="eastAsia" w:cs="Times New Roman"/>
          <w:sz w:val="18"/>
          <w:szCs w:val="18"/>
        </w:rPr>
        <w:t>2.公司竞争优势</w:t>
      </w:r>
    </w:p>
    <w:p w14:paraId="321E1D5D">
      <w:pPr>
        <w:pStyle w:val="9"/>
        <w:spacing w:before="0" w:beforeAutospacing="0" w:after="62" w:afterLines="20" w:afterAutospacing="0"/>
        <w:ind w:firstLine="360"/>
        <w:rPr>
          <w:rFonts w:ascii="Times New Roman" w:hAnsi="Times New Roman" w:cs="Times New Roman"/>
        </w:rPr>
      </w:pPr>
      <w:r>
        <w:rPr>
          <w:rFonts w:hint="eastAsia" w:cs="Times New Roman"/>
          <w:sz w:val="18"/>
          <w:szCs w:val="18"/>
        </w:rPr>
        <w:t>公司主营品牌“拉萨啤酒”入选拉萨老字号，具有悠久的品牌历史。公司以拉萨啤酒为主要业务平台，西藏地区独特的自然资源为公司生产制造高品质的、绿色无污染的西藏泉水酿造啤酒提供了有利条件，通过辐射西藏地区的销售体系，实现拉萨啤酒在西藏区域内的市场优势地位。</w:t>
      </w:r>
    </w:p>
    <w:p w14:paraId="48595146">
      <w:pPr>
        <w:pStyle w:val="9"/>
        <w:spacing w:before="0" w:beforeAutospacing="0" w:after="62" w:afterLines="20" w:afterAutospacing="0"/>
        <w:ind w:firstLine="360"/>
        <w:jc w:val="both"/>
        <w:rPr>
          <w:rFonts w:ascii="Times New Roman" w:hAnsi="Times New Roman" w:cs="Times New Roman"/>
        </w:rPr>
      </w:pPr>
      <w:r>
        <w:rPr>
          <w:rFonts w:hint="eastAsia" w:cs="Times New Roman"/>
          <w:sz w:val="18"/>
          <w:szCs w:val="18"/>
        </w:rPr>
        <w:t>随着我国消费升级趋势日益明显，啤酒消费者的消费观念逐步向享受品质啤酒转变，高端化、多元化、特色化成为消费升级导向，公司面临转型升级压力。啤酒行业竞争形势日趋激烈，公司作为区域性中型啤酒生产厂商，产品虽然拥有长期的口感美誉度、绿色无污染的认知度，消费者对公司产品也有较强的忠诚度，但西藏区域市场内新兴啤酒企业的建设以及其他啤酒品牌对公司保持区域内的优势地位构成影响。面对行业转型及市场竞争的压力，公司将利用30多年的酿造技术与知名酿造技术企业、专业大学联合发展，在立足自身已形成的品牌优势基础上促进产能提升及产品升级转型，完善营销体系，拟利用电商平台推进数字化渠道，优化管理体系，提升品牌影响力，促进公司稳定、健康发展。</w:t>
      </w:r>
    </w:p>
    <w:p w14:paraId="1A631A78">
      <w:pPr>
        <w:pStyle w:val="9"/>
        <w:numPr>
          <w:ilvl w:val="0"/>
          <w:numId w:val="1"/>
        </w:numPr>
        <w:spacing w:before="0" w:beforeAutospacing="0" w:after="62" w:afterLines="20" w:afterAutospacing="0"/>
        <w:ind w:firstLine="360"/>
        <w:rPr>
          <w:rFonts w:cs="Times New Roman"/>
          <w:sz w:val="18"/>
          <w:szCs w:val="18"/>
        </w:rPr>
      </w:pPr>
      <w:r>
        <w:rPr>
          <w:rFonts w:cs="Times New Roman"/>
          <w:sz w:val="18"/>
          <w:szCs w:val="18"/>
        </w:rPr>
        <w:t>品牌运营情况</w:t>
      </w:r>
    </w:p>
    <w:p w14:paraId="66FB3513">
      <w:pPr>
        <w:pStyle w:val="9"/>
        <w:spacing w:before="0" w:beforeAutospacing="0" w:after="62" w:afterLines="20" w:afterAutospacing="0"/>
        <w:ind w:firstLine="360"/>
        <w:rPr>
          <w:rFonts w:ascii="Times New Roman" w:hAnsi="Times New Roman" w:cs="Times New Roman"/>
        </w:rPr>
      </w:pPr>
      <w:r>
        <w:rPr>
          <w:rFonts w:hint="eastAsia" w:cs="Times New Roman"/>
          <w:sz w:val="18"/>
          <w:szCs w:val="18"/>
        </w:rPr>
        <w:t>公司系西藏本土啤酒生产及销售企业，主营品牌为“拉萨啤酒”，已在西藏地区形成一定的品牌优势。</w:t>
      </w:r>
    </w:p>
    <w:p w14:paraId="4E2FFEAE">
      <w:pPr>
        <w:pStyle w:val="9"/>
        <w:spacing w:before="0" w:beforeAutospacing="0" w:after="62" w:afterLines="20" w:afterAutospacing="0"/>
        <w:ind w:firstLine="360"/>
        <w:rPr>
          <w:rFonts w:ascii="Times New Roman" w:hAnsi="Times New Roman" w:cs="Times New Roman"/>
        </w:rPr>
      </w:pPr>
      <w:r>
        <w:rPr>
          <w:rFonts w:hint="eastAsia" w:cs="Times New Roman"/>
          <w:sz w:val="18"/>
          <w:szCs w:val="18"/>
        </w:rPr>
        <w:t>报告期内，公司主要产品包含普通瓶装啤酒628ml*12瓶、绿色听装啤酒355ml*24听、小瓶啤酒“3650”330ml*24、拉萨啤酒-“青稞系列”330ml*24。拉萨啤酒系列产品是以优质麦芽、泉水、啤酒花为原料，利用西藏“水质纯净、无工业污染、原料上乘” 三大自然优势和传统酿制，酒体清澈透明，泡沫洁白细腻、持久挂杯、口感纯正。</w:t>
      </w:r>
    </w:p>
    <w:p w14:paraId="224A3ED1">
      <w:pPr>
        <w:numPr>
          <w:ilvl w:val="0"/>
          <w:numId w:val="1"/>
        </w:numPr>
        <w:spacing w:after="62" w:afterLines="20" w:line="240" w:lineRule="exact"/>
        <w:ind w:firstLine="360"/>
        <w:rPr>
          <w:rFonts w:ascii="宋体" w:hAnsi="宋体" w:eastAsia="宋体" w:cs="宋体"/>
          <w:sz w:val="18"/>
          <w:szCs w:val="18"/>
        </w:rPr>
      </w:pPr>
      <w:r>
        <w:rPr>
          <w:rFonts w:ascii="宋体" w:hAnsi="宋体" w:eastAsia="宋体" w:cs="宋体"/>
          <w:sz w:val="18"/>
          <w:szCs w:val="18"/>
        </w:rPr>
        <w:t>主要销售模式</w:t>
      </w:r>
    </w:p>
    <w:p w14:paraId="440C3036">
      <w:pPr>
        <w:pStyle w:val="9"/>
        <w:spacing w:before="0" w:beforeAutospacing="0" w:after="62" w:afterLines="20" w:afterAutospacing="0"/>
        <w:rPr>
          <w:rFonts w:ascii="Times New Roman" w:hAnsi="Times New Roman" w:cs="Times New Roman"/>
          <w:sz w:val="21"/>
          <w:szCs w:val="21"/>
        </w:rPr>
      </w:pPr>
      <w:r>
        <w:rPr>
          <w:rFonts w:hint="eastAsia" w:cs="Times New Roman"/>
          <w:sz w:val="18"/>
          <w:szCs w:val="18"/>
        </w:rPr>
        <w:t> </w:t>
      </w:r>
      <w:r>
        <w:rPr>
          <w:rFonts w:hint="eastAsia" w:cs="Times New Roman"/>
          <w:sz w:val="18"/>
          <w:szCs w:val="18"/>
          <w:lang w:val="en-US" w:eastAsia="zh-CN"/>
        </w:rPr>
        <w:t xml:space="preserve"> </w:t>
      </w:r>
      <w:r>
        <w:rPr>
          <w:rFonts w:hint="eastAsia" w:cs="Times New Roman"/>
          <w:sz w:val="18"/>
          <w:szCs w:val="18"/>
        </w:rPr>
        <w:t xml:space="preserve"> 公司的销售模式是以经销商模式为主。</w:t>
      </w:r>
    </w:p>
    <w:p w14:paraId="2F0692B1">
      <w:pPr>
        <w:spacing w:before="100" w:after="62" w:afterLines="20" w:line="240" w:lineRule="exact"/>
        <w:rPr>
          <w:rFonts w:ascii="宋体" w:hAnsi="宋体" w:eastAsia="宋体" w:cs="宋体"/>
          <w:sz w:val="18"/>
          <w:szCs w:val="18"/>
        </w:rPr>
      </w:pPr>
      <w:r>
        <w:rPr>
          <w:rFonts w:ascii="宋体" w:hAnsi="宋体" w:eastAsia="宋体" w:cs="宋体"/>
          <w:sz w:val="18"/>
          <w:szCs w:val="18"/>
        </w:rPr>
        <w:t>经销模式</w:t>
      </w:r>
    </w:p>
    <w:p w14:paraId="2A364C3F">
      <w:pPr>
        <w:spacing w:before="100" w:after="1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017E35C">
      <w:pPr>
        <w:pStyle w:val="9"/>
        <w:spacing w:beforeAutospacing="0" w:after="10" w:afterAutospacing="0"/>
        <w:rPr>
          <w:rFonts w:ascii="Times New Roman" w:hAnsi="Times New Roman" w:cs="Times New Roman"/>
        </w:rPr>
      </w:pPr>
      <w:r>
        <w:rPr>
          <w:rFonts w:hint="eastAsia" w:cs="Times New Roman"/>
          <w:sz w:val="18"/>
          <w:szCs w:val="18"/>
        </w:rPr>
        <w:t>（一）按销售模式,公司营业收入、营业成本、毛利率及同比变动情况： </w:t>
      </w:r>
    </w:p>
    <w:tbl>
      <w:tblPr>
        <w:tblStyle w:val="11"/>
        <w:tblW w:w="4998" w:type="pct"/>
        <w:jc w:val="center"/>
        <w:tblLayout w:type="autofit"/>
        <w:tblCellMar>
          <w:top w:w="0" w:type="dxa"/>
          <w:left w:w="0" w:type="dxa"/>
          <w:bottom w:w="0" w:type="dxa"/>
          <w:right w:w="0" w:type="dxa"/>
        </w:tblCellMar>
      </w:tblPr>
      <w:tblGrid>
        <w:gridCol w:w="1764"/>
        <w:gridCol w:w="1749"/>
        <w:gridCol w:w="1132"/>
        <w:gridCol w:w="1403"/>
        <w:gridCol w:w="1260"/>
        <w:gridCol w:w="960"/>
        <w:gridCol w:w="1385"/>
      </w:tblGrid>
      <w:tr w14:paraId="29CA108D">
        <w:trPr>
          <w:trHeight w:val="435" w:hRule="atLeast"/>
          <w:jc w:val="center"/>
        </w:trPr>
        <w:tc>
          <w:tcPr>
            <w:tcW w:w="913" w:type="pct"/>
            <w:tcBorders>
              <w:top w:val="single" w:color="auto" w:sz="8" w:space="0"/>
              <w:left w:val="single" w:color="auto" w:sz="8" w:space="0"/>
              <w:bottom w:val="single" w:color="auto" w:sz="8" w:space="0"/>
              <w:right w:val="single" w:color="auto" w:sz="8" w:space="0"/>
            </w:tcBorders>
            <w:shd w:val="clear" w:color="auto" w:fill="AEAAAA"/>
            <w:vAlign w:val="center"/>
          </w:tcPr>
          <w:p w14:paraId="7F1965E0">
            <w:pPr>
              <w:jc w:val="center"/>
              <w:rPr>
                <w:rFonts w:ascii="宋体" w:hAnsi="宋体" w:eastAsia="宋体" w:cs="宋体"/>
                <w:color w:val="000000"/>
                <w:sz w:val="18"/>
                <w:szCs w:val="18"/>
              </w:rPr>
            </w:pPr>
            <w:r>
              <w:rPr>
                <w:rFonts w:hint="eastAsia" w:ascii="宋体" w:hAnsi="宋体" w:eastAsia="宋体" w:cs="宋体"/>
                <w:color w:val="000000"/>
                <w:sz w:val="18"/>
                <w:szCs w:val="18"/>
              </w:rPr>
              <w:t>销售模式/销售渠道</w:t>
            </w:r>
          </w:p>
        </w:tc>
        <w:tc>
          <w:tcPr>
            <w:tcW w:w="905" w:type="pct"/>
            <w:tcBorders>
              <w:top w:val="single" w:color="auto" w:sz="8" w:space="0"/>
              <w:left w:val="nil"/>
              <w:bottom w:val="single" w:color="auto" w:sz="8" w:space="0"/>
              <w:right w:val="single" w:color="auto" w:sz="8" w:space="0"/>
            </w:tcBorders>
            <w:shd w:val="clear" w:color="auto" w:fill="AEAAAA"/>
            <w:vAlign w:val="center"/>
          </w:tcPr>
          <w:p w14:paraId="0C6644FA">
            <w:pPr>
              <w:jc w:val="center"/>
              <w:rPr>
                <w:rFonts w:ascii="宋体" w:hAnsi="宋体" w:eastAsia="宋体" w:cs="宋体"/>
                <w:color w:val="000000"/>
                <w:sz w:val="18"/>
                <w:szCs w:val="18"/>
              </w:rPr>
            </w:pPr>
            <w:r>
              <w:rPr>
                <w:rFonts w:hint="eastAsia" w:ascii="宋体" w:hAnsi="宋体" w:eastAsia="宋体" w:cs="宋体"/>
                <w:color w:val="000000"/>
                <w:sz w:val="18"/>
                <w:szCs w:val="18"/>
              </w:rPr>
              <w:t>营业收入（元）</w:t>
            </w:r>
          </w:p>
        </w:tc>
        <w:tc>
          <w:tcPr>
            <w:tcW w:w="586" w:type="pct"/>
            <w:tcBorders>
              <w:top w:val="single" w:color="auto" w:sz="8" w:space="0"/>
              <w:left w:val="nil"/>
              <w:bottom w:val="single" w:color="auto" w:sz="8" w:space="0"/>
              <w:right w:val="single" w:color="auto" w:sz="8" w:space="0"/>
            </w:tcBorders>
            <w:shd w:val="clear" w:color="auto" w:fill="AEAAAA"/>
            <w:vAlign w:val="center"/>
          </w:tcPr>
          <w:p w14:paraId="4A70F560">
            <w:pPr>
              <w:jc w:val="center"/>
              <w:rPr>
                <w:rFonts w:ascii="宋体" w:hAnsi="宋体" w:eastAsia="宋体" w:cs="宋体"/>
                <w:color w:val="000000"/>
                <w:sz w:val="18"/>
                <w:szCs w:val="18"/>
              </w:rPr>
            </w:pPr>
            <w:r>
              <w:rPr>
                <w:rFonts w:hint="eastAsia" w:ascii="宋体" w:hAnsi="宋体" w:eastAsia="宋体" w:cs="宋体"/>
                <w:color w:val="000000"/>
                <w:sz w:val="18"/>
                <w:szCs w:val="18"/>
              </w:rPr>
              <w:t>比上年同期增减</w:t>
            </w:r>
          </w:p>
        </w:tc>
        <w:tc>
          <w:tcPr>
            <w:tcW w:w="726" w:type="pct"/>
            <w:tcBorders>
              <w:top w:val="single" w:color="auto" w:sz="8" w:space="0"/>
              <w:left w:val="nil"/>
              <w:bottom w:val="single" w:color="auto" w:sz="8" w:space="0"/>
              <w:right w:val="single" w:color="auto" w:sz="8" w:space="0"/>
            </w:tcBorders>
            <w:shd w:val="clear" w:color="auto" w:fill="AEAAAA"/>
            <w:vAlign w:val="center"/>
          </w:tcPr>
          <w:p w14:paraId="6A823372">
            <w:pPr>
              <w:jc w:val="center"/>
              <w:rPr>
                <w:rFonts w:ascii="宋体" w:hAnsi="宋体" w:eastAsia="宋体" w:cs="宋体"/>
                <w:color w:val="000000"/>
                <w:sz w:val="18"/>
                <w:szCs w:val="18"/>
              </w:rPr>
            </w:pPr>
            <w:r>
              <w:rPr>
                <w:rFonts w:hint="eastAsia" w:ascii="宋体" w:hAnsi="宋体" w:eastAsia="宋体" w:cs="宋体"/>
                <w:color w:val="000000"/>
                <w:sz w:val="18"/>
                <w:szCs w:val="18"/>
              </w:rPr>
              <w:t>营业成本（元）</w:t>
            </w:r>
          </w:p>
        </w:tc>
        <w:tc>
          <w:tcPr>
            <w:tcW w:w="652" w:type="pct"/>
            <w:tcBorders>
              <w:top w:val="single" w:color="auto" w:sz="8" w:space="0"/>
              <w:left w:val="nil"/>
              <w:bottom w:val="single" w:color="auto" w:sz="8" w:space="0"/>
              <w:right w:val="single" w:color="auto" w:sz="8" w:space="0"/>
            </w:tcBorders>
            <w:shd w:val="clear" w:color="auto" w:fill="AEAAAA"/>
            <w:vAlign w:val="center"/>
          </w:tcPr>
          <w:p w14:paraId="1FFC98DF">
            <w:pPr>
              <w:jc w:val="center"/>
              <w:rPr>
                <w:rFonts w:ascii="宋体" w:hAnsi="宋体" w:eastAsia="宋体" w:cs="宋体"/>
                <w:color w:val="000000"/>
                <w:sz w:val="18"/>
                <w:szCs w:val="18"/>
              </w:rPr>
            </w:pPr>
            <w:r>
              <w:rPr>
                <w:rFonts w:hint="eastAsia" w:ascii="宋体" w:hAnsi="宋体" w:eastAsia="宋体" w:cs="宋体"/>
                <w:color w:val="000000"/>
                <w:sz w:val="18"/>
                <w:szCs w:val="18"/>
              </w:rPr>
              <w:t>比上年同期增减</w:t>
            </w:r>
          </w:p>
        </w:tc>
        <w:tc>
          <w:tcPr>
            <w:tcW w:w="497" w:type="pct"/>
            <w:tcBorders>
              <w:top w:val="single" w:color="auto" w:sz="8" w:space="0"/>
              <w:left w:val="nil"/>
              <w:bottom w:val="single" w:color="auto" w:sz="8" w:space="0"/>
              <w:right w:val="single" w:color="auto" w:sz="8" w:space="0"/>
            </w:tcBorders>
            <w:shd w:val="clear" w:color="auto" w:fill="AEAAAA"/>
            <w:vAlign w:val="center"/>
          </w:tcPr>
          <w:p w14:paraId="3881718A">
            <w:pPr>
              <w:jc w:val="center"/>
              <w:rPr>
                <w:rFonts w:ascii="宋体" w:hAnsi="宋体" w:eastAsia="宋体" w:cs="宋体"/>
                <w:color w:val="000000"/>
                <w:sz w:val="18"/>
                <w:szCs w:val="18"/>
              </w:rPr>
            </w:pPr>
            <w:r>
              <w:rPr>
                <w:rFonts w:hint="eastAsia" w:ascii="宋体" w:hAnsi="宋体" w:eastAsia="宋体" w:cs="宋体"/>
                <w:color w:val="000000"/>
                <w:sz w:val="18"/>
                <w:szCs w:val="18"/>
              </w:rPr>
              <w:t>毛利率</w:t>
            </w:r>
          </w:p>
        </w:tc>
        <w:tc>
          <w:tcPr>
            <w:tcW w:w="717" w:type="pct"/>
            <w:tcBorders>
              <w:top w:val="single" w:color="auto" w:sz="8" w:space="0"/>
              <w:left w:val="nil"/>
              <w:bottom w:val="single" w:color="auto" w:sz="8" w:space="0"/>
              <w:right w:val="single" w:color="auto" w:sz="8" w:space="0"/>
            </w:tcBorders>
            <w:shd w:val="clear" w:color="auto" w:fill="AEAAAA"/>
            <w:vAlign w:val="center"/>
          </w:tcPr>
          <w:p w14:paraId="58ED7C65">
            <w:pPr>
              <w:jc w:val="center"/>
              <w:rPr>
                <w:rFonts w:ascii="宋体" w:hAnsi="宋体" w:eastAsia="宋体" w:cs="宋体"/>
                <w:color w:val="000000"/>
                <w:sz w:val="18"/>
                <w:szCs w:val="18"/>
              </w:rPr>
            </w:pPr>
            <w:r>
              <w:rPr>
                <w:rFonts w:hint="eastAsia" w:ascii="宋体" w:hAnsi="宋体" w:eastAsia="宋体" w:cs="宋体"/>
                <w:color w:val="000000"/>
                <w:sz w:val="18"/>
                <w:szCs w:val="18"/>
              </w:rPr>
              <w:t>比上年同期增减</w:t>
            </w:r>
          </w:p>
        </w:tc>
      </w:tr>
      <w:tr w14:paraId="4B690553">
        <w:trPr>
          <w:trHeight w:val="435" w:hRule="atLeast"/>
          <w:jc w:val="center"/>
        </w:trPr>
        <w:tc>
          <w:tcPr>
            <w:tcW w:w="913" w:type="pct"/>
            <w:tcBorders>
              <w:top w:val="nil"/>
              <w:left w:val="single" w:color="auto" w:sz="8" w:space="0"/>
              <w:bottom w:val="single" w:color="auto" w:sz="8" w:space="0"/>
              <w:right w:val="single" w:color="auto" w:sz="8" w:space="0"/>
            </w:tcBorders>
            <w:vAlign w:val="center"/>
          </w:tcPr>
          <w:p w14:paraId="47E9AD3D">
            <w:pPr>
              <w:jc w:val="center"/>
              <w:rPr>
                <w:rFonts w:ascii="宋体" w:hAnsi="宋体" w:eastAsia="宋体" w:cs="宋体"/>
                <w:color w:val="000000"/>
                <w:sz w:val="18"/>
                <w:szCs w:val="18"/>
              </w:rPr>
            </w:pPr>
            <w:r>
              <w:rPr>
                <w:rFonts w:hint="eastAsia" w:ascii="宋体" w:hAnsi="宋体" w:eastAsia="宋体" w:cs="宋体"/>
                <w:color w:val="000000"/>
                <w:sz w:val="18"/>
                <w:szCs w:val="18"/>
              </w:rPr>
              <w:t>直销</w:t>
            </w:r>
          </w:p>
        </w:tc>
        <w:tc>
          <w:tcPr>
            <w:tcW w:w="905" w:type="pct"/>
            <w:tcBorders>
              <w:top w:val="nil"/>
              <w:left w:val="nil"/>
              <w:bottom w:val="single" w:color="auto" w:sz="8" w:space="0"/>
              <w:right w:val="single" w:color="auto" w:sz="8" w:space="0"/>
            </w:tcBorders>
            <w:vAlign w:val="center"/>
          </w:tcPr>
          <w:p w14:paraId="6AA7E9F4">
            <w:pPr>
              <w:jc w:val="right"/>
              <w:rPr>
                <w:rFonts w:ascii="宋体" w:hAnsi="宋体" w:eastAsia="宋体" w:cs="宋体"/>
                <w:color w:val="000000"/>
                <w:sz w:val="18"/>
                <w:szCs w:val="18"/>
              </w:rPr>
            </w:pPr>
            <w:r>
              <w:rPr>
                <w:rFonts w:hint="eastAsia" w:ascii="宋体" w:hAnsi="宋体" w:eastAsia="宋体" w:cs="宋体"/>
                <w:color w:val="000000"/>
                <w:sz w:val="18"/>
                <w:szCs w:val="18"/>
              </w:rPr>
              <w:t>175,665.05</w:t>
            </w:r>
          </w:p>
        </w:tc>
        <w:tc>
          <w:tcPr>
            <w:tcW w:w="586" w:type="pct"/>
            <w:tcBorders>
              <w:top w:val="nil"/>
              <w:left w:val="nil"/>
              <w:bottom w:val="single" w:color="auto" w:sz="8" w:space="0"/>
              <w:right w:val="single" w:color="auto" w:sz="8" w:space="0"/>
            </w:tcBorders>
            <w:vAlign w:val="center"/>
          </w:tcPr>
          <w:p w14:paraId="46C72BF4">
            <w:pPr>
              <w:jc w:val="right"/>
              <w:rPr>
                <w:rFonts w:ascii="宋体" w:hAnsi="宋体" w:eastAsia="宋体" w:cs="宋体"/>
                <w:color w:val="000000"/>
                <w:sz w:val="18"/>
                <w:szCs w:val="18"/>
              </w:rPr>
            </w:pPr>
            <w:r>
              <w:rPr>
                <w:rFonts w:hint="eastAsia" w:ascii="宋体" w:hAnsi="宋体" w:eastAsia="宋体" w:cs="宋体"/>
                <w:color w:val="000000"/>
                <w:sz w:val="18"/>
                <w:szCs w:val="18"/>
              </w:rPr>
              <w:t>-58.15%</w:t>
            </w:r>
          </w:p>
        </w:tc>
        <w:tc>
          <w:tcPr>
            <w:tcW w:w="726" w:type="pct"/>
            <w:tcBorders>
              <w:top w:val="nil"/>
              <w:left w:val="nil"/>
              <w:bottom w:val="single" w:color="auto" w:sz="8" w:space="0"/>
              <w:right w:val="single" w:color="auto" w:sz="8" w:space="0"/>
            </w:tcBorders>
            <w:vAlign w:val="center"/>
          </w:tcPr>
          <w:p w14:paraId="61EE0236">
            <w:pPr>
              <w:jc w:val="right"/>
              <w:rPr>
                <w:rFonts w:ascii="宋体" w:hAnsi="宋体" w:eastAsia="宋体" w:cs="宋体"/>
                <w:color w:val="000000"/>
                <w:sz w:val="18"/>
                <w:szCs w:val="18"/>
              </w:rPr>
            </w:pPr>
            <w:r>
              <w:rPr>
                <w:rFonts w:hint="eastAsia" w:ascii="宋体" w:hAnsi="宋体" w:eastAsia="宋体" w:cs="宋体"/>
                <w:color w:val="000000"/>
                <w:sz w:val="18"/>
                <w:szCs w:val="18"/>
              </w:rPr>
              <w:t>111,873.09</w:t>
            </w:r>
          </w:p>
        </w:tc>
        <w:tc>
          <w:tcPr>
            <w:tcW w:w="652" w:type="pct"/>
            <w:tcBorders>
              <w:top w:val="nil"/>
              <w:left w:val="nil"/>
              <w:bottom w:val="single" w:color="auto" w:sz="8" w:space="0"/>
              <w:right w:val="single" w:color="auto" w:sz="8" w:space="0"/>
            </w:tcBorders>
            <w:vAlign w:val="center"/>
          </w:tcPr>
          <w:p w14:paraId="02D7B1E7">
            <w:pPr>
              <w:jc w:val="right"/>
              <w:rPr>
                <w:rFonts w:ascii="宋体" w:hAnsi="宋体" w:eastAsia="宋体" w:cs="宋体"/>
                <w:color w:val="000000"/>
                <w:sz w:val="18"/>
                <w:szCs w:val="18"/>
              </w:rPr>
            </w:pPr>
            <w:r>
              <w:rPr>
                <w:rFonts w:hint="eastAsia" w:ascii="宋体" w:hAnsi="宋体" w:eastAsia="宋体" w:cs="宋体"/>
                <w:color w:val="000000"/>
                <w:sz w:val="18"/>
                <w:szCs w:val="18"/>
              </w:rPr>
              <w:t>-57.45%</w:t>
            </w:r>
          </w:p>
        </w:tc>
        <w:tc>
          <w:tcPr>
            <w:tcW w:w="497" w:type="pct"/>
            <w:tcBorders>
              <w:top w:val="nil"/>
              <w:left w:val="nil"/>
              <w:bottom w:val="single" w:color="auto" w:sz="8" w:space="0"/>
              <w:right w:val="single" w:color="auto" w:sz="8" w:space="0"/>
            </w:tcBorders>
            <w:vAlign w:val="center"/>
          </w:tcPr>
          <w:p w14:paraId="27D0AE0E">
            <w:pPr>
              <w:jc w:val="right"/>
              <w:rPr>
                <w:rFonts w:ascii="宋体" w:hAnsi="宋体" w:eastAsia="宋体" w:cs="宋体"/>
                <w:color w:val="000000"/>
                <w:sz w:val="18"/>
                <w:szCs w:val="18"/>
              </w:rPr>
            </w:pPr>
            <w:r>
              <w:rPr>
                <w:rFonts w:hint="eastAsia" w:ascii="宋体" w:hAnsi="宋体" w:eastAsia="宋体" w:cs="宋体"/>
                <w:color w:val="000000"/>
                <w:sz w:val="18"/>
                <w:szCs w:val="18"/>
              </w:rPr>
              <w:t>36.31%</w:t>
            </w:r>
          </w:p>
        </w:tc>
        <w:tc>
          <w:tcPr>
            <w:tcW w:w="717" w:type="pct"/>
            <w:tcBorders>
              <w:top w:val="nil"/>
              <w:left w:val="nil"/>
              <w:bottom w:val="single" w:color="auto" w:sz="8" w:space="0"/>
              <w:right w:val="single" w:color="auto" w:sz="8" w:space="0"/>
            </w:tcBorders>
            <w:vAlign w:val="center"/>
          </w:tcPr>
          <w:p w14:paraId="0BB21F57">
            <w:pPr>
              <w:jc w:val="right"/>
              <w:rPr>
                <w:rFonts w:ascii="宋体" w:hAnsi="宋体" w:eastAsia="宋体" w:cs="宋体"/>
                <w:color w:val="000000"/>
                <w:sz w:val="18"/>
                <w:szCs w:val="18"/>
              </w:rPr>
            </w:pPr>
            <w:r>
              <w:rPr>
                <w:rFonts w:hint="eastAsia" w:ascii="宋体" w:hAnsi="宋体" w:eastAsia="宋体" w:cs="宋体"/>
                <w:color w:val="000000"/>
                <w:sz w:val="18"/>
                <w:szCs w:val="18"/>
              </w:rPr>
              <w:t>-1.05%</w:t>
            </w:r>
          </w:p>
        </w:tc>
      </w:tr>
      <w:tr w14:paraId="2EDC3F5A">
        <w:trPr>
          <w:trHeight w:val="435" w:hRule="atLeast"/>
          <w:jc w:val="center"/>
        </w:trPr>
        <w:tc>
          <w:tcPr>
            <w:tcW w:w="913" w:type="pct"/>
            <w:tcBorders>
              <w:top w:val="nil"/>
              <w:left w:val="single" w:color="auto" w:sz="8" w:space="0"/>
              <w:bottom w:val="single" w:color="auto" w:sz="8" w:space="0"/>
              <w:right w:val="single" w:color="auto" w:sz="8" w:space="0"/>
            </w:tcBorders>
            <w:vAlign w:val="center"/>
          </w:tcPr>
          <w:p w14:paraId="16FE2E40">
            <w:pPr>
              <w:jc w:val="center"/>
              <w:rPr>
                <w:rFonts w:ascii="宋体" w:hAnsi="宋体" w:eastAsia="宋体" w:cs="宋体"/>
                <w:color w:val="000000"/>
                <w:sz w:val="18"/>
                <w:szCs w:val="18"/>
              </w:rPr>
            </w:pPr>
            <w:r>
              <w:rPr>
                <w:rFonts w:hint="eastAsia" w:ascii="宋体" w:hAnsi="宋体" w:eastAsia="宋体" w:cs="宋体"/>
                <w:color w:val="000000"/>
                <w:sz w:val="18"/>
                <w:szCs w:val="18"/>
              </w:rPr>
              <w:t>经销商</w:t>
            </w:r>
          </w:p>
        </w:tc>
        <w:tc>
          <w:tcPr>
            <w:tcW w:w="905" w:type="pct"/>
            <w:tcBorders>
              <w:top w:val="nil"/>
              <w:left w:val="nil"/>
              <w:bottom w:val="single" w:color="auto" w:sz="8" w:space="0"/>
              <w:right w:val="single" w:color="auto" w:sz="8" w:space="0"/>
            </w:tcBorders>
            <w:vAlign w:val="center"/>
          </w:tcPr>
          <w:p w14:paraId="304112B6">
            <w:pPr>
              <w:jc w:val="right"/>
              <w:rPr>
                <w:rFonts w:ascii="宋体" w:hAnsi="宋体" w:eastAsia="宋体" w:cs="宋体"/>
                <w:color w:val="000000"/>
                <w:sz w:val="18"/>
                <w:szCs w:val="18"/>
              </w:rPr>
            </w:pPr>
            <w:r>
              <w:rPr>
                <w:rFonts w:hint="eastAsia" w:ascii="宋体" w:hAnsi="宋体" w:eastAsia="宋体" w:cs="宋体"/>
                <w:color w:val="000000"/>
                <w:sz w:val="18"/>
                <w:szCs w:val="18"/>
              </w:rPr>
              <w:t>192,923,927.89</w:t>
            </w:r>
          </w:p>
        </w:tc>
        <w:tc>
          <w:tcPr>
            <w:tcW w:w="586" w:type="pct"/>
            <w:tcBorders>
              <w:top w:val="nil"/>
              <w:left w:val="nil"/>
              <w:bottom w:val="single" w:color="auto" w:sz="8" w:space="0"/>
              <w:right w:val="single" w:color="auto" w:sz="8" w:space="0"/>
            </w:tcBorders>
            <w:vAlign w:val="center"/>
          </w:tcPr>
          <w:p w14:paraId="4B779234">
            <w:pPr>
              <w:jc w:val="right"/>
              <w:rPr>
                <w:rFonts w:ascii="宋体" w:hAnsi="宋体" w:eastAsia="宋体" w:cs="宋体"/>
                <w:color w:val="000000"/>
                <w:sz w:val="18"/>
                <w:szCs w:val="18"/>
              </w:rPr>
            </w:pPr>
            <w:r>
              <w:rPr>
                <w:rFonts w:hint="eastAsia" w:ascii="宋体" w:hAnsi="宋体" w:eastAsia="宋体" w:cs="宋体"/>
                <w:color w:val="000000"/>
                <w:sz w:val="18"/>
                <w:szCs w:val="18"/>
              </w:rPr>
              <w:t>31.25%</w:t>
            </w:r>
          </w:p>
        </w:tc>
        <w:tc>
          <w:tcPr>
            <w:tcW w:w="726" w:type="pct"/>
            <w:tcBorders>
              <w:top w:val="nil"/>
              <w:left w:val="nil"/>
              <w:bottom w:val="single" w:color="auto" w:sz="8" w:space="0"/>
              <w:right w:val="single" w:color="auto" w:sz="8" w:space="0"/>
            </w:tcBorders>
            <w:vAlign w:val="center"/>
          </w:tcPr>
          <w:p w14:paraId="4530B6AC">
            <w:pPr>
              <w:jc w:val="right"/>
              <w:rPr>
                <w:rFonts w:ascii="宋体" w:hAnsi="宋体" w:eastAsia="宋体" w:cs="宋体"/>
                <w:color w:val="000000"/>
                <w:sz w:val="18"/>
                <w:szCs w:val="18"/>
              </w:rPr>
            </w:pPr>
            <w:r>
              <w:rPr>
                <w:rFonts w:hint="eastAsia" w:ascii="宋体" w:hAnsi="宋体" w:eastAsia="宋体" w:cs="宋体"/>
                <w:color w:val="000000"/>
                <w:sz w:val="18"/>
                <w:szCs w:val="18"/>
              </w:rPr>
              <w:t>122,528,862.90</w:t>
            </w:r>
          </w:p>
        </w:tc>
        <w:tc>
          <w:tcPr>
            <w:tcW w:w="652" w:type="pct"/>
            <w:tcBorders>
              <w:top w:val="nil"/>
              <w:left w:val="nil"/>
              <w:bottom w:val="single" w:color="auto" w:sz="8" w:space="0"/>
              <w:right w:val="single" w:color="auto" w:sz="8" w:space="0"/>
            </w:tcBorders>
            <w:vAlign w:val="center"/>
          </w:tcPr>
          <w:p w14:paraId="78DCBFE5">
            <w:pPr>
              <w:jc w:val="right"/>
              <w:rPr>
                <w:rFonts w:ascii="宋体" w:hAnsi="宋体" w:eastAsia="宋体" w:cs="宋体"/>
                <w:color w:val="000000"/>
                <w:sz w:val="18"/>
                <w:szCs w:val="18"/>
              </w:rPr>
            </w:pPr>
            <w:r>
              <w:rPr>
                <w:rFonts w:hint="eastAsia" w:ascii="宋体" w:hAnsi="宋体" w:eastAsia="宋体" w:cs="宋体"/>
                <w:color w:val="000000"/>
                <w:sz w:val="18"/>
                <w:szCs w:val="18"/>
              </w:rPr>
              <w:t>18.90%</w:t>
            </w:r>
          </w:p>
        </w:tc>
        <w:tc>
          <w:tcPr>
            <w:tcW w:w="497" w:type="pct"/>
            <w:tcBorders>
              <w:top w:val="nil"/>
              <w:left w:val="nil"/>
              <w:bottom w:val="single" w:color="auto" w:sz="8" w:space="0"/>
              <w:right w:val="single" w:color="auto" w:sz="8" w:space="0"/>
            </w:tcBorders>
            <w:vAlign w:val="center"/>
          </w:tcPr>
          <w:p w14:paraId="47BAA51C">
            <w:pPr>
              <w:jc w:val="right"/>
              <w:rPr>
                <w:rFonts w:ascii="宋体" w:hAnsi="宋体" w:eastAsia="宋体" w:cs="宋体"/>
                <w:color w:val="000000"/>
                <w:sz w:val="18"/>
                <w:szCs w:val="18"/>
              </w:rPr>
            </w:pPr>
            <w:r>
              <w:rPr>
                <w:rFonts w:hint="eastAsia" w:ascii="宋体" w:hAnsi="宋体" w:eastAsia="宋体" w:cs="宋体"/>
                <w:color w:val="000000"/>
                <w:sz w:val="18"/>
                <w:szCs w:val="18"/>
              </w:rPr>
              <w:t>36.49%</w:t>
            </w:r>
          </w:p>
        </w:tc>
        <w:tc>
          <w:tcPr>
            <w:tcW w:w="717" w:type="pct"/>
            <w:tcBorders>
              <w:top w:val="nil"/>
              <w:left w:val="nil"/>
              <w:bottom w:val="single" w:color="auto" w:sz="8" w:space="0"/>
              <w:right w:val="single" w:color="auto" w:sz="8" w:space="0"/>
            </w:tcBorders>
            <w:vAlign w:val="center"/>
          </w:tcPr>
          <w:p w14:paraId="5E5CF2D2">
            <w:pPr>
              <w:jc w:val="right"/>
              <w:rPr>
                <w:rFonts w:ascii="宋体" w:hAnsi="宋体" w:eastAsia="宋体" w:cs="宋体"/>
                <w:color w:val="000000"/>
                <w:sz w:val="18"/>
                <w:szCs w:val="18"/>
              </w:rPr>
            </w:pPr>
            <w:r>
              <w:rPr>
                <w:rFonts w:hint="eastAsia" w:ascii="宋体" w:hAnsi="宋体" w:eastAsia="宋体" w:cs="宋体"/>
                <w:color w:val="000000"/>
                <w:sz w:val="18"/>
                <w:szCs w:val="18"/>
              </w:rPr>
              <w:t>6.60%</w:t>
            </w:r>
          </w:p>
        </w:tc>
      </w:tr>
    </w:tbl>
    <w:p w14:paraId="52772A19">
      <w:pPr>
        <w:pStyle w:val="9"/>
        <w:rPr>
          <w:rFonts w:ascii="Times New Roman" w:hAnsi="Times New Roman" w:cs="Times New Roman"/>
        </w:rPr>
      </w:pPr>
      <w:r>
        <w:rPr>
          <w:rFonts w:hint="eastAsia" w:cs="Times New Roman"/>
          <w:sz w:val="18"/>
          <w:szCs w:val="18"/>
        </w:rPr>
        <w:t>（二）按产品类别分类，公司各类产品的营业收入、营业成本、毛利率及同比变动情况：</w:t>
      </w:r>
    </w:p>
    <w:tbl>
      <w:tblPr>
        <w:tblStyle w:val="11"/>
        <w:tblW w:w="4997" w:type="pct"/>
        <w:jc w:val="center"/>
        <w:tblLayout w:type="fixed"/>
        <w:tblCellMar>
          <w:top w:w="0" w:type="dxa"/>
          <w:left w:w="0" w:type="dxa"/>
          <w:bottom w:w="0" w:type="dxa"/>
          <w:right w:w="0" w:type="dxa"/>
        </w:tblCellMar>
      </w:tblPr>
      <w:tblGrid>
        <w:gridCol w:w="2082"/>
        <w:gridCol w:w="1393"/>
        <w:gridCol w:w="1392"/>
        <w:gridCol w:w="1392"/>
        <w:gridCol w:w="1392"/>
        <w:gridCol w:w="608"/>
        <w:gridCol w:w="1392"/>
      </w:tblGrid>
      <w:tr w14:paraId="130FC074">
        <w:trPr>
          <w:trHeight w:val="482" w:hRule="atLeast"/>
          <w:jc w:val="center"/>
        </w:trPr>
        <w:tc>
          <w:tcPr>
            <w:tcW w:w="1077" w:type="pct"/>
            <w:tcBorders>
              <w:top w:val="single" w:color="auto" w:sz="8" w:space="0"/>
              <w:left w:val="single" w:color="auto" w:sz="8" w:space="0"/>
              <w:bottom w:val="single" w:color="auto" w:sz="8" w:space="0"/>
              <w:right w:val="single" w:color="auto" w:sz="8" w:space="0"/>
            </w:tcBorders>
            <w:shd w:val="clear" w:color="auto" w:fill="AEAAAA"/>
            <w:vAlign w:val="center"/>
          </w:tcPr>
          <w:p w14:paraId="7878A8F6">
            <w:pPr>
              <w:jc w:val="center"/>
              <w:rPr>
                <w:rFonts w:ascii="宋体" w:hAnsi="宋体" w:eastAsia="宋体" w:cs="宋体"/>
                <w:color w:val="000000"/>
                <w:sz w:val="18"/>
                <w:szCs w:val="18"/>
              </w:rPr>
            </w:pPr>
            <w:r>
              <w:rPr>
                <w:rFonts w:hint="eastAsia" w:ascii="宋体" w:hAnsi="宋体" w:eastAsia="宋体" w:cs="宋体"/>
                <w:color w:val="000000"/>
                <w:sz w:val="18"/>
                <w:szCs w:val="18"/>
              </w:rPr>
              <w:t>产品类别</w:t>
            </w:r>
          </w:p>
        </w:tc>
        <w:tc>
          <w:tcPr>
            <w:tcW w:w="721" w:type="pct"/>
            <w:tcBorders>
              <w:top w:val="single" w:color="auto" w:sz="8" w:space="0"/>
              <w:left w:val="nil"/>
              <w:bottom w:val="single" w:color="auto" w:sz="8" w:space="0"/>
              <w:right w:val="single" w:color="auto" w:sz="8" w:space="0"/>
            </w:tcBorders>
            <w:shd w:val="clear" w:color="auto" w:fill="AEAAAA"/>
            <w:vAlign w:val="center"/>
          </w:tcPr>
          <w:p w14:paraId="47F6D982">
            <w:pPr>
              <w:jc w:val="center"/>
              <w:rPr>
                <w:rFonts w:ascii="宋体" w:hAnsi="宋体" w:eastAsia="宋体" w:cs="宋体"/>
                <w:color w:val="000000"/>
                <w:sz w:val="18"/>
                <w:szCs w:val="18"/>
              </w:rPr>
            </w:pPr>
            <w:r>
              <w:rPr>
                <w:rFonts w:hint="eastAsia" w:ascii="宋体" w:hAnsi="宋体" w:eastAsia="宋体" w:cs="宋体"/>
                <w:color w:val="000000"/>
                <w:sz w:val="18"/>
                <w:szCs w:val="18"/>
              </w:rPr>
              <w:t>营业收入（元）</w:t>
            </w:r>
          </w:p>
        </w:tc>
        <w:tc>
          <w:tcPr>
            <w:tcW w:w="721" w:type="pct"/>
            <w:tcBorders>
              <w:top w:val="single" w:color="auto" w:sz="8" w:space="0"/>
              <w:left w:val="nil"/>
              <w:bottom w:val="single" w:color="auto" w:sz="8" w:space="0"/>
              <w:right w:val="single" w:color="auto" w:sz="8" w:space="0"/>
            </w:tcBorders>
            <w:shd w:val="clear" w:color="auto" w:fill="AEAAAA"/>
            <w:vAlign w:val="center"/>
          </w:tcPr>
          <w:p w14:paraId="640318AE">
            <w:pPr>
              <w:jc w:val="center"/>
              <w:rPr>
                <w:rFonts w:ascii="宋体" w:hAnsi="宋体" w:eastAsia="宋体" w:cs="宋体"/>
                <w:color w:val="000000"/>
                <w:sz w:val="18"/>
                <w:szCs w:val="18"/>
              </w:rPr>
            </w:pPr>
            <w:r>
              <w:rPr>
                <w:rFonts w:hint="eastAsia" w:ascii="宋体" w:hAnsi="宋体" w:eastAsia="宋体" w:cs="宋体"/>
                <w:color w:val="000000"/>
                <w:sz w:val="18"/>
                <w:szCs w:val="18"/>
              </w:rPr>
              <w:t>比上年同期增减</w:t>
            </w:r>
          </w:p>
        </w:tc>
        <w:tc>
          <w:tcPr>
            <w:tcW w:w="721" w:type="pct"/>
            <w:tcBorders>
              <w:top w:val="single" w:color="auto" w:sz="8" w:space="0"/>
              <w:left w:val="nil"/>
              <w:bottom w:val="single" w:color="auto" w:sz="8" w:space="0"/>
              <w:right w:val="single" w:color="auto" w:sz="8" w:space="0"/>
            </w:tcBorders>
            <w:shd w:val="clear" w:color="auto" w:fill="AEAAAA"/>
            <w:vAlign w:val="center"/>
          </w:tcPr>
          <w:p w14:paraId="65D6BDD9">
            <w:pPr>
              <w:jc w:val="center"/>
              <w:rPr>
                <w:rFonts w:ascii="宋体" w:hAnsi="宋体" w:eastAsia="宋体" w:cs="宋体"/>
                <w:color w:val="000000"/>
                <w:sz w:val="18"/>
                <w:szCs w:val="18"/>
              </w:rPr>
            </w:pPr>
            <w:r>
              <w:rPr>
                <w:rFonts w:hint="eastAsia" w:ascii="宋体" w:hAnsi="宋体" w:eastAsia="宋体" w:cs="宋体"/>
                <w:color w:val="000000"/>
                <w:sz w:val="18"/>
                <w:szCs w:val="18"/>
              </w:rPr>
              <w:t>营业成本（元）</w:t>
            </w:r>
          </w:p>
        </w:tc>
        <w:tc>
          <w:tcPr>
            <w:tcW w:w="721" w:type="pct"/>
            <w:tcBorders>
              <w:top w:val="single" w:color="auto" w:sz="8" w:space="0"/>
              <w:left w:val="nil"/>
              <w:bottom w:val="single" w:color="auto" w:sz="8" w:space="0"/>
              <w:right w:val="single" w:color="auto" w:sz="8" w:space="0"/>
            </w:tcBorders>
            <w:shd w:val="clear" w:color="auto" w:fill="AEAAAA"/>
            <w:vAlign w:val="center"/>
          </w:tcPr>
          <w:p w14:paraId="7A3E2A96">
            <w:pPr>
              <w:jc w:val="center"/>
              <w:rPr>
                <w:rFonts w:ascii="宋体" w:hAnsi="宋体" w:eastAsia="宋体" w:cs="宋体"/>
                <w:color w:val="000000"/>
                <w:sz w:val="18"/>
                <w:szCs w:val="18"/>
              </w:rPr>
            </w:pPr>
            <w:r>
              <w:rPr>
                <w:rFonts w:hint="eastAsia" w:ascii="宋体" w:hAnsi="宋体" w:eastAsia="宋体" w:cs="宋体"/>
                <w:color w:val="000000"/>
                <w:sz w:val="18"/>
                <w:szCs w:val="18"/>
              </w:rPr>
              <w:t>比上年同期增减</w:t>
            </w:r>
          </w:p>
        </w:tc>
        <w:tc>
          <w:tcPr>
            <w:tcW w:w="315" w:type="pct"/>
            <w:tcBorders>
              <w:top w:val="single" w:color="auto" w:sz="8" w:space="0"/>
              <w:left w:val="nil"/>
              <w:bottom w:val="single" w:color="auto" w:sz="8" w:space="0"/>
              <w:right w:val="single" w:color="auto" w:sz="8" w:space="0"/>
            </w:tcBorders>
            <w:shd w:val="clear" w:color="auto" w:fill="AEAAAA"/>
            <w:vAlign w:val="center"/>
          </w:tcPr>
          <w:p w14:paraId="3DF4A6E4">
            <w:pPr>
              <w:jc w:val="center"/>
              <w:rPr>
                <w:rFonts w:ascii="宋体" w:hAnsi="宋体" w:eastAsia="宋体" w:cs="宋体"/>
                <w:color w:val="000000"/>
                <w:sz w:val="18"/>
                <w:szCs w:val="18"/>
              </w:rPr>
            </w:pPr>
            <w:r>
              <w:rPr>
                <w:rFonts w:hint="eastAsia" w:ascii="宋体" w:hAnsi="宋体" w:eastAsia="宋体" w:cs="宋体"/>
                <w:color w:val="000000"/>
                <w:sz w:val="18"/>
                <w:szCs w:val="18"/>
              </w:rPr>
              <w:t>毛利率</w:t>
            </w:r>
          </w:p>
        </w:tc>
        <w:tc>
          <w:tcPr>
            <w:tcW w:w="721" w:type="pct"/>
            <w:tcBorders>
              <w:top w:val="single" w:color="auto" w:sz="8" w:space="0"/>
              <w:left w:val="nil"/>
              <w:bottom w:val="single" w:color="auto" w:sz="8" w:space="0"/>
              <w:right w:val="single" w:color="auto" w:sz="8" w:space="0"/>
            </w:tcBorders>
            <w:shd w:val="clear" w:color="auto" w:fill="AEAAAA"/>
            <w:vAlign w:val="center"/>
          </w:tcPr>
          <w:p w14:paraId="6DB34FF8">
            <w:pPr>
              <w:jc w:val="center"/>
              <w:rPr>
                <w:rFonts w:ascii="宋体" w:hAnsi="宋体" w:eastAsia="宋体" w:cs="宋体"/>
                <w:color w:val="000000"/>
                <w:sz w:val="18"/>
                <w:szCs w:val="18"/>
              </w:rPr>
            </w:pPr>
            <w:r>
              <w:rPr>
                <w:rFonts w:hint="eastAsia" w:ascii="宋体" w:hAnsi="宋体" w:eastAsia="宋体" w:cs="宋体"/>
                <w:color w:val="000000"/>
                <w:sz w:val="18"/>
                <w:szCs w:val="18"/>
              </w:rPr>
              <w:t>比上年同期增减</w:t>
            </w:r>
          </w:p>
        </w:tc>
      </w:tr>
      <w:tr w14:paraId="6392D2FA">
        <w:trPr>
          <w:trHeight w:val="358" w:hRule="atLeast"/>
          <w:jc w:val="center"/>
        </w:trPr>
        <w:tc>
          <w:tcPr>
            <w:tcW w:w="1077" w:type="pct"/>
            <w:tcBorders>
              <w:top w:val="nil"/>
              <w:left w:val="single" w:color="auto" w:sz="8" w:space="0"/>
              <w:bottom w:val="single" w:color="auto" w:sz="8" w:space="0"/>
              <w:right w:val="single" w:color="auto" w:sz="8" w:space="0"/>
            </w:tcBorders>
            <w:vAlign w:val="center"/>
          </w:tcPr>
          <w:p w14:paraId="5E56D038">
            <w:pPr>
              <w:jc w:val="center"/>
              <w:rPr>
                <w:rFonts w:ascii="宋体" w:hAnsi="宋体" w:eastAsia="宋体" w:cs="宋体"/>
                <w:color w:val="000000"/>
                <w:sz w:val="18"/>
                <w:szCs w:val="18"/>
              </w:rPr>
            </w:pPr>
            <w:r>
              <w:rPr>
                <w:rFonts w:hint="eastAsia" w:ascii="宋体" w:hAnsi="宋体" w:eastAsia="宋体" w:cs="宋体"/>
                <w:color w:val="000000"/>
                <w:sz w:val="18"/>
                <w:szCs w:val="18"/>
              </w:rPr>
              <w:t>普通瓶装啤酒628ml*12</w:t>
            </w:r>
          </w:p>
        </w:tc>
        <w:tc>
          <w:tcPr>
            <w:tcW w:w="721" w:type="pct"/>
            <w:tcBorders>
              <w:top w:val="nil"/>
              <w:left w:val="nil"/>
              <w:bottom w:val="single" w:color="auto" w:sz="8" w:space="0"/>
              <w:right w:val="single" w:color="auto" w:sz="8" w:space="0"/>
            </w:tcBorders>
            <w:vAlign w:val="center"/>
          </w:tcPr>
          <w:p w14:paraId="437EE962">
            <w:pPr>
              <w:jc w:val="right"/>
              <w:rPr>
                <w:rFonts w:ascii="宋体" w:hAnsi="宋体" w:eastAsia="宋体" w:cs="宋体"/>
                <w:color w:val="000000"/>
                <w:sz w:val="18"/>
                <w:szCs w:val="18"/>
              </w:rPr>
            </w:pPr>
            <w:r>
              <w:rPr>
                <w:rFonts w:hint="eastAsia" w:ascii="宋体" w:hAnsi="宋体" w:eastAsia="宋体" w:cs="宋体"/>
                <w:color w:val="000000"/>
                <w:sz w:val="18"/>
                <w:szCs w:val="18"/>
              </w:rPr>
              <w:t>111,942,955</w:t>
            </w:r>
          </w:p>
        </w:tc>
        <w:tc>
          <w:tcPr>
            <w:tcW w:w="721" w:type="pct"/>
            <w:tcBorders>
              <w:top w:val="nil"/>
              <w:left w:val="nil"/>
              <w:bottom w:val="single" w:color="auto" w:sz="8" w:space="0"/>
              <w:right w:val="single" w:color="auto" w:sz="8" w:space="0"/>
            </w:tcBorders>
            <w:vAlign w:val="center"/>
          </w:tcPr>
          <w:p w14:paraId="76CC23CC">
            <w:pPr>
              <w:jc w:val="right"/>
              <w:rPr>
                <w:rFonts w:ascii="宋体" w:hAnsi="宋体" w:eastAsia="宋体" w:cs="宋体"/>
                <w:color w:val="000000"/>
                <w:sz w:val="18"/>
                <w:szCs w:val="18"/>
              </w:rPr>
            </w:pPr>
            <w:r>
              <w:rPr>
                <w:rFonts w:hint="eastAsia" w:ascii="宋体" w:hAnsi="宋体" w:eastAsia="宋体" w:cs="宋体"/>
                <w:color w:val="000000"/>
                <w:sz w:val="18"/>
                <w:szCs w:val="18"/>
              </w:rPr>
              <w:t>22.63%</w:t>
            </w:r>
          </w:p>
        </w:tc>
        <w:tc>
          <w:tcPr>
            <w:tcW w:w="721" w:type="pct"/>
            <w:tcBorders>
              <w:top w:val="nil"/>
              <w:left w:val="nil"/>
              <w:bottom w:val="single" w:color="auto" w:sz="8" w:space="0"/>
              <w:right w:val="single" w:color="auto" w:sz="8" w:space="0"/>
            </w:tcBorders>
            <w:vAlign w:val="center"/>
          </w:tcPr>
          <w:p w14:paraId="10864917">
            <w:pPr>
              <w:jc w:val="right"/>
              <w:rPr>
                <w:rFonts w:ascii="宋体" w:hAnsi="宋体" w:eastAsia="宋体" w:cs="宋体"/>
                <w:color w:val="000000"/>
                <w:sz w:val="18"/>
                <w:szCs w:val="18"/>
              </w:rPr>
            </w:pPr>
            <w:r>
              <w:rPr>
                <w:rFonts w:hint="eastAsia" w:ascii="宋体" w:hAnsi="宋体" w:eastAsia="宋体" w:cs="宋体"/>
                <w:color w:val="000000"/>
                <w:sz w:val="18"/>
                <w:szCs w:val="18"/>
              </w:rPr>
              <w:t>77,129,577.9</w:t>
            </w:r>
          </w:p>
        </w:tc>
        <w:tc>
          <w:tcPr>
            <w:tcW w:w="721" w:type="pct"/>
            <w:tcBorders>
              <w:top w:val="nil"/>
              <w:left w:val="nil"/>
              <w:bottom w:val="single" w:color="auto" w:sz="8" w:space="0"/>
              <w:right w:val="single" w:color="auto" w:sz="8" w:space="0"/>
            </w:tcBorders>
            <w:vAlign w:val="center"/>
          </w:tcPr>
          <w:p w14:paraId="0AAEB420">
            <w:pPr>
              <w:jc w:val="right"/>
              <w:rPr>
                <w:rFonts w:ascii="宋体" w:hAnsi="宋体" w:eastAsia="宋体" w:cs="宋体"/>
                <w:color w:val="000000"/>
                <w:sz w:val="18"/>
                <w:szCs w:val="18"/>
              </w:rPr>
            </w:pPr>
            <w:r>
              <w:rPr>
                <w:rFonts w:hint="eastAsia" w:ascii="宋体" w:hAnsi="宋体" w:eastAsia="宋体" w:cs="宋体"/>
                <w:color w:val="000000"/>
                <w:sz w:val="18"/>
                <w:szCs w:val="18"/>
              </w:rPr>
              <w:t>13.69%</w:t>
            </w:r>
          </w:p>
        </w:tc>
        <w:tc>
          <w:tcPr>
            <w:tcW w:w="315" w:type="pct"/>
            <w:tcBorders>
              <w:top w:val="nil"/>
              <w:left w:val="nil"/>
              <w:bottom w:val="single" w:color="auto" w:sz="8" w:space="0"/>
              <w:right w:val="single" w:color="auto" w:sz="8" w:space="0"/>
            </w:tcBorders>
            <w:vAlign w:val="center"/>
          </w:tcPr>
          <w:p w14:paraId="6B40EF03">
            <w:pPr>
              <w:jc w:val="right"/>
              <w:rPr>
                <w:rFonts w:ascii="宋体" w:hAnsi="宋体" w:eastAsia="宋体" w:cs="宋体"/>
                <w:color w:val="000000"/>
                <w:sz w:val="18"/>
                <w:szCs w:val="18"/>
              </w:rPr>
            </w:pPr>
            <w:r>
              <w:rPr>
                <w:rFonts w:hint="eastAsia" w:ascii="宋体" w:hAnsi="宋体" w:eastAsia="宋体" w:cs="宋体"/>
                <w:color w:val="000000"/>
                <w:sz w:val="18"/>
                <w:szCs w:val="18"/>
              </w:rPr>
              <w:t>31.10%</w:t>
            </w:r>
          </w:p>
        </w:tc>
        <w:tc>
          <w:tcPr>
            <w:tcW w:w="721" w:type="pct"/>
            <w:tcBorders>
              <w:top w:val="nil"/>
              <w:left w:val="nil"/>
              <w:bottom w:val="single" w:color="auto" w:sz="8" w:space="0"/>
              <w:right w:val="single" w:color="auto" w:sz="8" w:space="0"/>
            </w:tcBorders>
            <w:vAlign w:val="center"/>
          </w:tcPr>
          <w:p w14:paraId="351E398E">
            <w:pPr>
              <w:jc w:val="right"/>
              <w:rPr>
                <w:rFonts w:ascii="宋体" w:hAnsi="宋体" w:eastAsia="宋体" w:cs="宋体"/>
                <w:color w:val="000000"/>
                <w:sz w:val="18"/>
                <w:szCs w:val="18"/>
              </w:rPr>
            </w:pPr>
            <w:r>
              <w:rPr>
                <w:rFonts w:hint="eastAsia" w:ascii="宋体" w:hAnsi="宋体" w:eastAsia="宋体" w:cs="宋体"/>
                <w:color w:val="000000"/>
                <w:sz w:val="18"/>
                <w:szCs w:val="18"/>
              </w:rPr>
              <w:t>5.42%</w:t>
            </w:r>
          </w:p>
        </w:tc>
      </w:tr>
      <w:tr w14:paraId="50834C46">
        <w:trPr>
          <w:trHeight w:val="241" w:hRule="atLeast"/>
          <w:jc w:val="center"/>
        </w:trPr>
        <w:tc>
          <w:tcPr>
            <w:tcW w:w="1077" w:type="pct"/>
            <w:tcBorders>
              <w:top w:val="nil"/>
              <w:left w:val="single" w:color="auto" w:sz="8" w:space="0"/>
              <w:bottom w:val="single" w:color="auto" w:sz="8" w:space="0"/>
              <w:right w:val="single" w:color="auto" w:sz="8" w:space="0"/>
            </w:tcBorders>
            <w:vAlign w:val="center"/>
          </w:tcPr>
          <w:p w14:paraId="12B4AB39">
            <w:pPr>
              <w:jc w:val="center"/>
              <w:rPr>
                <w:rFonts w:ascii="宋体" w:hAnsi="宋体" w:eastAsia="宋体" w:cs="宋体"/>
                <w:color w:val="000000"/>
                <w:sz w:val="18"/>
                <w:szCs w:val="18"/>
              </w:rPr>
            </w:pPr>
            <w:r>
              <w:rPr>
                <w:rFonts w:hint="eastAsia" w:ascii="宋体" w:hAnsi="宋体" w:eastAsia="宋体" w:cs="宋体"/>
                <w:color w:val="000000"/>
                <w:sz w:val="18"/>
                <w:szCs w:val="18"/>
              </w:rPr>
              <w:t>绿色听装啤酒</w:t>
            </w:r>
          </w:p>
          <w:p w14:paraId="5AFE8B9C">
            <w:pPr>
              <w:jc w:val="center"/>
              <w:rPr>
                <w:rFonts w:ascii="宋体" w:hAnsi="宋体" w:eastAsia="宋体" w:cs="宋体"/>
                <w:color w:val="000000"/>
                <w:sz w:val="18"/>
                <w:szCs w:val="18"/>
              </w:rPr>
            </w:pPr>
            <w:r>
              <w:rPr>
                <w:rFonts w:hint="eastAsia" w:ascii="宋体" w:hAnsi="宋体" w:eastAsia="宋体" w:cs="宋体"/>
                <w:color w:val="000000"/>
                <w:sz w:val="18"/>
                <w:szCs w:val="18"/>
              </w:rPr>
              <w:t>355m1*24</w:t>
            </w:r>
          </w:p>
        </w:tc>
        <w:tc>
          <w:tcPr>
            <w:tcW w:w="721" w:type="pct"/>
            <w:vMerge w:val="restart"/>
            <w:tcBorders>
              <w:top w:val="nil"/>
              <w:left w:val="nil"/>
              <w:bottom w:val="single" w:color="auto" w:sz="8" w:space="0"/>
              <w:right w:val="single" w:color="auto" w:sz="8" w:space="0"/>
            </w:tcBorders>
            <w:vAlign w:val="center"/>
          </w:tcPr>
          <w:p w14:paraId="38195A7C">
            <w:pPr>
              <w:jc w:val="right"/>
              <w:rPr>
                <w:rFonts w:ascii="宋体" w:hAnsi="宋体" w:eastAsia="宋体" w:cs="宋体"/>
                <w:color w:val="000000"/>
                <w:sz w:val="18"/>
                <w:szCs w:val="18"/>
              </w:rPr>
            </w:pPr>
            <w:r>
              <w:rPr>
                <w:rFonts w:hint="eastAsia" w:ascii="宋体" w:hAnsi="宋体" w:eastAsia="宋体" w:cs="宋体"/>
                <w:color w:val="000000"/>
                <w:sz w:val="18"/>
                <w:szCs w:val="18"/>
              </w:rPr>
              <w:t>46,980,353.98</w:t>
            </w:r>
          </w:p>
        </w:tc>
        <w:tc>
          <w:tcPr>
            <w:tcW w:w="721" w:type="pct"/>
            <w:vMerge w:val="restart"/>
            <w:tcBorders>
              <w:top w:val="nil"/>
              <w:left w:val="nil"/>
              <w:bottom w:val="single" w:color="auto" w:sz="8" w:space="0"/>
              <w:right w:val="single" w:color="auto" w:sz="8" w:space="0"/>
            </w:tcBorders>
            <w:vAlign w:val="center"/>
          </w:tcPr>
          <w:p w14:paraId="3FB12A67">
            <w:pPr>
              <w:jc w:val="right"/>
              <w:rPr>
                <w:rFonts w:ascii="宋体" w:hAnsi="宋体" w:eastAsia="宋体" w:cs="宋体"/>
                <w:color w:val="000000"/>
                <w:sz w:val="18"/>
                <w:szCs w:val="18"/>
              </w:rPr>
            </w:pPr>
            <w:r>
              <w:rPr>
                <w:rFonts w:hint="eastAsia" w:ascii="宋体" w:hAnsi="宋体" w:eastAsia="宋体" w:cs="宋体"/>
                <w:color w:val="000000"/>
                <w:sz w:val="18"/>
                <w:szCs w:val="18"/>
              </w:rPr>
              <w:t>0.51%</w:t>
            </w:r>
          </w:p>
        </w:tc>
        <w:tc>
          <w:tcPr>
            <w:tcW w:w="721" w:type="pct"/>
            <w:vMerge w:val="restart"/>
            <w:tcBorders>
              <w:top w:val="nil"/>
              <w:left w:val="nil"/>
              <w:bottom w:val="single" w:color="auto" w:sz="8" w:space="0"/>
              <w:right w:val="single" w:color="auto" w:sz="8" w:space="0"/>
            </w:tcBorders>
            <w:vAlign w:val="center"/>
          </w:tcPr>
          <w:p w14:paraId="0AB485B7">
            <w:pPr>
              <w:jc w:val="right"/>
              <w:rPr>
                <w:rFonts w:ascii="宋体" w:hAnsi="宋体" w:eastAsia="宋体" w:cs="宋体"/>
                <w:color w:val="000000"/>
                <w:sz w:val="18"/>
                <w:szCs w:val="18"/>
              </w:rPr>
            </w:pPr>
            <w:r>
              <w:rPr>
                <w:rFonts w:hint="eastAsia" w:ascii="宋体" w:hAnsi="宋体" w:eastAsia="宋体" w:cs="宋体"/>
                <w:color w:val="000000"/>
                <w:sz w:val="18"/>
                <w:szCs w:val="18"/>
              </w:rPr>
              <w:t>25,759,624.85</w:t>
            </w:r>
          </w:p>
        </w:tc>
        <w:tc>
          <w:tcPr>
            <w:tcW w:w="721" w:type="pct"/>
            <w:vMerge w:val="restart"/>
            <w:tcBorders>
              <w:top w:val="nil"/>
              <w:left w:val="nil"/>
              <w:bottom w:val="single" w:color="auto" w:sz="8" w:space="0"/>
              <w:right w:val="single" w:color="auto" w:sz="8" w:space="0"/>
            </w:tcBorders>
            <w:vAlign w:val="center"/>
          </w:tcPr>
          <w:p w14:paraId="4A7A7E38">
            <w:pPr>
              <w:jc w:val="right"/>
              <w:rPr>
                <w:rFonts w:ascii="宋体" w:hAnsi="宋体" w:eastAsia="宋体" w:cs="宋体"/>
                <w:color w:val="000000"/>
                <w:sz w:val="18"/>
                <w:szCs w:val="18"/>
              </w:rPr>
            </w:pPr>
            <w:r>
              <w:rPr>
                <w:rFonts w:hint="eastAsia" w:ascii="宋体" w:hAnsi="宋体" w:eastAsia="宋体" w:cs="宋体"/>
                <w:color w:val="000000"/>
                <w:sz w:val="18"/>
                <w:szCs w:val="18"/>
              </w:rPr>
              <w:t>-9.60%</w:t>
            </w:r>
          </w:p>
        </w:tc>
        <w:tc>
          <w:tcPr>
            <w:tcW w:w="315" w:type="pct"/>
            <w:vMerge w:val="restart"/>
            <w:tcBorders>
              <w:top w:val="nil"/>
              <w:left w:val="nil"/>
              <w:bottom w:val="single" w:color="auto" w:sz="8" w:space="0"/>
              <w:right w:val="single" w:color="auto" w:sz="8" w:space="0"/>
            </w:tcBorders>
            <w:vAlign w:val="center"/>
          </w:tcPr>
          <w:p w14:paraId="584901C9">
            <w:pPr>
              <w:jc w:val="right"/>
              <w:rPr>
                <w:rFonts w:ascii="宋体" w:hAnsi="宋体" w:eastAsia="宋体" w:cs="宋体"/>
                <w:color w:val="000000"/>
                <w:sz w:val="18"/>
                <w:szCs w:val="18"/>
              </w:rPr>
            </w:pPr>
            <w:r>
              <w:rPr>
                <w:rFonts w:hint="eastAsia" w:ascii="宋体" w:hAnsi="宋体" w:eastAsia="宋体" w:cs="宋体"/>
                <w:color w:val="000000"/>
                <w:sz w:val="18"/>
                <w:szCs w:val="18"/>
              </w:rPr>
              <w:t>45.17%</w:t>
            </w:r>
          </w:p>
        </w:tc>
        <w:tc>
          <w:tcPr>
            <w:tcW w:w="721" w:type="pct"/>
            <w:vMerge w:val="restart"/>
            <w:tcBorders>
              <w:top w:val="nil"/>
              <w:left w:val="nil"/>
              <w:bottom w:val="single" w:color="auto" w:sz="8" w:space="0"/>
              <w:right w:val="single" w:color="auto" w:sz="8" w:space="0"/>
            </w:tcBorders>
            <w:vAlign w:val="center"/>
          </w:tcPr>
          <w:p w14:paraId="03D654E3">
            <w:pPr>
              <w:jc w:val="right"/>
              <w:rPr>
                <w:rFonts w:ascii="宋体" w:hAnsi="宋体" w:eastAsia="宋体" w:cs="宋体"/>
                <w:color w:val="000000"/>
                <w:sz w:val="18"/>
                <w:szCs w:val="18"/>
              </w:rPr>
            </w:pPr>
            <w:r>
              <w:rPr>
                <w:rFonts w:hint="eastAsia" w:ascii="宋体" w:hAnsi="宋体" w:eastAsia="宋体" w:cs="宋体"/>
                <w:color w:val="000000"/>
                <w:sz w:val="18"/>
                <w:szCs w:val="18"/>
              </w:rPr>
              <w:t>6.13%</w:t>
            </w:r>
          </w:p>
        </w:tc>
      </w:tr>
      <w:tr w14:paraId="5371271B">
        <w:trPr>
          <w:trHeight w:val="198" w:hRule="atLeast"/>
          <w:jc w:val="center"/>
        </w:trPr>
        <w:tc>
          <w:tcPr>
            <w:tcW w:w="1077" w:type="pct"/>
            <w:tcBorders>
              <w:top w:val="nil"/>
              <w:left w:val="single" w:color="auto" w:sz="8" w:space="0"/>
              <w:bottom w:val="single" w:color="auto" w:sz="8" w:space="0"/>
              <w:right w:val="single" w:color="auto" w:sz="8" w:space="0"/>
            </w:tcBorders>
            <w:vAlign w:val="center"/>
          </w:tcPr>
          <w:p w14:paraId="2AB1A85D">
            <w:pPr>
              <w:jc w:val="center"/>
              <w:rPr>
                <w:rFonts w:ascii="宋体" w:hAnsi="宋体" w:eastAsia="宋体" w:cs="宋体"/>
                <w:color w:val="000000"/>
                <w:sz w:val="18"/>
                <w:szCs w:val="18"/>
              </w:rPr>
            </w:pPr>
            <w:r>
              <w:rPr>
                <w:rFonts w:hint="eastAsia" w:ascii="宋体" w:hAnsi="宋体" w:eastAsia="宋体" w:cs="宋体"/>
                <w:color w:val="000000"/>
                <w:sz w:val="18"/>
                <w:szCs w:val="18"/>
              </w:rPr>
              <w:t>小瓶啤酒“3650”</w:t>
            </w:r>
          </w:p>
          <w:p w14:paraId="4934C787">
            <w:pPr>
              <w:jc w:val="center"/>
              <w:rPr>
                <w:rFonts w:ascii="宋体" w:hAnsi="宋体" w:eastAsia="宋体" w:cs="宋体"/>
                <w:color w:val="000000"/>
                <w:sz w:val="18"/>
                <w:szCs w:val="18"/>
              </w:rPr>
            </w:pPr>
            <w:r>
              <w:rPr>
                <w:rFonts w:hint="eastAsia" w:ascii="宋体" w:hAnsi="宋体" w:eastAsia="宋体" w:cs="宋体"/>
                <w:color w:val="000000"/>
                <w:sz w:val="18"/>
                <w:szCs w:val="18"/>
              </w:rPr>
              <w:t>330ml*24</w:t>
            </w:r>
          </w:p>
        </w:tc>
        <w:tc>
          <w:tcPr>
            <w:tcW w:w="721" w:type="pct"/>
            <w:vMerge w:val="restart"/>
            <w:tcBorders>
              <w:top w:val="nil"/>
              <w:left w:val="nil"/>
              <w:bottom w:val="single" w:color="auto" w:sz="8" w:space="0"/>
              <w:right w:val="single" w:color="auto" w:sz="8" w:space="0"/>
            </w:tcBorders>
            <w:vAlign w:val="center"/>
          </w:tcPr>
          <w:p w14:paraId="7C94B1ED">
            <w:pPr>
              <w:jc w:val="right"/>
              <w:rPr>
                <w:rFonts w:ascii="宋体" w:hAnsi="宋体" w:eastAsia="宋体" w:cs="宋体"/>
                <w:color w:val="000000"/>
                <w:sz w:val="18"/>
                <w:szCs w:val="18"/>
              </w:rPr>
            </w:pPr>
            <w:r>
              <w:rPr>
                <w:rFonts w:hint="eastAsia" w:ascii="宋体" w:hAnsi="宋体" w:eastAsia="宋体" w:cs="宋体"/>
                <w:color w:val="000000"/>
                <w:sz w:val="18"/>
                <w:szCs w:val="18"/>
              </w:rPr>
              <w:t>30,436,164.20</w:t>
            </w:r>
          </w:p>
        </w:tc>
        <w:tc>
          <w:tcPr>
            <w:tcW w:w="721" w:type="pct"/>
            <w:vMerge w:val="restart"/>
            <w:tcBorders>
              <w:top w:val="nil"/>
              <w:left w:val="nil"/>
              <w:bottom w:val="single" w:color="auto" w:sz="8" w:space="0"/>
              <w:right w:val="single" w:color="auto" w:sz="8" w:space="0"/>
            </w:tcBorders>
            <w:vAlign w:val="center"/>
          </w:tcPr>
          <w:p w14:paraId="6F7ACF80">
            <w:pPr>
              <w:jc w:val="right"/>
              <w:rPr>
                <w:rFonts w:ascii="宋体" w:hAnsi="宋体" w:eastAsia="宋体" w:cs="宋体"/>
                <w:color w:val="000000"/>
                <w:sz w:val="18"/>
                <w:szCs w:val="18"/>
              </w:rPr>
            </w:pPr>
            <w:r>
              <w:rPr>
                <w:rFonts w:hint="eastAsia" w:ascii="宋体" w:hAnsi="宋体" w:eastAsia="宋体" w:cs="宋体"/>
                <w:color w:val="000000"/>
                <w:sz w:val="18"/>
                <w:szCs w:val="18"/>
              </w:rPr>
              <w:t>237.38%</w:t>
            </w:r>
          </w:p>
        </w:tc>
        <w:tc>
          <w:tcPr>
            <w:tcW w:w="721" w:type="pct"/>
            <w:vMerge w:val="restart"/>
            <w:tcBorders>
              <w:top w:val="nil"/>
              <w:left w:val="nil"/>
              <w:bottom w:val="single" w:color="auto" w:sz="8" w:space="0"/>
              <w:right w:val="single" w:color="auto" w:sz="8" w:space="0"/>
            </w:tcBorders>
            <w:vAlign w:val="center"/>
          </w:tcPr>
          <w:p w14:paraId="55774BD3">
            <w:pPr>
              <w:jc w:val="right"/>
              <w:rPr>
                <w:rFonts w:ascii="宋体" w:hAnsi="宋体" w:eastAsia="宋体" w:cs="宋体"/>
                <w:color w:val="000000"/>
                <w:sz w:val="18"/>
                <w:szCs w:val="18"/>
              </w:rPr>
            </w:pPr>
            <w:r>
              <w:rPr>
                <w:rFonts w:hint="eastAsia" w:ascii="宋体" w:hAnsi="宋体" w:eastAsia="宋体" w:cs="宋体"/>
                <w:color w:val="000000"/>
                <w:sz w:val="18"/>
                <w:szCs w:val="18"/>
              </w:rPr>
              <w:t>17,499,009.16</w:t>
            </w:r>
          </w:p>
        </w:tc>
        <w:tc>
          <w:tcPr>
            <w:tcW w:w="721" w:type="pct"/>
            <w:vMerge w:val="restart"/>
            <w:tcBorders>
              <w:top w:val="nil"/>
              <w:left w:val="nil"/>
              <w:bottom w:val="single" w:color="auto" w:sz="8" w:space="0"/>
              <w:right w:val="single" w:color="auto" w:sz="8" w:space="0"/>
            </w:tcBorders>
            <w:vAlign w:val="center"/>
          </w:tcPr>
          <w:p w14:paraId="5CA4ADE6">
            <w:pPr>
              <w:jc w:val="right"/>
              <w:rPr>
                <w:rFonts w:ascii="宋体" w:hAnsi="宋体" w:eastAsia="宋体" w:cs="宋体"/>
                <w:color w:val="000000"/>
                <w:sz w:val="18"/>
                <w:szCs w:val="18"/>
              </w:rPr>
            </w:pPr>
            <w:r>
              <w:rPr>
                <w:rFonts w:hint="eastAsia" w:ascii="宋体" w:hAnsi="宋体" w:eastAsia="宋体" w:cs="宋体"/>
                <w:color w:val="000000"/>
                <w:sz w:val="18"/>
                <w:szCs w:val="18"/>
              </w:rPr>
              <w:t>150.66%</w:t>
            </w:r>
          </w:p>
        </w:tc>
        <w:tc>
          <w:tcPr>
            <w:tcW w:w="315" w:type="pct"/>
            <w:vMerge w:val="restart"/>
            <w:tcBorders>
              <w:top w:val="nil"/>
              <w:left w:val="nil"/>
              <w:bottom w:val="single" w:color="auto" w:sz="8" w:space="0"/>
              <w:right w:val="single" w:color="auto" w:sz="8" w:space="0"/>
            </w:tcBorders>
            <w:vAlign w:val="center"/>
          </w:tcPr>
          <w:p w14:paraId="34B03F00">
            <w:pPr>
              <w:jc w:val="right"/>
              <w:rPr>
                <w:rFonts w:ascii="宋体" w:hAnsi="宋体" w:eastAsia="宋体" w:cs="宋体"/>
                <w:color w:val="000000"/>
                <w:sz w:val="18"/>
                <w:szCs w:val="18"/>
              </w:rPr>
            </w:pPr>
            <w:r>
              <w:rPr>
                <w:rFonts w:hint="eastAsia" w:ascii="宋体" w:hAnsi="宋体" w:eastAsia="宋体" w:cs="宋体"/>
                <w:color w:val="000000"/>
                <w:sz w:val="18"/>
                <w:szCs w:val="18"/>
              </w:rPr>
              <w:t>42.51%</w:t>
            </w:r>
          </w:p>
        </w:tc>
        <w:tc>
          <w:tcPr>
            <w:tcW w:w="721" w:type="pct"/>
            <w:vMerge w:val="restart"/>
            <w:tcBorders>
              <w:top w:val="nil"/>
              <w:left w:val="nil"/>
              <w:bottom w:val="single" w:color="auto" w:sz="8" w:space="0"/>
              <w:right w:val="single" w:color="auto" w:sz="8" w:space="0"/>
            </w:tcBorders>
            <w:vAlign w:val="center"/>
          </w:tcPr>
          <w:p w14:paraId="686DB2CC">
            <w:pPr>
              <w:jc w:val="right"/>
              <w:rPr>
                <w:rFonts w:ascii="宋体" w:hAnsi="宋体" w:eastAsia="宋体" w:cs="宋体"/>
                <w:color w:val="000000"/>
                <w:sz w:val="18"/>
                <w:szCs w:val="18"/>
              </w:rPr>
            </w:pPr>
            <w:r>
              <w:rPr>
                <w:rFonts w:hint="eastAsia" w:ascii="宋体" w:hAnsi="宋体" w:eastAsia="宋体" w:cs="宋体"/>
                <w:color w:val="000000"/>
                <w:sz w:val="18"/>
                <w:szCs w:val="18"/>
              </w:rPr>
              <w:t>19.89%</w:t>
            </w:r>
          </w:p>
        </w:tc>
      </w:tr>
      <w:tr w14:paraId="7C3DD641">
        <w:trPr>
          <w:trHeight w:val="147" w:hRule="atLeast"/>
          <w:jc w:val="center"/>
        </w:trPr>
        <w:tc>
          <w:tcPr>
            <w:tcW w:w="1077" w:type="pct"/>
            <w:tcBorders>
              <w:top w:val="nil"/>
              <w:left w:val="single" w:color="auto" w:sz="8" w:space="0"/>
              <w:bottom w:val="single" w:color="auto" w:sz="8" w:space="0"/>
              <w:right w:val="single" w:color="auto" w:sz="8" w:space="0"/>
            </w:tcBorders>
            <w:vAlign w:val="center"/>
          </w:tcPr>
          <w:p w14:paraId="27AD3D33">
            <w:pPr>
              <w:jc w:val="center"/>
              <w:rPr>
                <w:rFonts w:ascii="宋体" w:hAnsi="宋体" w:eastAsia="宋体" w:cs="宋体"/>
                <w:color w:val="000000"/>
                <w:sz w:val="18"/>
                <w:szCs w:val="18"/>
              </w:rPr>
            </w:pPr>
            <w:r>
              <w:rPr>
                <w:rFonts w:hint="eastAsia" w:ascii="宋体" w:hAnsi="宋体" w:eastAsia="宋体" w:cs="宋体"/>
                <w:color w:val="000000"/>
                <w:sz w:val="18"/>
                <w:szCs w:val="18"/>
              </w:rPr>
              <w:t>拉萨啤酒-“青稞系列”</w:t>
            </w:r>
          </w:p>
          <w:p w14:paraId="04975D35">
            <w:pPr>
              <w:jc w:val="center"/>
              <w:rPr>
                <w:rFonts w:ascii="宋体" w:hAnsi="宋体" w:eastAsia="宋体" w:cs="宋体"/>
                <w:color w:val="000000"/>
                <w:sz w:val="18"/>
                <w:szCs w:val="18"/>
              </w:rPr>
            </w:pPr>
            <w:r>
              <w:rPr>
                <w:rFonts w:hint="eastAsia" w:ascii="宋体" w:hAnsi="宋体" w:eastAsia="宋体" w:cs="宋体"/>
                <w:color w:val="000000"/>
                <w:sz w:val="18"/>
                <w:szCs w:val="18"/>
              </w:rPr>
              <w:t>330m1*24</w:t>
            </w:r>
          </w:p>
        </w:tc>
        <w:tc>
          <w:tcPr>
            <w:tcW w:w="721" w:type="pct"/>
            <w:tcBorders>
              <w:top w:val="nil"/>
              <w:left w:val="nil"/>
              <w:bottom w:val="single" w:color="auto" w:sz="8" w:space="0"/>
              <w:right w:val="single" w:color="auto" w:sz="8" w:space="0"/>
            </w:tcBorders>
            <w:vAlign w:val="center"/>
          </w:tcPr>
          <w:p w14:paraId="3C1192E9">
            <w:pPr>
              <w:jc w:val="right"/>
              <w:rPr>
                <w:rFonts w:ascii="宋体" w:hAnsi="宋体" w:eastAsia="宋体" w:cs="宋体"/>
                <w:color w:val="000000"/>
                <w:sz w:val="18"/>
                <w:szCs w:val="18"/>
              </w:rPr>
            </w:pPr>
            <w:r>
              <w:rPr>
                <w:rFonts w:hint="eastAsia" w:ascii="宋体" w:hAnsi="宋体" w:eastAsia="宋体" w:cs="宋体"/>
                <w:color w:val="000000"/>
                <w:sz w:val="18"/>
                <w:szCs w:val="18"/>
              </w:rPr>
              <w:t>3,213,119.47</w:t>
            </w:r>
          </w:p>
        </w:tc>
        <w:tc>
          <w:tcPr>
            <w:tcW w:w="721" w:type="pct"/>
            <w:tcBorders>
              <w:top w:val="nil"/>
              <w:left w:val="nil"/>
              <w:bottom w:val="single" w:color="auto" w:sz="8" w:space="0"/>
              <w:right w:val="single" w:color="auto" w:sz="8" w:space="0"/>
            </w:tcBorders>
            <w:vAlign w:val="center"/>
          </w:tcPr>
          <w:p w14:paraId="093DD621">
            <w:pPr>
              <w:rPr>
                <w:rFonts w:ascii="宋体" w:hAnsi="宋体" w:eastAsia="宋体" w:cs="宋体"/>
                <w:color w:val="000000"/>
                <w:sz w:val="18"/>
                <w:szCs w:val="18"/>
              </w:rPr>
            </w:pPr>
            <w:r>
              <w:rPr>
                <w:rFonts w:hint="eastAsia" w:ascii="宋体" w:hAnsi="宋体" w:eastAsia="宋体" w:cs="宋体"/>
                <w:color w:val="000000"/>
                <w:sz w:val="18"/>
                <w:szCs w:val="18"/>
              </w:rPr>
              <w:t>　</w:t>
            </w:r>
          </w:p>
        </w:tc>
        <w:tc>
          <w:tcPr>
            <w:tcW w:w="721" w:type="pct"/>
            <w:tcBorders>
              <w:top w:val="nil"/>
              <w:left w:val="nil"/>
              <w:bottom w:val="single" w:color="auto" w:sz="8" w:space="0"/>
              <w:right w:val="single" w:color="auto" w:sz="8" w:space="0"/>
            </w:tcBorders>
            <w:vAlign w:val="center"/>
          </w:tcPr>
          <w:p w14:paraId="244C6F88">
            <w:pPr>
              <w:jc w:val="right"/>
              <w:rPr>
                <w:rFonts w:ascii="宋体" w:hAnsi="宋体" w:eastAsia="宋体" w:cs="宋体"/>
                <w:color w:val="000000"/>
                <w:sz w:val="18"/>
                <w:szCs w:val="18"/>
              </w:rPr>
            </w:pPr>
            <w:r>
              <w:rPr>
                <w:rFonts w:hint="eastAsia" w:ascii="宋体" w:hAnsi="宋体" w:eastAsia="宋体" w:cs="宋体"/>
                <w:color w:val="000000"/>
                <w:sz w:val="18"/>
                <w:szCs w:val="18"/>
              </w:rPr>
              <w:t>2,252,524.08</w:t>
            </w:r>
          </w:p>
        </w:tc>
        <w:tc>
          <w:tcPr>
            <w:tcW w:w="721" w:type="pct"/>
            <w:tcBorders>
              <w:top w:val="nil"/>
              <w:left w:val="nil"/>
              <w:bottom w:val="single" w:color="auto" w:sz="8" w:space="0"/>
              <w:right w:val="single" w:color="auto" w:sz="8" w:space="0"/>
            </w:tcBorders>
            <w:vAlign w:val="center"/>
          </w:tcPr>
          <w:p w14:paraId="235F6915">
            <w:pPr>
              <w:rPr>
                <w:rFonts w:ascii="宋体" w:hAnsi="宋体" w:eastAsia="宋体" w:cs="宋体"/>
                <w:color w:val="000000"/>
                <w:sz w:val="18"/>
                <w:szCs w:val="18"/>
              </w:rPr>
            </w:pPr>
            <w:r>
              <w:rPr>
                <w:rFonts w:hint="eastAsia" w:ascii="宋体" w:hAnsi="宋体" w:eastAsia="宋体" w:cs="宋体"/>
                <w:color w:val="000000"/>
                <w:sz w:val="18"/>
                <w:szCs w:val="18"/>
              </w:rPr>
              <w:t>　</w:t>
            </w:r>
          </w:p>
        </w:tc>
        <w:tc>
          <w:tcPr>
            <w:tcW w:w="315" w:type="pct"/>
            <w:tcBorders>
              <w:top w:val="nil"/>
              <w:left w:val="nil"/>
              <w:bottom w:val="single" w:color="auto" w:sz="8" w:space="0"/>
              <w:right w:val="single" w:color="auto" w:sz="8" w:space="0"/>
            </w:tcBorders>
            <w:vAlign w:val="center"/>
          </w:tcPr>
          <w:p w14:paraId="1E4F18B5">
            <w:pPr>
              <w:jc w:val="right"/>
              <w:rPr>
                <w:rFonts w:ascii="宋体" w:hAnsi="宋体" w:eastAsia="宋体" w:cs="宋体"/>
                <w:color w:val="000000"/>
                <w:sz w:val="18"/>
                <w:szCs w:val="18"/>
              </w:rPr>
            </w:pPr>
            <w:r>
              <w:rPr>
                <w:rFonts w:hint="eastAsia" w:ascii="宋体" w:hAnsi="宋体" w:eastAsia="宋体" w:cs="宋体"/>
                <w:color w:val="000000"/>
                <w:sz w:val="18"/>
                <w:szCs w:val="18"/>
              </w:rPr>
              <w:t>29.90%</w:t>
            </w:r>
          </w:p>
        </w:tc>
        <w:tc>
          <w:tcPr>
            <w:tcW w:w="721" w:type="pct"/>
            <w:tcBorders>
              <w:top w:val="nil"/>
              <w:left w:val="nil"/>
              <w:bottom w:val="single" w:color="auto" w:sz="8" w:space="0"/>
              <w:right w:val="single" w:color="auto" w:sz="8" w:space="0"/>
            </w:tcBorders>
            <w:vAlign w:val="center"/>
          </w:tcPr>
          <w:p w14:paraId="5B739592">
            <w:pPr>
              <w:rPr>
                <w:rFonts w:ascii="宋体" w:hAnsi="宋体" w:eastAsia="宋体" w:cs="宋体"/>
                <w:color w:val="000000"/>
                <w:sz w:val="18"/>
                <w:szCs w:val="18"/>
              </w:rPr>
            </w:pPr>
            <w:r>
              <w:rPr>
                <w:rFonts w:hint="eastAsia" w:ascii="宋体" w:hAnsi="宋体" w:eastAsia="宋体" w:cs="宋体"/>
                <w:color w:val="000000"/>
                <w:sz w:val="18"/>
                <w:szCs w:val="18"/>
              </w:rPr>
              <w:t>　</w:t>
            </w:r>
          </w:p>
        </w:tc>
      </w:tr>
    </w:tbl>
    <w:p w14:paraId="4F571F3D">
      <w:pPr>
        <w:pStyle w:val="9"/>
        <w:rPr>
          <w:rFonts w:ascii="Times New Roman" w:hAnsi="Times New Roman" w:cs="Times New Roman"/>
        </w:rPr>
      </w:pPr>
      <w:r>
        <w:rPr>
          <w:rFonts w:hint="eastAsia" w:cs="Times New Roman"/>
          <w:sz w:val="18"/>
          <w:szCs w:val="18"/>
        </w:rPr>
        <w:t>（三）公司啤酒销售前五大销售客户如下：</w:t>
      </w:r>
    </w:p>
    <w:tbl>
      <w:tblPr>
        <w:tblStyle w:val="11"/>
        <w:tblW w:w="9642" w:type="dxa"/>
        <w:jc w:val="center"/>
        <w:tblLayout w:type="autofit"/>
        <w:tblCellMar>
          <w:top w:w="0" w:type="dxa"/>
          <w:left w:w="0" w:type="dxa"/>
          <w:bottom w:w="0" w:type="dxa"/>
          <w:right w:w="0" w:type="dxa"/>
        </w:tblCellMar>
      </w:tblPr>
      <w:tblGrid>
        <w:gridCol w:w="1553"/>
        <w:gridCol w:w="3924"/>
        <w:gridCol w:w="2571"/>
        <w:gridCol w:w="1594"/>
      </w:tblGrid>
      <w:tr w14:paraId="3782A082">
        <w:trPr>
          <w:trHeight w:val="297" w:hRule="atLeast"/>
          <w:jc w:val="center"/>
        </w:trPr>
        <w:tc>
          <w:tcPr>
            <w:tcW w:w="1553" w:type="dxa"/>
            <w:tcBorders>
              <w:top w:val="single" w:color="auto" w:sz="8" w:space="0"/>
              <w:left w:val="single" w:color="auto" w:sz="8" w:space="0"/>
              <w:bottom w:val="single" w:color="auto" w:sz="8" w:space="0"/>
              <w:right w:val="single" w:color="auto" w:sz="8" w:space="0"/>
            </w:tcBorders>
            <w:shd w:val="clear" w:color="auto" w:fill="D3D3D3"/>
            <w:vAlign w:val="center"/>
          </w:tcPr>
          <w:p w14:paraId="5C56439F">
            <w:pPr>
              <w:jc w:val="center"/>
              <w:rPr>
                <w:rFonts w:ascii="宋体" w:hAnsi="宋体" w:eastAsia="宋体" w:cs="宋体"/>
                <w:color w:val="000000"/>
                <w:sz w:val="18"/>
                <w:szCs w:val="18"/>
              </w:rPr>
            </w:pPr>
            <w:r>
              <w:rPr>
                <w:rFonts w:hint="eastAsia" w:ascii="宋体" w:hAnsi="宋体" w:eastAsia="宋体" w:cs="宋体"/>
                <w:color w:val="000000"/>
                <w:sz w:val="18"/>
                <w:szCs w:val="18"/>
              </w:rPr>
              <w:t>序号</w:t>
            </w:r>
          </w:p>
        </w:tc>
        <w:tc>
          <w:tcPr>
            <w:tcW w:w="3924" w:type="dxa"/>
            <w:tcBorders>
              <w:top w:val="single" w:color="auto" w:sz="8" w:space="0"/>
              <w:left w:val="nil"/>
              <w:bottom w:val="single" w:color="auto" w:sz="8" w:space="0"/>
              <w:right w:val="single" w:color="auto" w:sz="8" w:space="0"/>
            </w:tcBorders>
            <w:shd w:val="clear" w:color="auto" w:fill="D3D3D3"/>
            <w:vAlign w:val="center"/>
          </w:tcPr>
          <w:p w14:paraId="746D159B">
            <w:pPr>
              <w:jc w:val="center"/>
              <w:rPr>
                <w:rFonts w:ascii="宋体" w:hAnsi="宋体" w:eastAsia="宋体" w:cs="宋体"/>
                <w:color w:val="000000"/>
                <w:sz w:val="18"/>
                <w:szCs w:val="18"/>
              </w:rPr>
            </w:pPr>
            <w:r>
              <w:rPr>
                <w:rFonts w:hint="eastAsia" w:ascii="宋体" w:hAnsi="宋体" w:eastAsia="宋体" w:cs="宋体"/>
                <w:color w:val="000000"/>
                <w:sz w:val="18"/>
                <w:szCs w:val="18"/>
              </w:rPr>
              <w:t>客户名称</w:t>
            </w:r>
          </w:p>
        </w:tc>
        <w:tc>
          <w:tcPr>
            <w:tcW w:w="2571" w:type="dxa"/>
            <w:tcBorders>
              <w:top w:val="single" w:color="auto" w:sz="8" w:space="0"/>
              <w:left w:val="nil"/>
              <w:bottom w:val="single" w:color="auto" w:sz="8" w:space="0"/>
              <w:right w:val="single" w:color="auto" w:sz="8" w:space="0"/>
            </w:tcBorders>
            <w:shd w:val="clear" w:color="auto" w:fill="D3D3D3"/>
            <w:vAlign w:val="center"/>
          </w:tcPr>
          <w:p w14:paraId="17E2DC43">
            <w:pPr>
              <w:jc w:val="center"/>
              <w:rPr>
                <w:rFonts w:ascii="宋体" w:hAnsi="宋体" w:eastAsia="宋体" w:cs="宋体"/>
                <w:color w:val="000000"/>
                <w:sz w:val="18"/>
                <w:szCs w:val="18"/>
              </w:rPr>
            </w:pPr>
            <w:r>
              <w:rPr>
                <w:rFonts w:hint="eastAsia" w:ascii="宋体" w:hAnsi="宋体" w:eastAsia="宋体" w:cs="宋体"/>
                <w:color w:val="000000"/>
                <w:sz w:val="18"/>
                <w:szCs w:val="18"/>
              </w:rPr>
              <w:t>销售额（元）</w:t>
            </w:r>
          </w:p>
        </w:tc>
        <w:tc>
          <w:tcPr>
            <w:tcW w:w="1594" w:type="dxa"/>
            <w:tcBorders>
              <w:top w:val="single" w:color="auto" w:sz="8" w:space="0"/>
              <w:left w:val="nil"/>
              <w:bottom w:val="single" w:color="auto" w:sz="8" w:space="0"/>
              <w:right w:val="single" w:color="auto" w:sz="8" w:space="0"/>
            </w:tcBorders>
            <w:shd w:val="clear" w:color="auto" w:fill="D3D3D3"/>
            <w:vAlign w:val="center"/>
          </w:tcPr>
          <w:p w14:paraId="7528C10A">
            <w:pPr>
              <w:jc w:val="center"/>
              <w:rPr>
                <w:rFonts w:ascii="宋体" w:hAnsi="宋体" w:eastAsia="宋体" w:cs="宋体"/>
                <w:color w:val="000000"/>
                <w:sz w:val="18"/>
                <w:szCs w:val="18"/>
              </w:rPr>
            </w:pPr>
            <w:r>
              <w:rPr>
                <w:rFonts w:hint="eastAsia" w:ascii="宋体" w:hAnsi="宋体" w:eastAsia="宋体" w:cs="宋体"/>
                <w:color w:val="000000"/>
                <w:sz w:val="18"/>
                <w:szCs w:val="18"/>
              </w:rPr>
              <w:t>占年度销售总额比例</w:t>
            </w:r>
          </w:p>
        </w:tc>
      </w:tr>
      <w:tr w14:paraId="777B1D89">
        <w:trPr>
          <w:trHeight w:val="272" w:hRule="atLeast"/>
          <w:jc w:val="center"/>
        </w:trPr>
        <w:tc>
          <w:tcPr>
            <w:tcW w:w="1553" w:type="dxa"/>
            <w:tcBorders>
              <w:top w:val="nil"/>
              <w:left w:val="single" w:color="auto" w:sz="8" w:space="0"/>
              <w:bottom w:val="single" w:color="auto" w:sz="8" w:space="0"/>
              <w:right w:val="single" w:color="auto" w:sz="8" w:space="0"/>
            </w:tcBorders>
            <w:shd w:val="clear" w:color="auto" w:fill="D3D3D3"/>
            <w:vAlign w:val="center"/>
          </w:tcPr>
          <w:p w14:paraId="29546914">
            <w:pPr>
              <w:jc w:val="center"/>
              <w:rPr>
                <w:rFonts w:ascii="宋体" w:hAnsi="宋体" w:eastAsia="宋体" w:cs="宋体"/>
                <w:color w:val="000000"/>
                <w:sz w:val="18"/>
                <w:szCs w:val="18"/>
              </w:rPr>
            </w:pPr>
            <w:r>
              <w:rPr>
                <w:rFonts w:hint="eastAsia" w:ascii="宋体" w:hAnsi="宋体" w:eastAsia="宋体" w:cs="宋体"/>
                <w:color w:val="000000"/>
                <w:sz w:val="18"/>
                <w:szCs w:val="18"/>
              </w:rPr>
              <w:t>1</w:t>
            </w:r>
          </w:p>
        </w:tc>
        <w:tc>
          <w:tcPr>
            <w:tcW w:w="3924" w:type="dxa"/>
            <w:tcBorders>
              <w:top w:val="nil"/>
              <w:left w:val="nil"/>
              <w:bottom w:val="single" w:color="auto" w:sz="8" w:space="0"/>
              <w:right w:val="single" w:color="auto" w:sz="8" w:space="0"/>
            </w:tcBorders>
            <w:vAlign w:val="center"/>
          </w:tcPr>
          <w:p w14:paraId="264FF38B">
            <w:pPr>
              <w:rPr>
                <w:rFonts w:ascii="宋体" w:hAnsi="宋体" w:eastAsia="宋体" w:cs="宋体"/>
                <w:color w:val="000000"/>
                <w:sz w:val="18"/>
                <w:szCs w:val="18"/>
              </w:rPr>
            </w:pPr>
            <w:r>
              <w:rPr>
                <w:rFonts w:hint="eastAsia" w:ascii="宋体" w:hAnsi="宋体" w:eastAsia="宋体" w:cs="宋体"/>
                <w:color w:val="000000"/>
                <w:sz w:val="18"/>
                <w:szCs w:val="18"/>
              </w:rPr>
              <w:t>西藏玉隆商贸有限公司</w:t>
            </w:r>
          </w:p>
        </w:tc>
        <w:tc>
          <w:tcPr>
            <w:tcW w:w="2571" w:type="dxa"/>
            <w:tcBorders>
              <w:top w:val="nil"/>
              <w:left w:val="nil"/>
              <w:bottom w:val="single" w:color="auto" w:sz="8" w:space="0"/>
              <w:right w:val="single" w:color="auto" w:sz="8" w:space="0"/>
            </w:tcBorders>
            <w:vAlign w:val="center"/>
          </w:tcPr>
          <w:p w14:paraId="643ED5B7">
            <w:pPr>
              <w:jc w:val="right"/>
              <w:rPr>
                <w:rFonts w:ascii="宋体" w:hAnsi="宋体" w:eastAsia="宋体" w:cs="宋体"/>
                <w:color w:val="000000"/>
                <w:sz w:val="18"/>
                <w:szCs w:val="18"/>
              </w:rPr>
            </w:pPr>
            <w:r>
              <w:rPr>
                <w:rFonts w:hint="eastAsia" w:ascii="宋体" w:hAnsi="宋体" w:eastAsia="宋体" w:cs="宋体"/>
                <w:color w:val="000000"/>
                <w:sz w:val="18"/>
                <w:szCs w:val="18"/>
              </w:rPr>
              <w:t>103,059,197.84</w:t>
            </w:r>
          </w:p>
        </w:tc>
        <w:tc>
          <w:tcPr>
            <w:tcW w:w="1594" w:type="dxa"/>
            <w:tcBorders>
              <w:top w:val="nil"/>
              <w:left w:val="nil"/>
              <w:bottom w:val="single" w:color="auto" w:sz="8" w:space="0"/>
              <w:right w:val="single" w:color="auto" w:sz="8" w:space="0"/>
            </w:tcBorders>
            <w:vAlign w:val="center"/>
          </w:tcPr>
          <w:p w14:paraId="5999AC7D">
            <w:pPr>
              <w:jc w:val="right"/>
              <w:rPr>
                <w:rFonts w:ascii="宋体" w:hAnsi="宋体" w:eastAsia="宋体" w:cs="宋体"/>
                <w:color w:val="000000"/>
                <w:sz w:val="18"/>
                <w:szCs w:val="18"/>
              </w:rPr>
            </w:pPr>
            <w:r>
              <w:rPr>
                <w:rFonts w:hint="eastAsia" w:ascii="宋体" w:hAnsi="宋体" w:eastAsia="宋体" w:cs="宋体"/>
                <w:color w:val="000000"/>
                <w:sz w:val="18"/>
                <w:szCs w:val="18"/>
              </w:rPr>
              <w:t>53.52%</w:t>
            </w:r>
          </w:p>
        </w:tc>
      </w:tr>
      <w:tr w14:paraId="3C916A51">
        <w:trPr>
          <w:trHeight w:val="272" w:hRule="atLeast"/>
          <w:jc w:val="center"/>
        </w:trPr>
        <w:tc>
          <w:tcPr>
            <w:tcW w:w="1553" w:type="dxa"/>
            <w:tcBorders>
              <w:top w:val="nil"/>
              <w:left w:val="single" w:color="auto" w:sz="8" w:space="0"/>
              <w:bottom w:val="single" w:color="auto" w:sz="8" w:space="0"/>
              <w:right w:val="single" w:color="auto" w:sz="8" w:space="0"/>
            </w:tcBorders>
            <w:shd w:val="clear" w:color="auto" w:fill="D3D3D3"/>
            <w:vAlign w:val="center"/>
          </w:tcPr>
          <w:p w14:paraId="492900B6">
            <w:pPr>
              <w:jc w:val="center"/>
              <w:rPr>
                <w:rFonts w:ascii="宋体" w:hAnsi="宋体" w:eastAsia="宋体" w:cs="宋体"/>
                <w:color w:val="000000"/>
                <w:sz w:val="18"/>
                <w:szCs w:val="18"/>
              </w:rPr>
            </w:pPr>
            <w:r>
              <w:rPr>
                <w:rFonts w:hint="eastAsia" w:ascii="宋体" w:hAnsi="宋体" w:eastAsia="宋体" w:cs="宋体"/>
                <w:color w:val="000000"/>
                <w:sz w:val="18"/>
                <w:szCs w:val="18"/>
              </w:rPr>
              <w:t>2</w:t>
            </w:r>
          </w:p>
        </w:tc>
        <w:tc>
          <w:tcPr>
            <w:tcW w:w="3924" w:type="dxa"/>
            <w:tcBorders>
              <w:top w:val="nil"/>
              <w:left w:val="nil"/>
              <w:bottom w:val="single" w:color="auto" w:sz="8" w:space="0"/>
              <w:right w:val="single" w:color="auto" w:sz="8" w:space="0"/>
            </w:tcBorders>
            <w:vAlign w:val="center"/>
          </w:tcPr>
          <w:p w14:paraId="450D2E58">
            <w:pPr>
              <w:rPr>
                <w:rFonts w:ascii="宋体" w:hAnsi="宋体" w:eastAsia="宋体" w:cs="宋体"/>
                <w:color w:val="000000"/>
                <w:sz w:val="18"/>
                <w:szCs w:val="18"/>
              </w:rPr>
            </w:pPr>
            <w:r>
              <w:rPr>
                <w:rFonts w:hint="eastAsia" w:ascii="宋体" w:hAnsi="宋体" w:eastAsia="宋体" w:cs="宋体"/>
                <w:color w:val="000000"/>
                <w:sz w:val="18"/>
                <w:szCs w:val="18"/>
              </w:rPr>
              <w:t>西藏卡捷琳商贸有限公司</w:t>
            </w:r>
          </w:p>
        </w:tc>
        <w:tc>
          <w:tcPr>
            <w:tcW w:w="2571" w:type="dxa"/>
            <w:tcBorders>
              <w:top w:val="nil"/>
              <w:left w:val="nil"/>
              <w:bottom w:val="single" w:color="auto" w:sz="8" w:space="0"/>
              <w:right w:val="single" w:color="auto" w:sz="8" w:space="0"/>
            </w:tcBorders>
            <w:vAlign w:val="center"/>
          </w:tcPr>
          <w:p w14:paraId="25B7B2D9">
            <w:pPr>
              <w:jc w:val="right"/>
              <w:rPr>
                <w:rFonts w:ascii="宋体" w:hAnsi="宋体" w:eastAsia="宋体" w:cs="宋体"/>
                <w:color w:val="000000"/>
                <w:sz w:val="18"/>
                <w:szCs w:val="18"/>
              </w:rPr>
            </w:pPr>
            <w:r>
              <w:rPr>
                <w:rFonts w:hint="eastAsia" w:ascii="宋体" w:hAnsi="宋体" w:eastAsia="宋体" w:cs="宋体"/>
                <w:color w:val="000000"/>
                <w:sz w:val="18"/>
                <w:szCs w:val="18"/>
              </w:rPr>
              <w:t>45,277,613.71</w:t>
            </w:r>
          </w:p>
        </w:tc>
        <w:tc>
          <w:tcPr>
            <w:tcW w:w="1594" w:type="dxa"/>
            <w:tcBorders>
              <w:top w:val="nil"/>
              <w:left w:val="nil"/>
              <w:bottom w:val="single" w:color="auto" w:sz="8" w:space="0"/>
              <w:right w:val="single" w:color="auto" w:sz="8" w:space="0"/>
            </w:tcBorders>
            <w:vAlign w:val="center"/>
          </w:tcPr>
          <w:p w14:paraId="1354F03F">
            <w:pPr>
              <w:jc w:val="right"/>
              <w:rPr>
                <w:rFonts w:ascii="宋体" w:hAnsi="宋体" w:eastAsia="宋体" w:cs="宋体"/>
                <w:color w:val="000000"/>
                <w:sz w:val="18"/>
                <w:szCs w:val="18"/>
              </w:rPr>
            </w:pPr>
            <w:r>
              <w:rPr>
                <w:rFonts w:hint="eastAsia" w:ascii="宋体" w:hAnsi="宋体" w:eastAsia="宋体" w:cs="宋体"/>
                <w:color w:val="000000"/>
                <w:sz w:val="18"/>
                <w:szCs w:val="18"/>
              </w:rPr>
              <w:t>23.51%</w:t>
            </w:r>
          </w:p>
        </w:tc>
      </w:tr>
      <w:tr w14:paraId="7B1BEEB0">
        <w:trPr>
          <w:trHeight w:val="272" w:hRule="atLeast"/>
          <w:jc w:val="center"/>
        </w:trPr>
        <w:tc>
          <w:tcPr>
            <w:tcW w:w="1553" w:type="dxa"/>
            <w:tcBorders>
              <w:top w:val="nil"/>
              <w:left w:val="single" w:color="auto" w:sz="8" w:space="0"/>
              <w:bottom w:val="single" w:color="auto" w:sz="8" w:space="0"/>
              <w:right w:val="single" w:color="auto" w:sz="8" w:space="0"/>
            </w:tcBorders>
            <w:shd w:val="clear" w:color="auto" w:fill="D3D3D3"/>
            <w:vAlign w:val="center"/>
          </w:tcPr>
          <w:p w14:paraId="31A87F91">
            <w:pPr>
              <w:jc w:val="center"/>
              <w:rPr>
                <w:rFonts w:ascii="宋体" w:hAnsi="宋体" w:eastAsia="宋体" w:cs="宋体"/>
                <w:color w:val="000000"/>
                <w:sz w:val="18"/>
                <w:szCs w:val="18"/>
              </w:rPr>
            </w:pPr>
            <w:r>
              <w:rPr>
                <w:rFonts w:hint="eastAsia" w:ascii="宋体" w:hAnsi="宋体" w:eastAsia="宋体" w:cs="宋体"/>
                <w:color w:val="000000"/>
                <w:sz w:val="18"/>
                <w:szCs w:val="18"/>
              </w:rPr>
              <w:t>3</w:t>
            </w:r>
          </w:p>
        </w:tc>
        <w:tc>
          <w:tcPr>
            <w:tcW w:w="3924" w:type="dxa"/>
            <w:tcBorders>
              <w:top w:val="nil"/>
              <w:left w:val="nil"/>
              <w:bottom w:val="single" w:color="auto" w:sz="8" w:space="0"/>
              <w:right w:val="single" w:color="auto" w:sz="8" w:space="0"/>
            </w:tcBorders>
            <w:vAlign w:val="center"/>
          </w:tcPr>
          <w:p w14:paraId="2832A4DC">
            <w:pPr>
              <w:rPr>
                <w:rFonts w:ascii="宋体" w:hAnsi="宋体" w:eastAsia="宋体" w:cs="宋体"/>
                <w:color w:val="000000"/>
                <w:sz w:val="18"/>
                <w:szCs w:val="18"/>
              </w:rPr>
            </w:pPr>
            <w:r>
              <w:rPr>
                <w:rFonts w:hint="eastAsia" w:ascii="宋体" w:hAnsi="宋体" w:eastAsia="宋体" w:cs="宋体"/>
                <w:color w:val="000000"/>
                <w:sz w:val="18"/>
                <w:szCs w:val="18"/>
              </w:rPr>
              <w:t>西藏金朵工贸有限公司</w:t>
            </w:r>
          </w:p>
        </w:tc>
        <w:tc>
          <w:tcPr>
            <w:tcW w:w="2571" w:type="dxa"/>
            <w:tcBorders>
              <w:top w:val="nil"/>
              <w:left w:val="nil"/>
              <w:bottom w:val="single" w:color="auto" w:sz="8" w:space="0"/>
              <w:right w:val="single" w:color="auto" w:sz="8" w:space="0"/>
            </w:tcBorders>
            <w:vAlign w:val="center"/>
          </w:tcPr>
          <w:p w14:paraId="39EB54D4">
            <w:pPr>
              <w:jc w:val="right"/>
              <w:rPr>
                <w:rFonts w:ascii="宋体" w:hAnsi="宋体" w:eastAsia="宋体" w:cs="宋体"/>
                <w:color w:val="000000"/>
                <w:sz w:val="18"/>
                <w:szCs w:val="18"/>
              </w:rPr>
            </w:pPr>
            <w:r>
              <w:rPr>
                <w:rFonts w:hint="eastAsia" w:ascii="宋体" w:hAnsi="宋体" w:eastAsia="宋体" w:cs="宋体"/>
                <w:color w:val="000000"/>
                <w:sz w:val="18"/>
                <w:szCs w:val="18"/>
              </w:rPr>
              <w:t>24,913,727.65</w:t>
            </w:r>
          </w:p>
        </w:tc>
        <w:tc>
          <w:tcPr>
            <w:tcW w:w="1594" w:type="dxa"/>
            <w:tcBorders>
              <w:top w:val="nil"/>
              <w:left w:val="nil"/>
              <w:bottom w:val="single" w:color="auto" w:sz="8" w:space="0"/>
              <w:right w:val="single" w:color="auto" w:sz="8" w:space="0"/>
            </w:tcBorders>
            <w:vAlign w:val="center"/>
          </w:tcPr>
          <w:p w14:paraId="142218BE">
            <w:pPr>
              <w:jc w:val="right"/>
              <w:rPr>
                <w:rFonts w:ascii="宋体" w:hAnsi="宋体" w:eastAsia="宋体" w:cs="宋体"/>
                <w:color w:val="000000"/>
                <w:sz w:val="18"/>
                <w:szCs w:val="18"/>
              </w:rPr>
            </w:pPr>
            <w:r>
              <w:rPr>
                <w:rFonts w:hint="eastAsia" w:ascii="宋体" w:hAnsi="宋体" w:eastAsia="宋体" w:cs="宋体"/>
                <w:color w:val="000000"/>
                <w:sz w:val="18"/>
                <w:szCs w:val="18"/>
              </w:rPr>
              <w:t>12.94%</w:t>
            </w:r>
          </w:p>
        </w:tc>
      </w:tr>
      <w:tr w14:paraId="0C2F1515">
        <w:trPr>
          <w:trHeight w:val="279" w:hRule="atLeast"/>
          <w:jc w:val="center"/>
        </w:trPr>
        <w:tc>
          <w:tcPr>
            <w:tcW w:w="1553" w:type="dxa"/>
            <w:tcBorders>
              <w:top w:val="nil"/>
              <w:left w:val="single" w:color="auto" w:sz="8" w:space="0"/>
              <w:bottom w:val="single" w:color="auto" w:sz="8" w:space="0"/>
              <w:right w:val="single" w:color="auto" w:sz="8" w:space="0"/>
            </w:tcBorders>
            <w:shd w:val="clear" w:color="auto" w:fill="D3D3D3"/>
            <w:vAlign w:val="center"/>
          </w:tcPr>
          <w:p w14:paraId="79A0C295">
            <w:pPr>
              <w:jc w:val="center"/>
              <w:rPr>
                <w:rFonts w:ascii="宋体" w:hAnsi="宋体" w:eastAsia="宋体" w:cs="宋体"/>
                <w:color w:val="000000"/>
                <w:sz w:val="18"/>
                <w:szCs w:val="18"/>
              </w:rPr>
            </w:pPr>
            <w:r>
              <w:rPr>
                <w:rFonts w:hint="eastAsia" w:ascii="宋体" w:hAnsi="宋体" w:eastAsia="宋体" w:cs="宋体"/>
                <w:color w:val="000000"/>
                <w:sz w:val="18"/>
                <w:szCs w:val="18"/>
              </w:rPr>
              <w:t>4</w:t>
            </w:r>
          </w:p>
        </w:tc>
        <w:tc>
          <w:tcPr>
            <w:tcW w:w="3924" w:type="dxa"/>
            <w:tcBorders>
              <w:top w:val="nil"/>
              <w:left w:val="nil"/>
              <w:bottom w:val="single" w:color="auto" w:sz="8" w:space="0"/>
              <w:right w:val="single" w:color="auto" w:sz="8" w:space="0"/>
            </w:tcBorders>
            <w:vAlign w:val="center"/>
          </w:tcPr>
          <w:p w14:paraId="2755B6A8">
            <w:pPr>
              <w:rPr>
                <w:rFonts w:ascii="宋体" w:hAnsi="宋体" w:eastAsia="宋体" w:cs="宋体"/>
                <w:color w:val="000000"/>
                <w:sz w:val="18"/>
                <w:szCs w:val="18"/>
              </w:rPr>
            </w:pPr>
            <w:r>
              <w:rPr>
                <w:rFonts w:hint="eastAsia" w:ascii="宋体" w:hAnsi="宋体" w:eastAsia="宋体" w:cs="宋体"/>
                <w:color w:val="000000"/>
                <w:sz w:val="18"/>
                <w:szCs w:val="18"/>
              </w:rPr>
              <w:t>西藏好物商业有限公司</w:t>
            </w:r>
          </w:p>
        </w:tc>
        <w:tc>
          <w:tcPr>
            <w:tcW w:w="2571" w:type="dxa"/>
            <w:tcBorders>
              <w:top w:val="nil"/>
              <w:left w:val="nil"/>
              <w:bottom w:val="single" w:color="auto" w:sz="8" w:space="0"/>
              <w:right w:val="single" w:color="auto" w:sz="8" w:space="0"/>
            </w:tcBorders>
            <w:vAlign w:val="center"/>
          </w:tcPr>
          <w:p w14:paraId="1E4D0D7F">
            <w:pPr>
              <w:jc w:val="right"/>
              <w:rPr>
                <w:rFonts w:ascii="宋体" w:hAnsi="宋体" w:eastAsia="宋体" w:cs="宋体"/>
                <w:color w:val="000000"/>
                <w:sz w:val="18"/>
                <w:szCs w:val="18"/>
              </w:rPr>
            </w:pPr>
            <w:r>
              <w:rPr>
                <w:rFonts w:hint="eastAsia" w:ascii="宋体" w:hAnsi="宋体" w:eastAsia="宋体" w:cs="宋体"/>
                <w:color w:val="000000"/>
                <w:sz w:val="18"/>
                <w:szCs w:val="18"/>
              </w:rPr>
              <w:t>7,953,419.64</w:t>
            </w:r>
          </w:p>
        </w:tc>
        <w:tc>
          <w:tcPr>
            <w:tcW w:w="1594" w:type="dxa"/>
            <w:tcBorders>
              <w:top w:val="nil"/>
              <w:left w:val="nil"/>
              <w:bottom w:val="single" w:color="auto" w:sz="8" w:space="0"/>
              <w:right w:val="single" w:color="auto" w:sz="8" w:space="0"/>
            </w:tcBorders>
            <w:vAlign w:val="center"/>
          </w:tcPr>
          <w:p w14:paraId="0D0B7909">
            <w:pPr>
              <w:jc w:val="right"/>
              <w:rPr>
                <w:rFonts w:ascii="宋体" w:hAnsi="宋体" w:eastAsia="宋体" w:cs="宋体"/>
                <w:color w:val="000000"/>
                <w:sz w:val="18"/>
                <w:szCs w:val="18"/>
              </w:rPr>
            </w:pPr>
            <w:r>
              <w:rPr>
                <w:rFonts w:hint="eastAsia" w:ascii="宋体" w:hAnsi="宋体" w:eastAsia="宋体" w:cs="宋体"/>
                <w:color w:val="000000"/>
                <w:sz w:val="18"/>
                <w:szCs w:val="18"/>
              </w:rPr>
              <w:t>4.13%</w:t>
            </w:r>
          </w:p>
        </w:tc>
      </w:tr>
      <w:tr w14:paraId="500A44B1">
        <w:trPr>
          <w:trHeight w:val="279" w:hRule="atLeast"/>
          <w:jc w:val="center"/>
        </w:trPr>
        <w:tc>
          <w:tcPr>
            <w:tcW w:w="1553" w:type="dxa"/>
            <w:tcBorders>
              <w:top w:val="nil"/>
              <w:left w:val="single" w:color="auto" w:sz="8" w:space="0"/>
              <w:bottom w:val="single" w:color="auto" w:sz="8" w:space="0"/>
              <w:right w:val="single" w:color="auto" w:sz="8" w:space="0"/>
            </w:tcBorders>
            <w:shd w:val="clear" w:color="auto" w:fill="D3D3D3"/>
            <w:vAlign w:val="center"/>
          </w:tcPr>
          <w:p w14:paraId="05486CB2">
            <w:pPr>
              <w:jc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3924" w:type="dxa"/>
            <w:tcBorders>
              <w:top w:val="nil"/>
              <w:left w:val="nil"/>
              <w:bottom w:val="single" w:color="auto" w:sz="8" w:space="0"/>
              <w:right w:val="single" w:color="auto" w:sz="8" w:space="0"/>
            </w:tcBorders>
            <w:vAlign w:val="center"/>
          </w:tcPr>
          <w:p w14:paraId="467EA6A1">
            <w:pPr>
              <w:rPr>
                <w:rFonts w:ascii="宋体" w:hAnsi="宋体" w:eastAsia="宋体" w:cs="宋体"/>
                <w:color w:val="000000"/>
                <w:sz w:val="18"/>
                <w:szCs w:val="18"/>
              </w:rPr>
            </w:pPr>
            <w:r>
              <w:rPr>
                <w:rFonts w:hint="eastAsia" w:ascii="宋体" w:hAnsi="宋体" w:eastAsia="宋体" w:cs="宋体"/>
                <w:color w:val="000000"/>
                <w:sz w:val="18"/>
                <w:szCs w:val="18"/>
              </w:rPr>
              <w:t>西藏品致商贸有限公司</w:t>
            </w:r>
          </w:p>
        </w:tc>
        <w:tc>
          <w:tcPr>
            <w:tcW w:w="2571" w:type="dxa"/>
            <w:tcBorders>
              <w:top w:val="nil"/>
              <w:left w:val="nil"/>
              <w:bottom w:val="single" w:color="auto" w:sz="8" w:space="0"/>
              <w:right w:val="single" w:color="auto" w:sz="8" w:space="0"/>
            </w:tcBorders>
            <w:vAlign w:val="center"/>
          </w:tcPr>
          <w:p w14:paraId="03CB50A6">
            <w:pPr>
              <w:jc w:val="right"/>
              <w:rPr>
                <w:rFonts w:ascii="宋体" w:hAnsi="宋体" w:eastAsia="宋体" w:cs="宋体"/>
                <w:color w:val="000000"/>
                <w:sz w:val="18"/>
                <w:szCs w:val="18"/>
              </w:rPr>
            </w:pPr>
            <w:r>
              <w:rPr>
                <w:rFonts w:hint="eastAsia" w:ascii="宋体" w:hAnsi="宋体" w:eastAsia="宋体" w:cs="宋体"/>
                <w:color w:val="000000"/>
                <w:sz w:val="18"/>
                <w:szCs w:val="18"/>
              </w:rPr>
              <w:t>1,609,181.42</w:t>
            </w:r>
          </w:p>
        </w:tc>
        <w:tc>
          <w:tcPr>
            <w:tcW w:w="1594" w:type="dxa"/>
            <w:tcBorders>
              <w:top w:val="nil"/>
              <w:left w:val="nil"/>
              <w:bottom w:val="single" w:color="auto" w:sz="8" w:space="0"/>
              <w:right w:val="single" w:color="auto" w:sz="8" w:space="0"/>
            </w:tcBorders>
            <w:vAlign w:val="center"/>
          </w:tcPr>
          <w:p w14:paraId="29E1A1D5">
            <w:pPr>
              <w:jc w:val="right"/>
              <w:rPr>
                <w:rFonts w:ascii="宋体" w:hAnsi="宋体" w:eastAsia="宋体" w:cs="宋体"/>
                <w:color w:val="000000"/>
                <w:sz w:val="18"/>
                <w:szCs w:val="18"/>
              </w:rPr>
            </w:pPr>
            <w:r>
              <w:rPr>
                <w:rFonts w:hint="eastAsia" w:ascii="宋体" w:hAnsi="宋体" w:eastAsia="宋体" w:cs="宋体"/>
                <w:color w:val="000000"/>
                <w:sz w:val="18"/>
                <w:szCs w:val="18"/>
              </w:rPr>
              <w:t>0.84%</w:t>
            </w:r>
          </w:p>
        </w:tc>
      </w:tr>
      <w:tr w14:paraId="0EBDE2A3">
        <w:trPr>
          <w:trHeight w:val="307" w:hRule="atLeast"/>
          <w:jc w:val="center"/>
        </w:trPr>
        <w:tc>
          <w:tcPr>
            <w:tcW w:w="1553" w:type="dxa"/>
            <w:tcBorders>
              <w:top w:val="nil"/>
              <w:left w:val="single" w:color="auto" w:sz="8" w:space="0"/>
              <w:bottom w:val="single" w:color="auto" w:sz="8" w:space="0"/>
              <w:right w:val="single" w:color="auto" w:sz="8" w:space="0"/>
            </w:tcBorders>
            <w:shd w:val="clear" w:color="auto" w:fill="D3D3D3"/>
            <w:vAlign w:val="center"/>
          </w:tcPr>
          <w:p w14:paraId="34FA0BC0">
            <w:pPr>
              <w:jc w:val="center"/>
              <w:rPr>
                <w:rFonts w:ascii="宋体" w:hAnsi="宋体" w:eastAsia="宋体" w:cs="宋体"/>
                <w:color w:val="000000"/>
                <w:sz w:val="18"/>
                <w:szCs w:val="18"/>
              </w:rPr>
            </w:pPr>
            <w:r>
              <w:rPr>
                <w:rFonts w:hint="eastAsia" w:ascii="宋体" w:hAnsi="宋体" w:eastAsia="宋体" w:cs="宋体"/>
                <w:color w:val="000000"/>
                <w:sz w:val="18"/>
                <w:szCs w:val="18"/>
              </w:rPr>
              <w:t>合计</w:t>
            </w:r>
          </w:p>
        </w:tc>
        <w:tc>
          <w:tcPr>
            <w:tcW w:w="3924" w:type="dxa"/>
            <w:tcBorders>
              <w:top w:val="nil"/>
              <w:left w:val="nil"/>
              <w:bottom w:val="single" w:color="auto" w:sz="8" w:space="0"/>
              <w:right w:val="single" w:color="auto" w:sz="8" w:space="0"/>
            </w:tcBorders>
            <w:shd w:val="clear" w:color="auto" w:fill="D3D3D3"/>
            <w:vAlign w:val="center"/>
          </w:tcPr>
          <w:p w14:paraId="77A1893B">
            <w:pPr>
              <w:jc w:val="center"/>
              <w:rPr>
                <w:rFonts w:ascii="宋体" w:hAnsi="宋体" w:eastAsia="宋体" w:cs="宋体"/>
                <w:color w:val="000000"/>
                <w:sz w:val="18"/>
                <w:szCs w:val="18"/>
              </w:rPr>
            </w:pPr>
            <w:r>
              <w:rPr>
                <w:rFonts w:hint="eastAsia" w:ascii="宋体" w:hAnsi="宋体" w:eastAsia="宋体" w:cs="宋体"/>
                <w:color w:val="000000"/>
                <w:sz w:val="18"/>
                <w:szCs w:val="18"/>
              </w:rPr>
              <w:t>--</w:t>
            </w:r>
          </w:p>
        </w:tc>
        <w:tc>
          <w:tcPr>
            <w:tcW w:w="2571" w:type="dxa"/>
            <w:tcBorders>
              <w:top w:val="nil"/>
              <w:left w:val="nil"/>
              <w:bottom w:val="single" w:color="auto" w:sz="8" w:space="0"/>
              <w:right w:val="single" w:color="auto" w:sz="8" w:space="0"/>
            </w:tcBorders>
            <w:vAlign w:val="center"/>
          </w:tcPr>
          <w:p w14:paraId="0B1A9D64">
            <w:pPr>
              <w:jc w:val="right"/>
              <w:rPr>
                <w:rFonts w:ascii="宋体" w:hAnsi="宋体" w:eastAsia="宋体" w:cs="宋体"/>
                <w:color w:val="000000"/>
                <w:sz w:val="18"/>
                <w:szCs w:val="18"/>
              </w:rPr>
            </w:pPr>
            <w:r>
              <w:rPr>
                <w:rFonts w:hint="eastAsia" w:ascii="宋体" w:hAnsi="宋体" w:eastAsia="宋体" w:cs="宋体"/>
                <w:color w:val="000000"/>
                <w:sz w:val="18"/>
                <w:szCs w:val="18"/>
              </w:rPr>
              <w:t>182,813,140.26</w:t>
            </w:r>
          </w:p>
        </w:tc>
        <w:tc>
          <w:tcPr>
            <w:tcW w:w="1594" w:type="dxa"/>
            <w:tcBorders>
              <w:top w:val="nil"/>
              <w:left w:val="nil"/>
              <w:bottom w:val="single" w:color="auto" w:sz="8" w:space="0"/>
              <w:right w:val="single" w:color="auto" w:sz="8" w:space="0"/>
            </w:tcBorders>
            <w:vAlign w:val="center"/>
          </w:tcPr>
          <w:p w14:paraId="1714A9AC">
            <w:pPr>
              <w:jc w:val="right"/>
              <w:rPr>
                <w:rFonts w:ascii="宋体" w:hAnsi="宋体" w:eastAsia="宋体" w:cs="宋体"/>
                <w:color w:val="000000"/>
                <w:sz w:val="18"/>
                <w:szCs w:val="18"/>
              </w:rPr>
            </w:pPr>
            <w:r>
              <w:rPr>
                <w:rFonts w:hint="eastAsia" w:ascii="宋体" w:hAnsi="宋体" w:eastAsia="宋体" w:cs="宋体"/>
                <w:color w:val="000000"/>
                <w:sz w:val="18"/>
                <w:szCs w:val="18"/>
              </w:rPr>
              <w:t>94.94%</w:t>
            </w:r>
          </w:p>
        </w:tc>
      </w:tr>
    </w:tbl>
    <w:p w14:paraId="25AC2EB4">
      <w:pPr>
        <w:jc w:val="center"/>
        <w:rPr>
          <w:sz w:val="18"/>
          <w:szCs w:val="18"/>
        </w:rPr>
      </w:pPr>
      <w:r>
        <w:rPr>
          <w:rFonts w:hint="eastAsia"/>
          <w:sz w:val="18"/>
          <w:szCs w:val="18"/>
        </w:rPr>
        <w:t> </w:t>
      </w:r>
    </w:p>
    <w:p w14:paraId="59887EAA">
      <w:pPr>
        <w:spacing w:before="100" w:after="0" w:line="240" w:lineRule="exact"/>
        <w:rPr>
          <w:rFonts w:ascii="宋体" w:hAnsi="宋体" w:eastAsia="宋体" w:cs="宋体"/>
          <w:sz w:val="18"/>
          <w:szCs w:val="18"/>
        </w:rPr>
      </w:pPr>
      <w:r>
        <w:rPr>
          <w:rFonts w:ascii="宋体" w:hAnsi="宋体" w:eastAsia="宋体" w:cs="宋体"/>
          <w:sz w:val="18"/>
          <w:szCs w:val="18"/>
        </w:rPr>
        <w:t>门店销售终端占比超过10%</w:t>
      </w:r>
    </w:p>
    <w:p w14:paraId="6470205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C95889D">
      <w:pPr>
        <w:spacing w:before="100" w:after="100" w:line="240" w:lineRule="exact"/>
        <w:rPr>
          <w:rFonts w:ascii="宋体" w:hAnsi="宋体" w:eastAsia="宋体" w:cs="宋体"/>
          <w:sz w:val="18"/>
          <w:szCs w:val="18"/>
        </w:rPr>
      </w:pPr>
      <w:r>
        <w:rPr>
          <w:rFonts w:ascii="宋体" w:hAnsi="宋体" w:eastAsia="宋体" w:cs="宋体"/>
          <w:sz w:val="18"/>
          <w:szCs w:val="18"/>
        </w:rPr>
        <w:t>线上直销销售</w:t>
      </w:r>
    </w:p>
    <w:p w14:paraId="4FA6D52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E4C75D6">
      <w:pPr>
        <w:spacing w:before="100" w:after="100" w:line="240" w:lineRule="exact"/>
        <w:rPr>
          <w:rFonts w:ascii="宋体" w:hAnsi="宋体" w:eastAsia="宋体" w:cs="宋体"/>
          <w:sz w:val="18"/>
          <w:szCs w:val="18"/>
        </w:rPr>
      </w:pPr>
      <w:r>
        <w:rPr>
          <w:rFonts w:ascii="宋体" w:hAnsi="宋体" w:eastAsia="宋体" w:cs="宋体"/>
          <w:sz w:val="18"/>
          <w:szCs w:val="18"/>
        </w:rPr>
        <w:t>占当期营业收入总额10%以上的主要产品销售价格较上一报告期的变动幅度超过30%</w:t>
      </w:r>
    </w:p>
    <w:p w14:paraId="66517AD1">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EE1893A">
      <w:pPr>
        <w:spacing w:before="100" w:after="100" w:line="240" w:lineRule="exact"/>
        <w:rPr>
          <w:rFonts w:ascii="宋体" w:hAnsi="宋体" w:eastAsia="宋体" w:cs="宋体"/>
          <w:sz w:val="18"/>
          <w:szCs w:val="18"/>
        </w:rPr>
      </w:pPr>
      <w:r>
        <w:rPr>
          <w:rFonts w:ascii="宋体" w:hAnsi="宋体" w:eastAsia="宋体" w:cs="宋体"/>
          <w:sz w:val="18"/>
          <w:szCs w:val="18"/>
        </w:rPr>
        <w:t>采购模式及采购内容</w:t>
      </w:r>
    </w:p>
    <w:p w14:paraId="0D5A6617">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550"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124"/>
      </w:tblGrid>
      <w:tr w14:paraId="50CF502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0B4909">
            <w:pPr>
              <w:spacing w:before="40" w:after="40" w:line="240" w:lineRule="exact"/>
              <w:jc w:val="center"/>
              <w:rPr>
                <w:rFonts w:ascii="宋体" w:hAnsi="宋体" w:eastAsia="宋体" w:cs="宋体"/>
                <w:sz w:val="18"/>
                <w:szCs w:val="18"/>
              </w:rPr>
            </w:pPr>
            <w:r>
              <w:rPr>
                <w:rFonts w:ascii="宋体" w:hAnsi="宋体" w:eastAsia="宋体" w:cs="宋体"/>
                <w:sz w:val="18"/>
                <w:szCs w:val="18"/>
              </w:rPr>
              <w:t>采购模式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FDBF74">
            <w:pPr>
              <w:spacing w:before="40" w:after="40" w:line="240" w:lineRule="exact"/>
              <w:jc w:val="center"/>
              <w:rPr>
                <w:rFonts w:ascii="宋体" w:hAnsi="宋体" w:eastAsia="宋体" w:cs="宋体"/>
                <w:sz w:val="18"/>
                <w:szCs w:val="18"/>
              </w:rPr>
            </w:pPr>
            <w:r>
              <w:rPr>
                <w:rFonts w:ascii="宋体" w:hAnsi="宋体" w:eastAsia="宋体" w:cs="宋体"/>
                <w:sz w:val="18"/>
                <w:szCs w:val="18"/>
              </w:rPr>
              <w:t>采购内容</w:t>
            </w:r>
          </w:p>
        </w:tc>
        <w:tc>
          <w:tcPr>
            <w:tcW w:w="3124" w:type="dxa"/>
            <w:tcBorders>
              <w:top w:val="single" w:color="auto" w:sz="2" w:space="0"/>
              <w:left w:val="single" w:color="auto" w:sz="2" w:space="0"/>
              <w:bottom w:val="single" w:color="auto" w:sz="2" w:space="0"/>
              <w:right w:val="single" w:color="auto" w:sz="2" w:space="0"/>
            </w:tcBorders>
            <w:shd w:val="clear" w:color="auto" w:fill="D3D3D3"/>
            <w:vAlign w:val="center"/>
          </w:tcPr>
          <w:p w14:paraId="40A68F2C">
            <w:pPr>
              <w:spacing w:before="40" w:after="40" w:line="240" w:lineRule="exact"/>
              <w:jc w:val="center"/>
              <w:rPr>
                <w:rFonts w:ascii="宋体" w:hAnsi="宋体" w:eastAsia="宋体" w:cs="宋体"/>
                <w:sz w:val="18"/>
                <w:szCs w:val="18"/>
              </w:rPr>
            </w:pPr>
            <w:r>
              <w:rPr>
                <w:rFonts w:ascii="宋体" w:hAnsi="宋体" w:eastAsia="宋体" w:cs="宋体"/>
                <w:sz w:val="18"/>
                <w:szCs w:val="18"/>
              </w:rPr>
              <w:t>主要采购内容的金额</w:t>
            </w:r>
          </w:p>
        </w:tc>
      </w:tr>
      <w:tr w14:paraId="31AE521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C426805">
            <w:pPr>
              <w:spacing w:line="240" w:lineRule="exact"/>
              <w:rPr>
                <w:rFonts w:ascii="宋体" w:hAnsi="宋体" w:eastAsia="宋体" w:cs="宋体"/>
                <w:sz w:val="18"/>
                <w:szCs w:val="18"/>
              </w:rPr>
            </w:pPr>
            <w:r>
              <w:rPr>
                <w:rFonts w:ascii="宋体" w:hAnsi="宋体" w:eastAsia="宋体" w:cs="宋体"/>
                <w:sz w:val="18"/>
                <w:szCs w:val="18"/>
              </w:rPr>
              <w:t>分散采购</w:t>
            </w:r>
          </w:p>
        </w:tc>
        <w:tc>
          <w:tcPr>
            <w:tcW w:w="3213" w:type="dxa"/>
            <w:tcBorders>
              <w:top w:val="single" w:color="auto" w:sz="2" w:space="0"/>
              <w:left w:val="single" w:color="auto" w:sz="2" w:space="0"/>
              <w:bottom w:val="single" w:color="auto" w:sz="2" w:space="0"/>
              <w:right w:val="single" w:color="auto" w:sz="2" w:space="0"/>
            </w:tcBorders>
            <w:vAlign w:val="center"/>
          </w:tcPr>
          <w:p w14:paraId="5A9D53B8">
            <w:pPr>
              <w:spacing w:line="240" w:lineRule="exact"/>
              <w:rPr>
                <w:rFonts w:ascii="宋体" w:hAnsi="宋体" w:eastAsia="宋体" w:cs="宋体"/>
                <w:sz w:val="18"/>
                <w:szCs w:val="18"/>
              </w:rPr>
            </w:pPr>
            <w:r>
              <w:rPr>
                <w:rFonts w:ascii="宋体" w:hAnsi="宋体" w:eastAsia="宋体" w:cs="宋体"/>
                <w:sz w:val="18"/>
                <w:szCs w:val="18"/>
              </w:rPr>
              <w:t>原材料</w:t>
            </w:r>
          </w:p>
        </w:tc>
        <w:tc>
          <w:tcPr>
            <w:tcW w:w="3124" w:type="dxa"/>
            <w:tcBorders>
              <w:top w:val="single" w:color="auto" w:sz="2" w:space="0"/>
              <w:left w:val="single" w:color="auto" w:sz="2" w:space="0"/>
              <w:bottom w:val="single" w:color="auto" w:sz="2" w:space="0"/>
              <w:right w:val="single" w:color="auto" w:sz="2" w:space="0"/>
            </w:tcBorders>
            <w:vAlign w:val="center"/>
          </w:tcPr>
          <w:p w14:paraId="60A193C2">
            <w:pPr>
              <w:spacing w:line="240" w:lineRule="exact"/>
              <w:jc w:val="right"/>
              <w:rPr>
                <w:rFonts w:ascii="宋体" w:hAnsi="宋体" w:eastAsia="宋体" w:cs="宋体"/>
                <w:sz w:val="18"/>
                <w:szCs w:val="18"/>
              </w:rPr>
            </w:pPr>
            <w:r>
              <w:rPr>
                <w:rFonts w:ascii="宋体" w:hAnsi="宋体" w:eastAsia="宋体" w:cs="宋体"/>
                <w:sz w:val="18"/>
                <w:szCs w:val="18"/>
              </w:rPr>
              <w:t>23,396,437.64</w:t>
            </w:r>
          </w:p>
        </w:tc>
      </w:tr>
      <w:tr w14:paraId="13BE74E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7911E2C">
            <w:pPr>
              <w:spacing w:line="240" w:lineRule="exact"/>
              <w:rPr>
                <w:rFonts w:ascii="宋体" w:hAnsi="宋体" w:eastAsia="宋体" w:cs="宋体"/>
                <w:sz w:val="18"/>
                <w:szCs w:val="18"/>
              </w:rPr>
            </w:pPr>
            <w:r>
              <w:rPr>
                <w:rFonts w:ascii="宋体" w:hAnsi="宋体" w:eastAsia="宋体" w:cs="宋体"/>
                <w:sz w:val="18"/>
                <w:szCs w:val="18"/>
              </w:rPr>
              <w:t>分散采购</w:t>
            </w:r>
          </w:p>
        </w:tc>
        <w:tc>
          <w:tcPr>
            <w:tcW w:w="3213" w:type="dxa"/>
            <w:tcBorders>
              <w:top w:val="single" w:color="auto" w:sz="2" w:space="0"/>
              <w:left w:val="single" w:color="auto" w:sz="2" w:space="0"/>
              <w:bottom w:val="single" w:color="auto" w:sz="2" w:space="0"/>
              <w:right w:val="single" w:color="auto" w:sz="2" w:space="0"/>
            </w:tcBorders>
            <w:vAlign w:val="center"/>
          </w:tcPr>
          <w:p w14:paraId="653F2638">
            <w:pPr>
              <w:spacing w:line="240" w:lineRule="exact"/>
              <w:rPr>
                <w:rFonts w:ascii="宋体" w:hAnsi="宋体" w:eastAsia="宋体" w:cs="宋体"/>
                <w:sz w:val="18"/>
                <w:szCs w:val="18"/>
              </w:rPr>
            </w:pPr>
            <w:r>
              <w:rPr>
                <w:rFonts w:ascii="宋体" w:hAnsi="宋体" w:eastAsia="宋体" w:cs="宋体"/>
                <w:sz w:val="18"/>
                <w:szCs w:val="18"/>
              </w:rPr>
              <w:t>电力（动力）</w:t>
            </w:r>
          </w:p>
        </w:tc>
        <w:tc>
          <w:tcPr>
            <w:tcW w:w="3124" w:type="dxa"/>
            <w:tcBorders>
              <w:top w:val="single" w:color="auto" w:sz="2" w:space="0"/>
              <w:left w:val="single" w:color="auto" w:sz="2" w:space="0"/>
              <w:bottom w:val="single" w:color="auto" w:sz="2" w:space="0"/>
              <w:right w:val="single" w:color="auto" w:sz="2" w:space="0"/>
            </w:tcBorders>
            <w:vAlign w:val="center"/>
          </w:tcPr>
          <w:p w14:paraId="42AA20F0">
            <w:pPr>
              <w:spacing w:line="240" w:lineRule="exact"/>
              <w:jc w:val="right"/>
              <w:rPr>
                <w:rFonts w:ascii="宋体" w:hAnsi="宋体" w:eastAsia="宋体" w:cs="宋体"/>
                <w:sz w:val="18"/>
                <w:szCs w:val="18"/>
              </w:rPr>
            </w:pPr>
            <w:r>
              <w:rPr>
                <w:rFonts w:ascii="宋体" w:hAnsi="宋体" w:eastAsia="宋体" w:cs="宋体"/>
                <w:sz w:val="18"/>
                <w:szCs w:val="18"/>
              </w:rPr>
              <w:t>2,127,122.72</w:t>
            </w:r>
          </w:p>
        </w:tc>
      </w:tr>
      <w:tr w14:paraId="0354259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C98647E">
            <w:pPr>
              <w:spacing w:line="240" w:lineRule="exact"/>
              <w:rPr>
                <w:rFonts w:ascii="宋体" w:hAnsi="宋体" w:eastAsia="宋体" w:cs="宋体"/>
                <w:sz w:val="18"/>
                <w:szCs w:val="18"/>
              </w:rPr>
            </w:pPr>
            <w:r>
              <w:rPr>
                <w:rFonts w:ascii="宋体" w:hAnsi="宋体" w:eastAsia="宋体" w:cs="宋体"/>
                <w:sz w:val="18"/>
                <w:szCs w:val="18"/>
              </w:rPr>
              <w:t>分散采购</w:t>
            </w:r>
          </w:p>
        </w:tc>
        <w:tc>
          <w:tcPr>
            <w:tcW w:w="3213" w:type="dxa"/>
            <w:tcBorders>
              <w:top w:val="single" w:color="auto" w:sz="2" w:space="0"/>
              <w:left w:val="single" w:color="auto" w:sz="2" w:space="0"/>
              <w:bottom w:val="single" w:color="auto" w:sz="2" w:space="0"/>
              <w:right w:val="single" w:color="auto" w:sz="2" w:space="0"/>
            </w:tcBorders>
            <w:vAlign w:val="center"/>
          </w:tcPr>
          <w:p w14:paraId="4D53F8AF">
            <w:pPr>
              <w:spacing w:line="240" w:lineRule="exact"/>
              <w:rPr>
                <w:rFonts w:ascii="宋体" w:hAnsi="宋体" w:eastAsia="宋体" w:cs="宋体"/>
                <w:sz w:val="18"/>
                <w:szCs w:val="18"/>
              </w:rPr>
            </w:pPr>
            <w:r>
              <w:rPr>
                <w:rFonts w:ascii="宋体" w:hAnsi="宋体" w:eastAsia="宋体" w:cs="宋体"/>
                <w:sz w:val="18"/>
                <w:szCs w:val="18"/>
              </w:rPr>
              <w:t>包装物</w:t>
            </w:r>
          </w:p>
        </w:tc>
        <w:tc>
          <w:tcPr>
            <w:tcW w:w="3124" w:type="dxa"/>
            <w:tcBorders>
              <w:top w:val="single" w:color="auto" w:sz="2" w:space="0"/>
              <w:left w:val="single" w:color="auto" w:sz="2" w:space="0"/>
              <w:bottom w:val="single" w:color="auto" w:sz="2" w:space="0"/>
              <w:right w:val="single" w:color="auto" w:sz="2" w:space="0"/>
            </w:tcBorders>
            <w:vAlign w:val="center"/>
          </w:tcPr>
          <w:p w14:paraId="29783348">
            <w:pPr>
              <w:spacing w:line="240" w:lineRule="exact"/>
              <w:jc w:val="right"/>
              <w:rPr>
                <w:rFonts w:ascii="宋体" w:hAnsi="宋体" w:eastAsia="宋体" w:cs="宋体"/>
                <w:sz w:val="18"/>
                <w:szCs w:val="18"/>
              </w:rPr>
            </w:pPr>
            <w:r>
              <w:rPr>
                <w:rFonts w:ascii="宋体" w:hAnsi="宋体" w:eastAsia="宋体" w:cs="宋体"/>
                <w:sz w:val="18"/>
                <w:szCs w:val="18"/>
              </w:rPr>
              <w:t>69,221,177.77</w:t>
            </w:r>
          </w:p>
        </w:tc>
      </w:tr>
    </w:tbl>
    <w:p w14:paraId="4E33539F">
      <w:pPr>
        <w:spacing w:before="100" w:after="100" w:line="240" w:lineRule="exact"/>
        <w:rPr>
          <w:rFonts w:ascii="宋体" w:hAnsi="宋体" w:eastAsia="宋体" w:cs="宋体"/>
          <w:sz w:val="18"/>
          <w:szCs w:val="18"/>
        </w:rPr>
      </w:pPr>
      <w:r>
        <w:rPr>
          <w:rFonts w:ascii="宋体" w:hAnsi="宋体" w:eastAsia="宋体" w:cs="宋体"/>
          <w:sz w:val="18"/>
          <w:szCs w:val="18"/>
        </w:rPr>
        <w:t>向合作社或农户采购原材料占采购总金额比例超过30%</w:t>
      </w:r>
    </w:p>
    <w:p w14:paraId="221BC9F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F1FD2FD">
      <w:pPr>
        <w:spacing w:before="100" w:after="100" w:line="240" w:lineRule="exact"/>
        <w:rPr>
          <w:rFonts w:ascii="宋体" w:hAnsi="宋体" w:eastAsia="宋体" w:cs="宋体"/>
          <w:sz w:val="18"/>
          <w:szCs w:val="18"/>
        </w:rPr>
      </w:pPr>
      <w:r>
        <w:rPr>
          <w:rFonts w:ascii="宋体" w:hAnsi="宋体" w:eastAsia="宋体" w:cs="宋体"/>
          <w:sz w:val="18"/>
          <w:szCs w:val="18"/>
        </w:rPr>
        <w:t>主要外购原材料价格同比变动超过30%</w:t>
      </w:r>
    </w:p>
    <w:p w14:paraId="22EDE79D">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BDB3240">
      <w:pPr>
        <w:spacing w:before="100" w:after="100" w:line="240" w:lineRule="exact"/>
        <w:rPr>
          <w:rFonts w:ascii="宋体" w:hAnsi="宋体" w:eastAsia="宋体" w:cs="宋体"/>
          <w:sz w:val="18"/>
          <w:szCs w:val="18"/>
        </w:rPr>
      </w:pPr>
      <w:r>
        <w:rPr>
          <w:rFonts w:ascii="宋体" w:hAnsi="宋体" w:eastAsia="宋体" w:cs="宋体"/>
          <w:sz w:val="18"/>
          <w:szCs w:val="18"/>
        </w:rPr>
        <w:t>主要生产模式</w:t>
      </w:r>
    </w:p>
    <w:tbl>
      <w:tblPr>
        <w:tblStyle w:val="11"/>
        <w:tblW w:w="9491" w:type="dxa"/>
        <w:jc w:val="center"/>
        <w:tblLayout w:type="autofit"/>
        <w:tblCellMar>
          <w:top w:w="0" w:type="dxa"/>
          <w:left w:w="0" w:type="dxa"/>
          <w:bottom w:w="0" w:type="dxa"/>
          <w:right w:w="0" w:type="dxa"/>
        </w:tblCellMar>
      </w:tblPr>
      <w:tblGrid>
        <w:gridCol w:w="953"/>
        <w:gridCol w:w="4732"/>
        <w:gridCol w:w="2554"/>
        <w:gridCol w:w="1252"/>
      </w:tblGrid>
      <w:tr w14:paraId="0F8ABC4D">
        <w:trPr>
          <w:trHeight w:val="355" w:hRule="atLeast"/>
          <w:jc w:val="center"/>
        </w:trPr>
        <w:tc>
          <w:tcPr>
            <w:tcW w:w="953" w:type="dxa"/>
            <w:tcBorders>
              <w:top w:val="single" w:color="auto" w:sz="8" w:space="0"/>
              <w:left w:val="single" w:color="auto" w:sz="8" w:space="0"/>
              <w:bottom w:val="single" w:color="auto" w:sz="8" w:space="0"/>
              <w:right w:val="single" w:color="auto" w:sz="8" w:space="0"/>
            </w:tcBorders>
            <w:shd w:val="clear" w:color="auto" w:fill="AEAAAA"/>
            <w:tcMar>
              <w:top w:w="10" w:type="dxa"/>
              <w:left w:w="10" w:type="dxa"/>
              <w:bottom w:w="10" w:type="dxa"/>
              <w:right w:w="10" w:type="dxa"/>
            </w:tcMar>
          </w:tcPr>
          <w:p w14:paraId="43238E47">
            <w:pPr>
              <w:pStyle w:val="9"/>
              <w:jc w:val="center"/>
              <w:rPr>
                <w:sz w:val="18"/>
                <w:szCs w:val="18"/>
              </w:rPr>
            </w:pPr>
            <w:r>
              <w:rPr>
                <w:rFonts w:hint="eastAsia"/>
                <w:color w:val="000000"/>
                <w:sz w:val="18"/>
                <w:szCs w:val="18"/>
              </w:rPr>
              <w:t>生产模式</w:t>
            </w:r>
          </w:p>
        </w:tc>
        <w:tc>
          <w:tcPr>
            <w:tcW w:w="4732" w:type="dxa"/>
            <w:tcBorders>
              <w:top w:val="single" w:color="auto" w:sz="8" w:space="0"/>
              <w:left w:val="nil"/>
              <w:bottom w:val="single" w:color="auto" w:sz="8" w:space="0"/>
              <w:right w:val="single" w:color="auto" w:sz="8" w:space="0"/>
            </w:tcBorders>
            <w:shd w:val="clear" w:color="auto" w:fill="AEAAAA"/>
            <w:tcMar>
              <w:top w:w="10" w:type="dxa"/>
              <w:left w:w="10" w:type="dxa"/>
              <w:bottom w:w="10" w:type="dxa"/>
              <w:right w:w="10" w:type="dxa"/>
            </w:tcMar>
          </w:tcPr>
          <w:p w14:paraId="46160924">
            <w:pPr>
              <w:pStyle w:val="9"/>
              <w:jc w:val="center"/>
              <w:rPr>
                <w:sz w:val="18"/>
                <w:szCs w:val="18"/>
              </w:rPr>
            </w:pPr>
            <w:r>
              <w:rPr>
                <w:rFonts w:hint="eastAsia"/>
                <w:color w:val="000000"/>
                <w:sz w:val="18"/>
                <w:szCs w:val="18"/>
              </w:rPr>
              <w:t>产品名称</w:t>
            </w:r>
          </w:p>
        </w:tc>
        <w:tc>
          <w:tcPr>
            <w:tcW w:w="2554" w:type="dxa"/>
            <w:tcBorders>
              <w:top w:val="single" w:color="auto" w:sz="8" w:space="0"/>
              <w:left w:val="nil"/>
              <w:bottom w:val="single" w:color="auto" w:sz="8" w:space="0"/>
              <w:right w:val="single" w:color="auto" w:sz="8" w:space="0"/>
            </w:tcBorders>
            <w:shd w:val="clear" w:color="auto" w:fill="AEAAAA"/>
            <w:tcMar>
              <w:top w:w="10" w:type="dxa"/>
              <w:left w:w="10" w:type="dxa"/>
              <w:bottom w:w="10" w:type="dxa"/>
              <w:right w:w="10" w:type="dxa"/>
            </w:tcMar>
          </w:tcPr>
          <w:p w14:paraId="2B04A861">
            <w:pPr>
              <w:pStyle w:val="9"/>
              <w:jc w:val="center"/>
              <w:rPr>
                <w:sz w:val="18"/>
                <w:szCs w:val="18"/>
              </w:rPr>
            </w:pPr>
            <w:r>
              <w:rPr>
                <w:rFonts w:hint="eastAsia"/>
                <w:color w:val="000000"/>
                <w:sz w:val="18"/>
                <w:szCs w:val="18"/>
              </w:rPr>
              <w:t>生产成本（元）</w:t>
            </w:r>
          </w:p>
        </w:tc>
        <w:tc>
          <w:tcPr>
            <w:tcW w:w="1252" w:type="dxa"/>
            <w:tcBorders>
              <w:top w:val="single" w:color="auto" w:sz="8" w:space="0"/>
              <w:left w:val="nil"/>
              <w:bottom w:val="single" w:color="auto" w:sz="8" w:space="0"/>
              <w:right w:val="single" w:color="auto" w:sz="8" w:space="0"/>
            </w:tcBorders>
            <w:shd w:val="clear" w:color="auto" w:fill="AEAAAA"/>
            <w:tcMar>
              <w:top w:w="10" w:type="dxa"/>
              <w:left w:w="10" w:type="dxa"/>
              <w:bottom w:w="10" w:type="dxa"/>
              <w:right w:w="10" w:type="dxa"/>
            </w:tcMar>
          </w:tcPr>
          <w:p w14:paraId="6CBC5160">
            <w:pPr>
              <w:pStyle w:val="9"/>
              <w:jc w:val="center"/>
              <w:rPr>
                <w:sz w:val="18"/>
                <w:szCs w:val="18"/>
              </w:rPr>
            </w:pPr>
            <w:r>
              <w:rPr>
                <w:rFonts w:hint="eastAsia"/>
                <w:color w:val="000000"/>
                <w:sz w:val="18"/>
                <w:szCs w:val="18"/>
              </w:rPr>
              <w:t>占比</w:t>
            </w:r>
          </w:p>
        </w:tc>
      </w:tr>
      <w:tr w14:paraId="4D1C1E38">
        <w:trPr>
          <w:trHeight w:val="345" w:hRule="atLeast"/>
          <w:jc w:val="center"/>
        </w:trPr>
        <w:tc>
          <w:tcPr>
            <w:tcW w:w="953" w:type="dxa"/>
            <w:tcBorders>
              <w:top w:val="nil"/>
              <w:left w:val="single" w:color="auto" w:sz="8" w:space="0"/>
              <w:bottom w:val="single" w:color="auto" w:sz="8" w:space="0"/>
              <w:right w:val="single" w:color="auto" w:sz="8" w:space="0"/>
            </w:tcBorders>
            <w:shd w:val="clear" w:color="auto" w:fill="FFFFFF"/>
            <w:tcMar>
              <w:top w:w="10" w:type="dxa"/>
              <w:left w:w="10" w:type="dxa"/>
              <w:bottom w:w="10" w:type="dxa"/>
              <w:right w:w="10" w:type="dxa"/>
            </w:tcMar>
            <w:vAlign w:val="center"/>
          </w:tcPr>
          <w:p w14:paraId="58668327">
            <w:pPr>
              <w:pStyle w:val="9"/>
              <w:jc w:val="center"/>
              <w:rPr>
                <w:sz w:val="18"/>
                <w:szCs w:val="18"/>
              </w:rPr>
            </w:pPr>
            <w:r>
              <w:rPr>
                <w:rFonts w:hint="eastAsia"/>
                <w:color w:val="000000"/>
                <w:sz w:val="18"/>
                <w:szCs w:val="18"/>
              </w:rPr>
              <w:t>自产</w:t>
            </w:r>
          </w:p>
        </w:tc>
        <w:tc>
          <w:tcPr>
            <w:tcW w:w="473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6FC25D4F">
            <w:pPr>
              <w:pStyle w:val="9"/>
              <w:jc w:val="center"/>
              <w:rPr>
                <w:sz w:val="18"/>
                <w:szCs w:val="18"/>
              </w:rPr>
            </w:pPr>
            <w:r>
              <w:rPr>
                <w:rFonts w:hint="eastAsia"/>
                <w:color w:val="000000"/>
                <w:sz w:val="18"/>
                <w:szCs w:val="18"/>
              </w:rPr>
              <w:t>普通瓶装啤酒</w:t>
            </w:r>
            <w:r>
              <w:rPr>
                <w:color w:val="000000"/>
                <w:sz w:val="18"/>
                <w:szCs w:val="18"/>
              </w:rPr>
              <w:t>628ml*12</w:t>
            </w:r>
          </w:p>
        </w:tc>
        <w:tc>
          <w:tcPr>
            <w:tcW w:w="2554"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444E71E4">
            <w:pPr>
              <w:jc w:val="center"/>
              <w:rPr>
                <w:rFonts w:ascii="宋体" w:hAnsi="宋体" w:eastAsia="宋体" w:cs="宋体"/>
                <w:sz w:val="18"/>
                <w:szCs w:val="18"/>
              </w:rPr>
            </w:pPr>
            <w:r>
              <w:rPr>
                <w:rFonts w:hint="eastAsia" w:ascii="宋体" w:hAnsi="宋体" w:eastAsia="宋体" w:cs="宋体"/>
                <w:sz w:val="18"/>
                <w:szCs w:val="18"/>
                <w:shd w:val="clear" w:color="auto" w:fill="FFFFFF"/>
              </w:rPr>
              <w:t>77,129,577.90</w:t>
            </w:r>
          </w:p>
        </w:tc>
        <w:tc>
          <w:tcPr>
            <w:tcW w:w="125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1073FF76">
            <w:pPr>
              <w:jc w:val="center"/>
              <w:rPr>
                <w:rFonts w:ascii="宋体" w:hAnsi="宋体" w:eastAsia="宋体" w:cs="宋体"/>
                <w:sz w:val="18"/>
                <w:szCs w:val="18"/>
              </w:rPr>
            </w:pPr>
            <w:r>
              <w:rPr>
                <w:rFonts w:hint="eastAsia" w:ascii="宋体" w:hAnsi="宋体" w:eastAsia="宋体" w:cs="宋体"/>
                <w:sz w:val="18"/>
                <w:szCs w:val="18"/>
                <w:shd w:val="clear" w:color="auto" w:fill="FFFFFF"/>
              </w:rPr>
              <w:t>62.89%</w:t>
            </w:r>
          </w:p>
        </w:tc>
      </w:tr>
      <w:tr w14:paraId="7D88411E">
        <w:trPr>
          <w:trHeight w:val="338" w:hRule="atLeast"/>
          <w:jc w:val="center"/>
        </w:trPr>
        <w:tc>
          <w:tcPr>
            <w:tcW w:w="953" w:type="dxa"/>
            <w:tcBorders>
              <w:top w:val="nil"/>
              <w:left w:val="single" w:color="auto" w:sz="8" w:space="0"/>
              <w:bottom w:val="single" w:color="auto" w:sz="8" w:space="0"/>
              <w:right w:val="single" w:color="auto" w:sz="8" w:space="0"/>
            </w:tcBorders>
            <w:shd w:val="clear" w:color="auto" w:fill="FFFFFF"/>
            <w:tcMar>
              <w:top w:w="10" w:type="dxa"/>
              <w:left w:w="10" w:type="dxa"/>
              <w:bottom w:w="10" w:type="dxa"/>
              <w:right w:w="10" w:type="dxa"/>
            </w:tcMar>
            <w:vAlign w:val="center"/>
          </w:tcPr>
          <w:p w14:paraId="4AC027B4">
            <w:pPr>
              <w:pStyle w:val="9"/>
              <w:jc w:val="center"/>
              <w:rPr>
                <w:sz w:val="18"/>
                <w:szCs w:val="18"/>
              </w:rPr>
            </w:pPr>
            <w:r>
              <w:rPr>
                <w:rFonts w:hint="eastAsia"/>
                <w:color w:val="000000"/>
                <w:sz w:val="18"/>
                <w:szCs w:val="18"/>
              </w:rPr>
              <w:t>自产</w:t>
            </w:r>
          </w:p>
        </w:tc>
        <w:tc>
          <w:tcPr>
            <w:tcW w:w="473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48C00AAB">
            <w:pPr>
              <w:pStyle w:val="9"/>
              <w:jc w:val="center"/>
              <w:rPr>
                <w:sz w:val="18"/>
                <w:szCs w:val="18"/>
              </w:rPr>
            </w:pPr>
            <w:r>
              <w:rPr>
                <w:rFonts w:hint="eastAsia"/>
                <w:color w:val="000000"/>
                <w:sz w:val="18"/>
                <w:szCs w:val="18"/>
              </w:rPr>
              <w:t>小瓶啤酒“</w:t>
            </w:r>
            <w:r>
              <w:rPr>
                <w:color w:val="000000"/>
                <w:sz w:val="18"/>
                <w:szCs w:val="18"/>
              </w:rPr>
              <w:t>3650”330ml*24</w:t>
            </w:r>
          </w:p>
        </w:tc>
        <w:tc>
          <w:tcPr>
            <w:tcW w:w="2554"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09F2620D">
            <w:pPr>
              <w:jc w:val="center"/>
              <w:rPr>
                <w:rFonts w:ascii="宋体" w:hAnsi="宋体" w:eastAsia="宋体" w:cs="宋体"/>
                <w:sz w:val="18"/>
                <w:szCs w:val="18"/>
              </w:rPr>
            </w:pPr>
            <w:r>
              <w:rPr>
                <w:rFonts w:hint="eastAsia" w:ascii="宋体" w:hAnsi="宋体" w:eastAsia="宋体" w:cs="宋体"/>
                <w:sz w:val="18"/>
                <w:szCs w:val="18"/>
                <w:shd w:val="clear" w:color="auto" w:fill="FFFFFF"/>
              </w:rPr>
              <w:t>17,499,009.16</w:t>
            </w:r>
          </w:p>
        </w:tc>
        <w:tc>
          <w:tcPr>
            <w:tcW w:w="125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32A84C6A">
            <w:pPr>
              <w:jc w:val="center"/>
              <w:rPr>
                <w:rFonts w:ascii="宋体" w:hAnsi="宋体" w:eastAsia="宋体" w:cs="宋体"/>
                <w:sz w:val="18"/>
                <w:szCs w:val="18"/>
              </w:rPr>
            </w:pPr>
            <w:r>
              <w:rPr>
                <w:rFonts w:hint="eastAsia" w:ascii="宋体" w:hAnsi="宋体" w:eastAsia="宋体" w:cs="宋体"/>
                <w:sz w:val="18"/>
                <w:szCs w:val="18"/>
                <w:shd w:val="clear" w:color="auto" w:fill="FFFFFF"/>
              </w:rPr>
              <w:t>14.27%</w:t>
            </w:r>
          </w:p>
        </w:tc>
      </w:tr>
      <w:tr w14:paraId="00549943">
        <w:trPr>
          <w:trHeight w:val="345" w:hRule="atLeast"/>
          <w:jc w:val="center"/>
        </w:trPr>
        <w:tc>
          <w:tcPr>
            <w:tcW w:w="953" w:type="dxa"/>
            <w:tcBorders>
              <w:top w:val="nil"/>
              <w:left w:val="single" w:color="auto" w:sz="8" w:space="0"/>
              <w:bottom w:val="single" w:color="auto" w:sz="8" w:space="0"/>
              <w:right w:val="single" w:color="auto" w:sz="8" w:space="0"/>
            </w:tcBorders>
            <w:shd w:val="clear" w:color="auto" w:fill="FFFFFF"/>
            <w:tcMar>
              <w:top w:w="10" w:type="dxa"/>
              <w:left w:w="10" w:type="dxa"/>
              <w:bottom w:w="10" w:type="dxa"/>
              <w:right w:w="10" w:type="dxa"/>
            </w:tcMar>
            <w:vAlign w:val="center"/>
          </w:tcPr>
          <w:p w14:paraId="6F370818">
            <w:pPr>
              <w:pStyle w:val="9"/>
              <w:jc w:val="center"/>
              <w:rPr>
                <w:sz w:val="18"/>
                <w:szCs w:val="18"/>
              </w:rPr>
            </w:pPr>
            <w:r>
              <w:rPr>
                <w:rFonts w:hint="eastAsia"/>
                <w:color w:val="000000"/>
                <w:sz w:val="18"/>
                <w:szCs w:val="18"/>
              </w:rPr>
              <w:t>自产</w:t>
            </w:r>
          </w:p>
        </w:tc>
        <w:tc>
          <w:tcPr>
            <w:tcW w:w="473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2D3E65A6">
            <w:pPr>
              <w:pStyle w:val="9"/>
              <w:jc w:val="center"/>
              <w:rPr>
                <w:sz w:val="18"/>
                <w:szCs w:val="18"/>
              </w:rPr>
            </w:pPr>
            <w:r>
              <w:rPr>
                <w:rFonts w:hint="eastAsia"/>
                <w:color w:val="000000"/>
                <w:sz w:val="18"/>
                <w:szCs w:val="18"/>
              </w:rPr>
              <w:t>绿色听装啤酒</w:t>
            </w:r>
            <w:r>
              <w:rPr>
                <w:color w:val="000000"/>
                <w:sz w:val="18"/>
                <w:szCs w:val="18"/>
              </w:rPr>
              <w:t>355ml*24</w:t>
            </w:r>
          </w:p>
        </w:tc>
        <w:tc>
          <w:tcPr>
            <w:tcW w:w="2554"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010E51D8">
            <w:pPr>
              <w:jc w:val="center"/>
              <w:rPr>
                <w:rFonts w:ascii="宋体" w:hAnsi="宋体" w:eastAsia="宋体" w:cs="宋体"/>
                <w:sz w:val="18"/>
                <w:szCs w:val="18"/>
              </w:rPr>
            </w:pPr>
            <w:r>
              <w:rPr>
                <w:rFonts w:hint="eastAsia" w:ascii="宋体" w:hAnsi="宋体" w:eastAsia="宋体" w:cs="宋体"/>
                <w:sz w:val="18"/>
                <w:szCs w:val="18"/>
                <w:shd w:val="clear" w:color="auto" w:fill="FFFFFF"/>
              </w:rPr>
              <w:t>25,759,624.85</w:t>
            </w:r>
          </w:p>
        </w:tc>
        <w:tc>
          <w:tcPr>
            <w:tcW w:w="125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1D66804C">
            <w:pPr>
              <w:jc w:val="center"/>
              <w:rPr>
                <w:rFonts w:ascii="宋体" w:hAnsi="宋体" w:eastAsia="宋体" w:cs="宋体"/>
                <w:sz w:val="18"/>
                <w:szCs w:val="18"/>
              </w:rPr>
            </w:pPr>
            <w:r>
              <w:rPr>
                <w:rFonts w:hint="eastAsia" w:ascii="宋体" w:hAnsi="宋体" w:eastAsia="宋体" w:cs="宋体"/>
                <w:sz w:val="18"/>
                <w:szCs w:val="18"/>
                <w:shd w:val="clear" w:color="auto" w:fill="FFFFFF"/>
              </w:rPr>
              <w:t>21.00%</w:t>
            </w:r>
          </w:p>
        </w:tc>
      </w:tr>
      <w:tr w14:paraId="07896AB7">
        <w:trPr>
          <w:trHeight w:val="379" w:hRule="atLeast"/>
          <w:jc w:val="center"/>
        </w:trPr>
        <w:tc>
          <w:tcPr>
            <w:tcW w:w="953" w:type="dxa"/>
            <w:tcBorders>
              <w:top w:val="nil"/>
              <w:left w:val="single" w:color="auto" w:sz="8" w:space="0"/>
              <w:bottom w:val="single" w:color="auto" w:sz="8" w:space="0"/>
              <w:right w:val="single" w:color="auto" w:sz="8" w:space="0"/>
            </w:tcBorders>
            <w:shd w:val="clear" w:color="auto" w:fill="FFFFFF"/>
            <w:tcMar>
              <w:top w:w="10" w:type="dxa"/>
              <w:left w:w="10" w:type="dxa"/>
              <w:bottom w:w="10" w:type="dxa"/>
              <w:right w:w="10" w:type="dxa"/>
            </w:tcMar>
            <w:vAlign w:val="center"/>
          </w:tcPr>
          <w:p w14:paraId="4888606A">
            <w:pPr>
              <w:pStyle w:val="9"/>
              <w:jc w:val="center"/>
              <w:rPr>
                <w:sz w:val="18"/>
                <w:szCs w:val="18"/>
              </w:rPr>
            </w:pPr>
            <w:r>
              <w:rPr>
                <w:rFonts w:hint="eastAsia"/>
                <w:color w:val="000000"/>
                <w:sz w:val="18"/>
                <w:szCs w:val="18"/>
              </w:rPr>
              <w:t>自产</w:t>
            </w:r>
          </w:p>
        </w:tc>
        <w:tc>
          <w:tcPr>
            <w:tcW w:w="473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32E7A621">
            <w:pPr>
              <w:pStyle w:val="9"/>
              <w:jc w:val="center"/>
              <w:rPr>
                <w:sz w:val="18"/>
                <w:szCs w:val="18"/>
              </w:rPr>
            </w:pPr>
            <w:r>
              <w:rPr>
                <w:rFonts w:hint="eastAsia"/>
                <w:color w:val="000000"/>
                <w:sz w:val="18"/>
                <w:szCs w:val="18"/>
              </w:rPr>
              <w:t>拉萨啤酒-“青稞系列”</w:t>
            </w:r>
            <w:r>
              <w:rPr>
                <w:color w:val="000000"/>
                <w:sz w:val="18"/>
                <w:szCs w:val="18"/>
              </w:rPr>
              <w:t>330ml*24</w:t>
            </w:r>
          </w:p>
        </w:tc>
        <w:tc>
          <w:tcPr>
            <w:tcW w:w="2554"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688E75B7">
            <w:pPr>
              <w:jc w:val="center"/>
              <w:rPr>
                <w:rFonts w:ascii="宋体" w:hAnsi="宋体" w:eastAsia="宋体" w:cs="宋体"/>
                <w:sz w:val="18"/>
                <w:szCs w:val="18"/>
              </w:rPr>
            </w:pPr>
            <w:r>
              <w:rPr>
                <w:rFonts w:hint="eastAsia" w:ascii="宋体" w:hAnsi="宋体" w:eastAsia="宋体" w:cs="宋体"/>
                <w:sz w:val="18"/>
                <w:szCs w:val="18"/>
                <w:shd w:val="clear" w:color="auto" w:fill="FFFFFF"/>
              </w:rPr>
              <w:t>2,252,524.08</w:t>
            </w:r>
          </w:p>
        </w:tc>
        <w:tc>
          <w:tcPr>
            <w:tcW w:w="1252" w:type="dxa"/>
            <w:tcBorders>
              <w:top w:val="nil"/>
              <w:left w:val="nil"/>
              <w:bottom w:val="single" w:color="auto" w:sz="8" w:space="0"/>
              <w:right w:val="single" w:color="auto" w:sz="8" w:space="0"/>
            </w:tcBorders>
            <w:shd w:val="clear" w:color="auto" w:fill="FFFFFF"/>
            <w:tcMar>
              <w:top w:w="10" w:type="dxa"/>
              <w:left w:w="10" w:type="dxa"/>
              <w:bottom w:w="10" w:type="dxa"/>
              <w:right w:w="10" w:type="dxa"/>
            </w:tcMar>
            <w:vAlign w:val="center"/>
          </w:tcPr>
          <w:p w14:paraId="3C46E9F0">
            <w:pPr>
              <w:jc w:val="center"/>
              <w:rPr>
                <w:rFonts w:ascii="宋体" w:hAnsi="宋体" w:eastAsia="宋体" w:cs="宋体"/>
                <w:sz w:val="18"/>
                <w:szCs w:val="18"/>
              </w:rPr>
            </w:pPr>
            <w:r>
              <w:rPr>
                <w:rFonts w:hint="eastAsia" w:ascii="宋体" w:hAnsi="宋体" w:eastAsia="宋体" w:cs="宋体"/>
                <w:sz w:val="18"/>
                <w:szCs w:val="18"/>
                <w:shd w:val="clear" w:color="auto" w:fill="FFFFFF"/>
              </w:rPr>
              <w:t>1.84%</w:t>
            </w:r>
          </w:p>
        </w:tc>
      </w:tr>
    </w:tbl>
    <w:p w14:paraId="29B75B5B">
      <w:pPr>
        <w:spacing w:before="100" w:after="100" w:line="240" w:lineRule="exact"/>
        <w:rPr>
          <w:rFonts w:ascii="宋体" w:hAnsi="宋体" w:eastAsia="宋体" w:cs="宋体"/>
          <w:sz w:val="18"/>
          <w:szCs w:val="18"/>
        </w:rPr>
      </w:pPr>
      <w:r>
        <w:rPr>
          <w:rFonts w:ascii="宋体" w:hAnsi="宋体" w:eastAsia="宋体" w:cs="宋体"/>
          <w:sz w:val="18"/>
          <w:szCs w:val="18"/>
        </w:rPr>
        <w:t>委托加工生产</w:t>
      </w:r>
    </w:p>
    <w:p w14:paraId="7A38824E">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4EBD8C7">
      <w:pPr>
        <w:spacing w:before="100" w:after="100" w:line="240" w:lineRule="exact"/>
        <w:rPr>
          <w:rFonts w:ascii="宋体" w:hAnsi="宋体" w:eastAsia="宋体" w:cs="宋体"/>
          <w:sz w:val="18"/>
          <w:szCs w:val="18"/>
        </w:rPr>
      </w:pPr>
      <w:r>
        <w:rPr>
          <w:rFonts w:ascii="宋体" w:hAnsi="宋体" w:eastAsia="宋体" w:cs="宋体"/>
          <w:sz w:val="18"/>
          <w:szCs w:val="18"/>
        </w:rPr>
        <w:t>营业成本的主要构成项目</w:t>
      </w:r>
    </w:p>
    <w:tbl>
      <w:tblPr>
        <w:tblStyle w:val="11"/>
        <w:tblW w:w="4945" w:type="pct"/>
        <w:jc w:val="center"/>
        <w:tblLayout w:type="autofit"/>
        <w:tblCellMar>
          <w:top w:w="0" w:type="dxa"/>
          <w:left w:w="0" w:type="dxa"/>
          <w:bottom w:w="0" w:type="dxa"/>
          <w:right w:w="0" w:type="dxa"/>
        </w:tblCellMar>
      </w:tblPr>
      <w:tblGrid>
        <w:gridCol w:w="1778"/>
        <w:gridCol w:w="4073"/>
        <w:gridCol w:w="3695"/>
      </w:tblGrid>
      <w:tr w14:paraId="5A3D8D50">
        <w:trPr>
          <w:trHeight w:val="246" w:hRule="atLeast"/>
          <w:jc w:val="center"/>
        </w:trPr>
        <w:tc>
          <w:tcPr>
            <w:tcW w:w="931" w:type="pct"/>
            <w:vMerge w:val="restart"/>
            <w:tcBorders>
              <w:top w:val="single" w:color="auto" w:sz="4" w:space="0"/>
              <w:left w:val="single" w:color="auto" w:sz="4" w:space="0"/>
              <w:bottom w:val="single" w:color="auto" w:sz="4" w:space="0"/>
              <w:right w:val="single" w:color="auto" w:sz="4" w:space="0"/>
            </w:tcBorders>
            <w:shd w:val="clear" w:color="auto" w:fill="D3D3D3"/>
            <w:vAlign w:val="center"/>
          </w:tcPr>
          <w:p w14:paraId="57034CE1">
            <w:pPr>
              <w:jc w:val="center"/>
              <w:rPr>
                <w:rFonts w:ascii="宋体" w:hAnsi="宋体" w:eastAsia="宋体" w:cs="宋体"/>
                <w:color w:val="000000"/>
                <w:sz w:val="18"/>
                <w:szCs w:val="18"/>
              </w:rPr>
            </w:pPr>
            <w:r>
              <w:rPr>
                <w:rFonts w:hint="eastAsia" w:ascii="宋体" w:hAnsi="宋体" w:eastAsia="宋体" w:cs="宋体"/>
                <w:color w:val="000000"/>
                <w:sz w:val="18"/>
                <w:szCs w:val="18"/>
              </w:rPr>
              <w:t>主营业务成本构成</w:t>
            </w:r>
          </w:p>
        </w:tc>
        <w:tc>
          <w:tcPr>
            <w:tcW w:w="4068" w:type="pct"/>
            <w:gridSpan w:val="2"/>
            <w:tcBorders>
              <w:top w:val="single" w:color="auto" w:sz="8" w:space="0"/>
              <w:left w:val="nil"/>
              <w:bottom w:val="single" w:color="auto" w:sz="8" w:space="0"/>
              <w:right w:val="single" w:color="auto" w:sz="8" w:space="0"/>
            </w:tcBorders>
            <w:shd w:val="clear" w:color="auto" w:fill="D3D3D3"/>
            <w:vAlign w:val="center"/>
          </w:tcPr>
          <w:p w14:paraId="34A93406">
            <w:pPr>
              <w:jc w:val="center"/>
              <w:rPr>
                <w:rFonts w:ascii="宋体" w:hAnsi="宋体" w:eastAsia="宋体" w:cs="宋体"/>
                <w:color w:val="000000"/>
                <w:sz w:val="18"/>
                <w:szCs w:val="18"/>
              </w:rPr>
            </w:pPr>
            <w:r>
              <w:rPr>
                <w:rFonts w:hint="eastAsia" w:ascii="宋体" w:hAnsi="宋体" w:eastAsia="宋体" w:cs="宋体"/>
                <w:color w:val="000000"/>
                <w:sz w:val="18"/>
                <w:szCs w:val="18"/>
              </w:rPr>
              <w:t>2024年半年度</w:t>
            </w:r>
          </w:p>
        </w:tc>
      </w:tr>
      <w:tr w14:paraId="3C6650FA">
        <w:trPr>
          <w:trHeight w:val="314" w:hRule="atLeast"/>
          <w:jc w:val="center"/>
        </w:trPr>
        <w:tc>
          <w:tcPr>
            <w:tcW w:w="931" w:type="pct"/>
            <w:vMerge w:val="continue"/>
            <w:tcBorders>
              <w:top w:val="single" w:color="auto" w:sz="4" w:space="0"/>
              <w:left w:val="single" w:color="auto" w:sz="4" w:space="0"/>
              <w:bottom w:val="single" w:color="auto" w:sz="4" w:space="0"/>
              <w:right w:val="single" w:color="auto" w:sz="4" w:space="0"/>
            </w:tcBorders>
            <w:vAlign w:val="center"/>
          </w:tcPr>
          <w:p w14:paraId="06632CAE">
            <w:pPr>
              <w:rPr>
                <w:rFonts w:ascii="宋体" w:hAnsi="宋体" w:eastAsia="宋体" w:cs="宋体"/>
                <w:color w:val="000000"/>
                <w:sz w:val="18"/>
                <w:szCs w:val="18"/>
              </w:rPr>
            </w:pPr>
          </w:p>
        </w:tc>
        <w:tc>
          <w:tcPr>
            <w:tcW w:w="2133" w:type="pct"/>
            <w:tcBorders>
              <w:top w:val="nil"/>
              <w:left w:val="single" w:color="auto" w:sz="8" w:space="0"/>
              <w:bottom w:val="single" w:color="auto" w:sz="8" w:space="0"/>
              <w:right w:val="single" w:color="auto" w:sz="8" w:space="0"/>
            </w:tcBorders>
            <w:shd w:val="clear" w:color="auto" w:fill="D3D3D3"/>
            <w:vAlign w:val="center"/>
          </w:tcPr>
          <w:p w14:paraId="25B5B0EE">
            <w:pPr>
              <w:jc w:val="center"/>
              <w:rPr>
                <w:rFonts w:ascii="宋体" w:hAnsi="宋体" w:eastAsia="宋体" w:cs="宋体"/>
                <w:color w:val="000000"/>
                <w:sz w:val="18"/>
                <w:szCs w:val="18"/>
              </w:rPr>
            </w:pPr>
            <w:r>
              <w:rPr>
                <w:rFonts w:hint="eastAsia" w:ascii="宋体" w:hAnsi="宋体" w:eastAsia="宋体" w:cs="宋体"/>
                <w:color w:val="000000"/>
                <w:sz w:val="18"/>
                <w:szCs w:val="18"/>
              </w:rPr>
              <w:t>金额</w:t>
            </w:r>
          </w:p>
        </w:tc>
        <w:tc>
          <w:tcPr>
            <w:tcW w:w="1935" w:type="pct"/>
            <w:tcBorders>
              <w:top w:val="nil"/>
              <w:left w:val="nil"/>
              <w:bottom w:val="single" w:color="auto" w:sz="8" w:space="0"/>
              <w:right w:val="single" w:color="auto" w:sz="8" w:space="0"/>
            </w:tcBorders>
            <w:shd w:val="clear" w:color="auto" w:fill="D3D3D3"/>
            <w:vAlign w:val="center"/>
          </w:tcPr>
          <w:p w14:paraId="46516A42">
            <w:pPr>
              <w:jc w:val="center"/>
              <w:rPr>
                <w:rFonts w:ascii="宋体" w:hAnsi="宋体" w:eastAsia="宋体" w:cs="宋体"/>
                <w:color w:val="000000"/>
                <w:sz w:val="18"/>
                <w:szCs w:val="18"/>
              </w:rPr>
            </w:pPr>
            <w:r>
              <w:rPr>
                <w:rFonts w:hint="eastAsia" w:ascii="宋体" w:hAnsi="宋体" w:eastAsia="宋体" w:cs="宋体"/>
                <w:color w:val="000000"/>
                <w:sz w:val="18"/>
                <w:szCs w:val="18"/>
              </w:rPr>
              <w:t>占营业成本比重</w:t>
            </w:r>
          </w:p>
        </w:tc>
      </w:tr>
      <w:tr w14:paraId="7BFC26D3">
        <w:trPr>
          <w:trHeight w:val="248" w:hRule="atLeast"/>
          <w:jc w:val="center"/>
        </w:trPr>
        <w:tc>
          <w:tcPr>
            <w:tcW w:w="931" w:type="pct"/>
            <w:tcBorders>
              <w:top w:val="nil"/>
              <w:left w:val="single" w:color="auto" w:sz="8" w:space="0"/>
              <w:bottom w:val="single" w:color="auto" w:sz="8" w:space="0"/>
              <w:right w:val="single" w:color="auto" w:sz="8" w:space="0"/>
            </w:tcBorders>
            <w:shd w:val="clear" w:color="auto" w:fill="FFFFFF"/>
            <w:vAlign w:val="center"/>
          </w:tcPr>
          <w:p w14:paraId="3C3D48FC">
            <w:pPr>
              <w:jc w:val="center"/>
              <w:rPr>
                <w:rFonts w:ascii="宋体" w:hAnsi="宋体" w:eastAsia="宋体" w:cs="宋体"/>
                <w:color w:val="000000"/>
                <w:sz w:val="18"/>
                <w:szCs w:val="18"/>
              </w:rPr>
            </w:pPr>
            <w:r>
              <w:rPr>
                <w:rFonts w:hint="eastAsia" w:ascii="宋体" w:hAnsi="宋体" w:eastAsia="宋体" w:cs="宋体"/>
                <w:color w:val="000000"/>
                <w:sz w:val="18"/>
                <w:szCs w:val="18"/>
              </w:rPr>
              <w:t>人工费</w:t>
            </w:r>
          </w:p>
        </w:tc>
        <w:tc>
          <w:tcPr>
            <w:tcW w:w="2133" w:type="pct"/>
            <w:tcBorders>
              <w:top w:val="nil"/>
              <w:left w:val="nil"/>
              <w:bottom w:val="single" w:color="auto" w:sz="8" w:space="0"/>
              <w:right w:val="single" w:color="auto" w:sz="8" w:space="0"/>
            </w:tcBorders>
            <w:shd w:val="clear" w:color="auto" w:fill="FFFFFF"/>
            <w:vAlign w:val="center"/>
          </w:tcPr>
          <w:p w14:paraId="1625ADF0">
            <w:pPr>
              <w:jc w:val="center"/>
              <w:rPr>
                <w:rFonts w:ascii="宋体" w:hAnsi="宋体" w:eastAsia="宋体" w:cs="宋体"/>
                <w:color w:val="000000"/>
                <w:sz w:val="18"/>
                <w:szCs w:val="18"/>
              </w:rPr>
            </w:pPr>
            <w:r>
              <w:rPr>
                <w:rFonts w:hint="eastAsia" w:ascii="宋体" w:hAnsi="宋体" w:eastAsia="宋体" w:cs="宋体"/>
                <w:color w:val="000000"/>
                <w:sz w:val="18"/>
                <w:szCs w:val="18"/>
              </w:rPr>
              <w:t>14,192,879.42</w:t>
            </w:r>
          </w:p>
        </w:tc>
        <w:tc>
          <w:tcPr>
            <w:tcW w:w="1935" w:type="pct"/>
            <w:tcBorders>
              <w:top w:val="nil"/>
              <w:left w:val="nil"/>
              <w:bottom w:val="single" w:color="auto" w:sz="8" w:space="0"/>
              <w:right w:val="single" w:color="auto" w:sz="8" w:space="0"/>
            </w:tcBorders>
            <w:shd w:val="clear" w:color="auto" w:fill="FFFFFF"/>
            <w:vAlign w:val="center"/>
          </w:tcPr>
          <w:p w14:paraId="3E8E811E">
            <w:pPr>
              <w:jc w:val="center"/>
              <w:rPr>
                <w:rFonts w:ascii="宋体" w:hAnsi="宋体" w:eastAsia="宋体" w:cs="宋体"/>
                <w:color w:val="000000"/>
                <w:sz w:val="18"/>
                <w:szCs w:val="18"/>
              </w:rPr>
            </w:pPr>
            <w:r>
              <w:rPr>
                <w:rFonts w:hint="eastAsia" w:ascii="宋体" w:hAnsi="宋体" w:eastAsia="宋体" w:cs="宋体"/>
                <w:color w:val="000000"/>
                <w:sz w:val="18"/>
                <w:szCs w:val="18"/>
              </w:rPr>
              <w:t>11.57%</w:t>
            </w:r>
          </w:p>
        </w:tc>
      </w:tr>
      <w:tr w14:paraId="683A389B">
        <w:trPr>
          <w:trHeight w:val="314" w:hRule="atLeast"/>
          <w:jc w:val="center"/>
        </w:trPr>
        <w:tc>
          <w:tcPr>
            <w:tcW w:w="931" w:type="pct"/>
            <w:tcBorders>
              <w:top w:val="nil"/>
              <w:left w:val="single" w:color="auto" w:sz="8" w:space="0"/>
              <w:bottom w:val="single" w:color="auto" w:sz="8" w:space="0"/>
              <w:right w:val="single" w:color="auto" w:sz="8" w:space="0"/>
            </w:tcBorders>
            <w:shd w:val="clear" w:color="auto" w:fill="FFFFFF"/>
            <w:vAlign w:val="center"/>
          </w:tcPr>
          <w:p w14:paraId="136A5F12">
            <w:pPr>
              <w:jc w:val="center"/>
              <w:rPr>
                <w:rFonts w:ascii="宋体" w:hAnsi="宋体" w:eastAsia="宋体" w:cs="宋体"/>
                <w:color w:val="000000"/>
                <w:sz w:val="18"/>
                <w:szCs w:val="18"/>
              </w:rPr>
            </w:pPr>
            <w:r>
              <w:rPr>
                <w:rFonts w:hint="eastAsia" w:ascii="宋体" w:hAnsi="宋体" w:eastAsia="宋体" w:cs="宋体"/>
                <w:color w:val="000000"/>
                <w:sz w:val="18"/>
                <w:szCs w:val="18"/>
              </w:rPr>
              <w:t>原材料</w:t>
            </w:r>
          </w:p>
        </w:tc>
        <w:tc>
          <w:tcPr>
            <w:tcW w:w="2133" w:type="pct"/>
            <w:tcBorders>
              <w:top w:val="nil"/>
              <w:left w:val="nil"/>
              <w:bottom w:val="single" w:color="auto" w:sz="8" w:space="0"/>
              <w:right w:val="single" w:color="auto" w:sz="8" w:space="0"/>
            </w:tcBorders>
            <w:shd w:val="clear" w:color="auto" w:fill="FFFFFF"/>
            <w:vAlign w:val="center"/>
          </w:tcPr>
          <w:p w14:paraId="72CDF719">
            <w:pPr>
              <w:jc w:val="center"/>
              <w:rPr>
                <w:rFonts w:ascii="宋体" w:hAnsi="宋体" w:eastAsia="宋体" w:cs="宋体"/>
                <w:color w:val="000000"/>
                <w:sz w:val="18"/>
                <w:szCs w:val="18"/>
              </w:rPr>
            </w:pPr>
            <w:r>
              <w:rPr>
                <w:rFonts w:hint="eastAsia" w:ascii="宋体" w:hAnsi="宋体" w:eastAsia="宋体" w:cs="宋体"/>
                <w:color w:val="000000"/>
                <w:sz w:val="18"/>
                <w:szCs w:val="18"/>
              </w:rPr>
              <w:t>92,211,995.57</w:t>
            </w:r>
          </w:p>
        </w:tc>
        <w:tc>
          <w:tcPr>
            <w:tcW w:w="1935" w:type="pct"/>
            <w:tcBorders>
              <w:top w:val="nil"/>
              <w:left w:val="nil"/>
              <w:bottom w:val="single" w:color="auto" w:sz="8" w:space="0"/>
              <w:right w:val="single" w:color="auto" w:sz="8" w:space="0"/>
            </w:tcBorders>
            <w:shd w:val="clear" w:color="auto" w:fill="FFFFFF"/>
            <w:vAlign w:val="center"/>
          </w:tcPr>
          <w:p w14:paraId="628D77CF">
            <w:pPr>
              <w:jc w:val="center"/>
              <w:rPr>
                <w:rFonts w:ascii="宋体" w:hAnsi="宋体" w:eastAsia="宋体" w:cs="宋体"/>
                <w:color w:val="000000"/>
                <w:sz w:val="18"/>
                <w:szCs w:val="18"/>
              </w:rPr>
            </w:pPr>
            <w:r>
              <w:rPr>
                <w:rFonts w:hint="eastAsia" w:ascii="宋体" w:hAnsi="宋体" w:eastAsia="宋体" w:cs="宋体"/>
                <w:color w:val="000000"/>
                <w:sz w:val="18"/>
                <w:szCs w:val="18"/>
              </w:rPr>
              <w:t>75.19%</w:t>
            </w:r>
          </w:p>
        </w:tc>
      </w:tr>
      <w:tr w14:paraId="5ED4D569">
        <w:trPr>
          <w:trHeight w:val="246" w:hRule="atLeast"/>
          <w:jc w:val="center"/>
        </w:trPr>
        <w:tc>
          <w:tcPr>
            <w:tcW w:w="931" w:type="pct"/>
            <w:tcBorders>
              <w:top w:val="nil"/>
              <w:left w:val="single" w:color="auto" w:sz="8" w:space="0"/>
              <w:bottom w:val="single" w:color="auto" w:sz="8" w:space="0"/>
              <w:right w:val="single" w:color="auto" w:sz="8" w:space="0"/>
            </w:tcBorders>
            <w:shd w:val="clear" w:color="auto" w:fill="FFFFFF"/>
            <w:vAlign w:val="center"/>
          </w:tcPr>
          <w:p w14:paraId="1C9A8E8B">
            <w:pPr>
              <w:jc w:val="center"/>
              <w:rPr>
                <w:rFonts w:ascii="宋体" w:hAnsi="宋体" w:eastAsia="宋体" w:cs="宋体"/>
                <w:color w:val="000000"/>
                <w:sz w:val="18"/>
                <w:szCs w:val="18"/>
              </w:rPr>
            </w:pPr>
            <w:r>
              <w:rPr>
                <w:rFonts w:hint="eastAsia" w:ascii="宋体" w:hAnsi="宋体" w:eastAsia="宋体" w:cs="宋体"/>
                <w:color w:val="000000"/>
                <w:sz w:val="18"/>
                <w:szCs w:val="18"/>
              </w:rPr>
              <w:t>折旧</w:t>
            </w:r>
          </w:p>
        </w:tc>
        <w:tc>
          <w:tcPr>
            <w:tcW w:w="2133" w:type="pct"/>
            <w:tcBorders>
              <w:top w:val="nil"/>
              <w:left w:val="nil"/>
              <w:bottom w:val="single" w:color="auto" w:sz="8" w:space="0"/>
              <w:right w:val="single" w:color="auto" w:sz="8" w:space="0"/>
            </w:tcBorders>
            <w:shd w:val="clear" w:color="auto" w:fill="FFFFFF"/>
            <w:vAlign w:val="center"/>
          </w:tcPr>
          <w:p w14:paraId="705B241D">
            <w:pPr>
              <w:jc w:val="center"/>
              <w:rPr>
                <w:rFonts w:ascii="宋体" w:hAnsi="宋体" w:eastAsia="宋体" w:cs="宋体"/>
                <w:color w:val="000000"/>
                <w:sz w:val="18"/>
                <w:szCs w:val="18"/>
              </w:rPr>
            </w:pPr>
            <w:r>
              <w:rPr>
                <w:rFonts w:hint="eastAsia" w:ascii="宋体" w:hAnsi="宋体" w:eastAsia="宋体" w:cs="宋体"/>
                <w:color w:val="000000"/>
                <w:sz w:val="18"/>
                <w:szCs w:val="18"/>
              </w:rPr>
              <w:t>7,938,806.15</w:t>
            </w:r>
          </w:p>
        </w:tc>
        <w:tc>
          <w:tcPr>
            <w:tcW w:w="1935" w:type="pct"/>
            <w:tcBorders>
              <w:top w:val="nil"/>
              <w:left w:val="nil"/>
              <w:bottom w:val="single" w:color="auto" w:sz="8" w:space="0"/>
              <w:right w:val="single" w:color="auto" w:sz="8" w:space="0"/>
            </w:tcBorders>
            <w:shd w:val="clear" w:color="auto" w:fill="FFFFFF"/>
            <w:vAlign w:val="center"/>
          </w:tcPr>
          <w:p w14:paraId="73856085">
            <w:pPr>
              <w:jc w:val="center"/>
              <w:rPr>
                <w:rFonts w:ascii="宋体" w:hAnsi="宋体" w:eastAsia="宋体" w:cs="宋体"/>
                <w:color w:val="000000"/>
                <w:sz w:val="18"/>
                <w:szCs w:val="18"/>
              </w:rPr>
            </w:pPr>
            <w:r>
              <w:rPr>
                <w:rFonts w:hint="eastAsia" w:ascii="宋体" w:hAnsi="宋体" w:eastAsia="宋体" w:cs="宋体"/>
                <w:color w:val="000000"/>
                <w:sz w:val="18"/>
                <w:szCs w:val="18"/>
              </w:rPr>
              <w:t>6.47%</w:t>
            </w:r>
          </w:p>
        </w:tc>
      </w:tr>
      <w:tr w14:paraId="1B62226F">
        <w:trPr>
          <w:trHeight w:val="246" w:hRule="atLeast"/>
          <w:jc w:val="center"/>
        </w:trPr>
        <w:tc>
          <w:tcPr>
            <w:tcW w:w="931" w:type="pct"/>
            <w:tcBorders>
              <w:top w:val="nil"/>
              <w:left w:val="single" w:color="auto" w:sz="8" w:space="0"/>
              <w:bottom w:val="single" w:color="auto" w:sz="8" w:space="0"/>
              <w:right w:val="single" w:color="auto" w:sz="8" w:space="0"/>
            </w:tcBorders>
            <w:shd w:val="clear" w:color="auto" w:fill="FFFFFF"/>
            <w:vAlign w:val="center"/>
          </w:tcPr>
          <w:p w14:paraId="260C0A2B">
            <w:pPr>
              <w:jc w:val="center"/>
              <w:rPr>
                <w:rFonts w:ascii="宋体" w:hAnsi="宋体" w:eastAsia="宋体" w:cs="宋体"/>
                <w:color w:val="000000"/>
                <w:sz w:val="18"/>
                <w:szCs w:val="18"/>
              </w:rPr>
            </w:pPr>
            <w:r>
              <w:rPr>
                <w:rFonts w:hint="eastAsia" w:ascii="宋体" w:hAnsi="宋体" w:eastAsia="宋体" w:cs="宋体"/>
                <w:color w:val="000000"/>
                <w:sz w:val="18"/>
                <w:szCs w:val="18"/>
              </w:rPr>
              <w:t>动力能耗</w:t>
            </w:r>
          </w:p>
        </w:tc>
        <w:tc>
          <w:tcPr>
            <w:tcW w:w="2133" w:type="pct"/>
            <w:tcBorders>
              <w:top w:val="nil"/>
              <w:left w:val="nil"/>
              <w:bottom w:val="single" w:color="auto" w:sz="8" w:space="0"/>
              <w:right w:val="single" w:color="auto" w:sz="8" w:space="0"/>
            </w:tcBorders>
            <w:shd w:val="clear" w:color="auto" w:fill="FFFFFF"/>
            <w:vAlign w:val="center"/>
          </w:tcPr>
          <w:p w14:paraId="36EED21D">
            <w:pPr>
              <w:jc w:val="center"/>
              <w:rPr>
                <w:rFonts w:ascii="宋体" w:hAnsi="宋体" w:eastAsia="宋体" w:cs="宋体"/>
                <w:color w:val="000000"/>
                <w:sz w:val="18"/>
                <w:szCs w:val="18"/>
              </w:rPr>
            </w:pPr>
            <w:r>
              <w:rPr>
                <w:rFonts w:hint="eastAsia" w:ascii="宋体" w:hAnsi="宋体" w:eastAsia="宋体" w:cs="宋体"/>
                <w:color w:val="000000"/>
                <w:sz w:val="18"/>
                <w:szCs w:val="18"/>
              </w:rPr>
              <w:t>7,588,072.92</w:t>
            </w:r>
          </w:p>
        </w:tc>
        <w:tc>
          <w:tcPr>
            <w:tcW w:w="1935" w:type="pct"/>
            <w:tcBorders>
              <w:top w:val="nil"/>
              <w:left w:val="nil"/>
              <w:bottom w:val="single" w:color="auto" w:sz="8" w:space="0"/>
              <w:right w:val="single" w:color="auto" w:sz="8" w:space="0"/>
            </w:tcBorders>
            <w:shd w:val="clear" w:color="auto" w:fill="FFFFFF"/>
            <w:vAlign w:val="center"/>
          </w:tcPr>
          <w:p w14:paraId="02FF68BF">
            <w:pPr>
              <w:jc w:val="center"/>
              <w:rPr>
                <w:rFonts w:ascii="宋体" w:hAnsi="宋体" w:eastAsia="宋体" w:cs="宋体"/>
                <w:color w:val="000000"/>
                <w:sz w:val="18"/>
                <w:szCs w:val="18"/>
              </w:rPr>
            </w:pPr>
            <w:r>
              <w:rPr>
                <w:rFonts w:hint="eastAsia" w:ascii="宋体" w:hAnsi="宋体" w:eastAsia="宋体" w:cs="宋体"/>
                <w:color w:val="000000"/>
                <w:sz w:val="18"/>
                <w:szCs w:val="18"/>
              </w:rPr>
              <w:t>6.19%</w:t>
            </w:r>
          </w:p>
        </w:tc>
      </w:tr>
      <w:tr w14:paraId="3DC63A69">
        <w:trPr>
          <w:trHeight w:val="261" w:hRule="atLeast"/>
          <w:jc w:val="center"/>
        </w:trPr>
        <w:tc>
          <w:tcPr>
            <w:tcW w:w="931" w:type="pct"/>
            <w:tcBorders>
              <w:top w:val="nil"/>
              <w:left w:val="single" w:color="auto" w:sz="8" w:space="0"/>
              <w:bottom w:val="single" w:color="auto" w:sz="8" w:space="0"/>
              <w:right w:val="single" w:color="auto" w:sz="8" w:space="0"/>
            </w:tcBorders>
            <w:shd w:val="clear" w:color="auto" w:fill="FFFFFF"/>
            <w:vAlign w:val="center"/>
          </w:tcPr>
          <w:p w14:paraId="26FBB367">
            <w:pPr>
              <w:jc w:val="center"/>
              <w:rPr>
                <w:rFonts w:ascii="宋体" w:hAnsi="宋体" w:eastAsia="宋体" w:cs="宋体"/>
                <w:color w:val="000000"/>
                <w:sz w:val="18"/>
                <w:szCs w:val="18"/>
              </w:rPr>
            </w:pPr>
            <w:r>
              <w:rPr>
                <w:rFonts w:hint="eastAsia" w:ascii="宋体" w:hAnsi="宋体" w:eastAsia="宋体" w:cs="宋体"/>
                <w:color w:val="000000"/>
                <w:sz w:val="18"/>
                <w:szCs w:val="18"/>
              </w:rPr>
              <w:t>其他</w:t>
            </w:r>
          </w:p>
        </w:tc>
        <w:tc>
          <w:tcPr>
            <w:tcW w:w="2133" w:type="pct"/>
            <w:tcBorders>
              <w:top w:val="nil"/>
              <w:left w:val="nil"/>
              <w:bottom w:val="single" w:color="auto" w:sz="8" w:space="0"/>
              <w:right w:val="single" w:color="auto" w:sz="8" w:space="0"/>
            </w:tcBorders>
            <w:shd w:val="clear" w:color="auto" w:fill="FFFFFF"/>
            <w:vAlign w:val="center"/>
          </w:tcPr>
          <w:p w14:paraId="211E4DB6">
            <w:pPr>
              <w:jc w:val="center"/>
              <w:rPr>
                <w:rFonts w:ascii="宋体" w:hAnsi="宋体" w:eastAsia="宋体" w:cs="宋体"/>
                <w:color w:val="000000"/>
                <w:sz w:val="18"/>
                <w:szCs w:val="18"/>
              </w:rPr>
            </w:pPr>
            <w:r>
              <w:rPr>
                <w:rFonts w:hint="eastAsia" w:ascii="宋体" w:hAnsi="宋体" w:eastAsia="宋体" w:cs="宋体"/>
                <w:color w:val="000000"/>
                <w:sz w:val="18"/>
                <w:szCs w:val="18"/>
              </w:rPr>
              <w:t>708,981.93</w:t>
            </w:r>
          </w:p>
        </w:tc>
        <w:tc>
          <w:tcPr>
            <w:tcW w:w="1935" w:type="pct"/>
            <w:tcBorders>
              <w:top w:val="nil"/>
              <w:left w:val="nil"/>
              <w:bottom w:val="single" w:color="auto" w:sz="8" w:space="0"/>
              <w:right w:val="single" w:color="auto" w:sz="8" w:space="0"/>
            </w:tcBorders>
            <w:shd w:val="clear" w:color="auto" w:fill="FFFFFF"/>
            <w:vAlign w:val="center"/>
          </w:tcPr>
          <w:p w14:paraId="22980A0C">
            <w:pPr>
              <w:jc w:val="center"/>
              <w:rPr>
                <w:rFonts w:ascii="宋体" w:hAnsi="宋体" w:eastAsia="宋体" w:cs="宋体"/>
                <w:color w:val="000000"/>
                <w:sz w:val="18"/>
                <w:szCs w:val="18"/>
              </w:rPr>
            </w:pPr>
            <w:r>
              <w:rPr>
                <w:rFonts w:hint="eastAsia" w:ascii="宋体" w:hAnsi="宋体" w:eastAsia="宋体" w:cs="宋体"/>
                <w:color w:val="000000"/>
                <w:sz w:val="18"/>
                <w:szCs w:val="18"/>
              </w:rPr>
              <w:t>0.58%</w:t>
            </w:r>
          </w:p>
        </w:tc>
      </w:tr>
      <w:tr w14:paraId="7A89D94F">
        <w:trPr>
          <w:trHeight w:val="266" w:hRule="atLeast"/>
          <w:jc w:val="center"/>
        </w:trPr>
        <w:tc>
          <w:tcPr>
            <w:tcW w:w="931" w:type="pct"/>
            <w:tcBorders>
              <w:top w:val="nil"/>
              <w:left w:val="single" w:color="auto" w:sz="8" w:space="0"/>
              <w:bottom w:val="single" w:color="auto" w:sz="8" w:space="0"/>
              <w:right w:val="single" w:color="auto" w:sz="8" w:space="0"/>
            </w:tcBorders>
            <w:shd w:val="clear" w:color="auto" w:fill="FFFFFF"/>
            <w:vAlign w:val="center"/>
          </w:tcPr>
          <w:p w14:paraId="78BBB5FE">
            <w:pPr>
              <w:jc w:val="center"/>
              <w:rPr>
                <w:rFonts w:ascii="宋体" w:hAnsi="宋体" w:eastAsia="宋体" w:cs="宋体"/>
                <w:color w:val="000000"/>
                <w:sz w:val="18"/>
                <w:szCs w:val="18"/>
              </w:rPr>
            </w:pPr>
            <w:r>
              <w:rPr>
                <w:rFonts w:hint="eastAsia" w:ascii="宋体" w:hAnsi="宋体" w:eastAsia="宋体" w:cs="宋体"/>
                <w:color w:val="000000"/>
                <w:sz w:val="18"/>
                <w:szCs w:val="18"/>
              </w:rPr>
              <w:t>合计</w:t>
            </w:r>
          </w:p>
        </w:tc>
        <w:tc>
          <w:tcPr>
            <w:tcW w:w="2133" w:type="pct"/>
            <w:tcBorders>
              <w:top w:val="nil"/>
              <w:left w:val="nil"/>
              <w:bottom w:val="single" w:color="auto" w:sz="8" w:space="0"/>
              <w:right w:val="single" w:color="auto" w:sz="8" w:space="0"/>
            </w:tcBorders>
            <w:noWrap/>
            <w:vAlign w:val="center"/>
          </w:tcPr>
          <w:p w14:paraId="5441C809">
            <w:pPr>
              <w:jc w:val="center"/>
              <w:rPr>
                <w:rFonts w:ascii="宋体" w:hAnsi="宋体" w:eastAsia="宋体" w:cs="宋体"/>
                <w:color w:val="000000"/>
                <w:sz w:val="18"/>
                <w:szCs w:val="18"/>
              </w:rPr>
            </w:pPr>
            <w:r>
              <w:rPr>
                <w:rFonts w:hint="eastAsia" w:ascii="宋体" w:hAnsi="宋体" w:eastAsia="宋体" w:cs="宋体"/>
                <w:color w:val="000000"/>
                <w:sz w:val="18"/>
                <w:szCs w:val="18"/>
              </w:rPr>
              <w:t>122,640,735.99</w:t>
            </w:r>
          </w:p>
        </w:tc>
        <w:tc>
          <w:tcPr>
            <w:tcW w:w="1935" w:type="pct"/>
            <w:tcBorders>
              <w:top w:val="nil"/>
              <w:left w:val="nil"/>
              <w:bottom w:val="single" w:color="auto" w:sz="8" w:space="0"/>
              <w:right w:val="single" w:color="auto" w:sz="8" w:space="0"/>
            </w:tcBorders>
            <w:noWrap/>
            <w:vAlign w:val="center"/>
          </w:tcPr>
          <w:p w14:paraId="7AA3D75C">
            <w:pPr>
              <w:jc w:val="center"/>
              <w:rPr>
                <w:rFonts w:ascii="宋体" w:hAnsi="宋体" w:eastAsia="宋体" w:cs="宋体"/>
                <w:color w:val="000000"/>
                <w:sz w:val="18"/>
                <w:szCs w:val="18"/>
              </w:rPr>
            </w:pPr>
            <w:r>
              <w:rPr>
                <w:rFonts w:hint="eastAsia" w:ascii="宋体" w:hAnsi="宋体" w:eastAsia="宋体" w:cs="宋体"/>
                <w:color w:val="000000"/>
                <w:sz w:val="18"/>
                <w:szCs w:val="18"/>
              </w:rPr>
              <w:t>100.00%</w:t>
            </w:r>
          </w:p>
        </w:tc>
      </w:tr>
    </w:tbl>
    <w:p w14:paraId="01BAB916">
      <w:pPr>
        <w:spacing w:before="100" w:after="100" w:line="240" w:lineRule="exact"/>
        <w:rPr>
          <w:rFonts w:ascii="宋体" w:hAnsi="宋体" w:eastAsia="宋体" w:cs="宋体"/>
          <w:sz w:val="18"/>
          <w:szCs w:val="18"/>
        </w:rPr>
      </w:pPr>
      <w:r>
        <w:rPr>
          <w:rFonts w:ascii="宋体" w:hAnsi="宋体" w:eastAsia="宋体" w:cs="宋体"/>
          <w:sz w:val="18"/>
          <w:szCs w:val="18"/>
        </w:rPr>
        <w:t>产量与库存量</w:t>
      </w:r>
    </w:p>
    <w:tbl>
      <w:tblPr>
        <w:tblStyle w:val="11"/>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65"/>
        <w:gridCol w:w="1528"/>
        <w:gridCol w:w="1528"/>
        <w:gridCol w:w="1676"/>
        <w:gridCol w:w="1676"/>
        <w:gridCol w:w="1635"/>
      </w:tblGrid>
      <w:tr w14:paraId="01644377">
        <w:trPr>
          <w:trHeight w:val="353" w:hRule="atLeast"/>
          <w:jc w:val="center"/>
        </w:trPr>
        <w:tc>
          <w:tcPr>
            <w:tcW w:w="770" w:type="pct"/>
            <w:shd w:val="clear" w:color="auto" w:fill="D3D3D3"/>
            <w:vAlign w:val="center"/>
          </w:tcPr>
          <w:p w14:paraId="0F4BB680">
            <w:pPr>
              <w:jc w:val="center"/>
              <w:rPr>
                <w:rFonts w:ascii="宋体" w:hAnsi="宋体" w:eastAsia="宋体" w:cs="宋体"/>
                <w:color w:val="000000"/>
                <w:sz w:val="18"/>
                <w:szCs w:val="18"/>
              </w:rPr>
            </w:pPr>
            <w:r>
              <w:rPr>
                <w:rFonts w:hint="eastAsia" w:ascii="宋体" w:hAnsi="宋体" w:eastAsia="宋体" w:cs="宋体"/>
                <w:color w:val="000000"/>
                <w:sz w:val="18"/>
                <w:szCs w:val="18"/>
              </w:rPr>
              <w:t>行业分类</w:t>
            </w:r>
          </w:p>
        </w:tc>
        <w:tc>
          <w:tcPr>
            <w:tcW w:w="803" w:type="pct"/>
            <w:shd w:val="clear" w:color="auto" w:fill="D3D3D3"/>
            <w:vAlign w:val="center"/>
          </w:tcPr>
          <w:p w14:paraId="66A50D76">
            <w:pPr>
              <w:jc w:val="center"/>
              <w:rPr>
                <w:rFonts w:ascii="宋体" w:hAnsi="宋体" w:eastAsia="宋体" w:cs="宋体"/>
                <w:color w:val="000000"/>
                <w:sz w:val="18"/>
                <w:szCs w:val="18"/>
              </w:rPr>
            </w:pPr>
            <w:r>
              <w:rPr>
                <w:rFonts w:hint="eastAsia" w:ascii="宋体" w:hAnsi="宋体" w:eastAsia="宋体" w:cs="宋体"/>
                <w:color w:val="000000"/>
                <w:sz w:val="18"/>
                <w:szCs w:val="18"/>
              </w:rPr>
              <w:t>项目</w:t>
            </w:r>
          </w:p>
        </w:tc>
        <w:tc>
          <w:tcPr>
            <w:tcW w:w="803" w:type="pct"/>
            <w:shd w:val="clear" w:color="auto" w:fill="D3D3D3"/>
            <w:vAlign w:val="center"/>
          </w:tcPr>
          <w:p w14:paraId="65025436">
            <w:pPr>
              <w:jc w:val="center"/>
              <w:rPr>
                <w:rFonts w:ascii="宋体" w:hAnsi="宋体" w:eastAsia="宋体" w:cs="宋体"/>
                <w:color w:val="000000"/>
                <w:sz w:val="18"/>
                <w:szCs w:val="18"/>
              </w:rPr>
            </w:pPr>
            <w:r>
              <w:rPr>
                <w:rFonts w:hint="eastAsia" w:ascii="宋体" w:hAnsi="宋体" w:eastAsia="宋体" w:cs="宋体"/>
                <w:color w:val="000000"/>
                <w:sz w:val="18"/>
                <w:szCs w:val="18"/>
              </w:rPr>
              <w:t>单位</w:t>
            </w:r>
          </w:p>
        </w:tc>
        <w:tc>
          <w:tcPr>
            <w:tcW w:w="881" w:type="pct"/>
            <w:shd w:val="clear" w:color="auto" w:fill="D3D3D3"/>
            <w:vAlign w:val="center"/>
          </w:tcPr>
          <w:p w14:paraId="25658E7C">
            <w:pPr>
              <w:jc w:val="center"/>
              <w:rPr>
                <w:rFonts w:ascii="宋体" w:hAnsi="宋体" w:eastAsia="宋体" w:cs="宋体"/>
                <w:color w:val="000000"/>
                <w:sz w:val="18"/>
                <w:szCs w:val="18"/>
              </w:rPr>
            </w:pPr>
            <w:r>
              <w:rPr>
                <w:rFonts w:hint="eastAsia" w:ascii="宋体" w:hAnsi="宋体" w:eastAsia="宋体" w:cs="宋体"/>
                <w:color w:val="000000"/>
                <w:sz w:val="18"/>
                <w:szCs w:val="18"/>
              </w:rPr>
              <w:t>2024年半年度</w:t>
            </w:r>
          </w:p>
        </w:tc>
        <w:tc>
          <w:tcPr>
            <w:tcW w:w="881" w:type="pct"/>
            <w:shd w:val="clear" w:color="auto" w:fill="D3D3D3"/>
            <w:vAlign w:val="center"/>
          </w:tcPr>
          <w:p w14:paraId="4417EFFB">
            <w:pPr>
              <w:jc w:val="center"/>
              <w:rPr>
                <w:rFonts w:ascii="宋体" w:hAnsi="宋体" w:eastAsia="宋体" w:cs="宋体"/>
                <w:color w:val="000000"/>
                <w:sz w:val="18"/>
                <w:szCs w:val="18"/>
              </w:rPr>
            </w:pPr>
            <w:r>
              <w:rPr>
                <w:rFonts w:hint="eastAsia" w:ascii="宋体" w:hAnsi="宋体" w:eastAsia="宋体" w:cs="宋体"/>
                <w:color w:val="000000"/>
                <w:sz w:val="18"/>
                <w:szCs w:val="18"/>
              </w:rPr>
              <w:t>2023年半年度</w:t>
            </w:r>
          </w:p>
        </w:tc>
        <w:tc>
          <w:tcPr>
            <w:tcW w:w="859" w:type="pct"/>
            <w:shd w:val="clear" w:color="auto" w:fill="D3D3D3"/>
            <w:vAlign w:val="center"/>
          </w:tcPr>
          <w:p w14:paraId="655E4E37">
            <w:pPr>
              <w:jc w:val="center"/>
              <w:rPr>
                <w:rFonts w:ascii="宋体" w:hAnsi="宋体" w:eastAsia="宋体" w:cs="宋体"/>
                <w:color w:val="000000"/>
                <w:sz w:val="18"/>
                <w:szCs w:val="18"/>
              </w:rPr>
            </w:pPr>
            <w:r>
              <w:rPr>
                <w:rFonts w:hint="eastAsia" w:ascii="宋体" w:hAnsi="宋体" w:eastAsia="宋体" w:cs="宋体"/>
                <w:color w:val="000000"/>
                <w:sz w:val="18"/>
                <w:szCs w:val="18"/>
              </w:rPr>
              <w:t>同比增减</w:t>
            </w:r>
          </w:p>
        </w:tc>
      </w:tr>
      <w:tr w14:paraId="19F2BE29">
        <w:trPr>
          <w:trHeight w:val="353" w:hRule="atLeast"/>
          <w:jc w:val="center"/>
        </w:trPr>
        <w:tc>
          <w:tcPr>
            <w:tcW w:w="770" w:type="pct"/>
            <w:vMerge w:val="restart"/>
            <w:vAlign w:val="center"/>
          </w:tcPr>
          <w:p w14:paraId="7E7CE925">
            <w:pPr>
              <w:jc w:val="center"/>
              <w:rPr>
                <w:rFonts w:ascii="宋体" w:hAnsi="宋体" w:eastAsia="宋体" w:cs="宋体"/>
                <w:color w:val="000000"/>
                <w:sz w:val="18"/>
                <w:szCs w:val="18"/>
              </w:rPr>
            </w:pPr>
            <w:r>
              <w:rPr>
                <w:rFonts w:hint="eastAsia" w:ascii="宋体" w:hAnsi="宋体" w:eastAsia="宋体" w:cs="宋体"/>
                <w:color w:val="000000"/>
                <w:sz w:val="18"/>
                <w:szCs w:val="18"/>
              </w:rPr>
              <w:t>啤酒行业</w:t>
            </w:r>
          </w:p>
        </w:tc>
        <w:tc>
          <w:tcPr>
            <w:tcW w:w="803" w:type="pct"/>
            <w:shd w:val="clear" w:color="auto" w:fill="D3D3D3"/>
            <w:vAlign w:val="center"/>
          </w:tcPr>
          <w:p w14:paraId="19092422">
            <w:pPr>
              <w:jc w:val="center"/>
              <w:rPr>
                <w:rFonts w:ascii="宋体" w:hAnsi="宋体" w:eastAsia="宋体" w:cs="宋体"/>
                <w:color w:val="000000"/>
                <w:sz w:val="18"/>
                <w:szCs w:val="18"/>
              </w:rPr>
            </w:pPr>
            <w:r>
              <w:rPr>
                <w:rFonts w:hint="eastAsia" w:ascii="宋体" w:hAnsi="宋体" w:eastAsia="宋体" w:cs="宋体"/>
                <w:color w:val="000000"/>
                <w:sz w:val="18"/>
                <w:szCs w:val="18"/>
              </w:rPr>
              <w:t>销售量</w:t>
            </w:r>
          </w:p>
        </w:tc>
        <w:tc>
          <w:tcPr>
            <w:tcW w:w="803" w:type="pct"/>
            <w:vAlign w:val="center"/>
          </w:tcPr>
          <w:p w14:paraId="0EBBFCC1">
            <w:pPr>
              <w:jc w:val="center"/>
              <w:rPr>
                <w:rFonts w:ascii="宋体" w:hAnsi="宋体" w:eastAsia="宋体" w:cs="宋体"/>
                <w:color w:val="000000"/>
                <w:sz w:val="18"/>
                <w:szCs w:val="18"/>
              </w:rPr>
            </w:pPr>
            <w:r>
              <w:rPr>
                <w:rFonts w:hint="eastAsia" w:ascii="宋体" w:hAnsi="宋体" w:eastAsia="宋体" w:cs="宋体"/>
                <w:color w:val="000000"/>
                <w:sz w:val="18"/>
                <w:szCs w:val="18"/>
              </w:rPr>
              <w:t>吨</w:t>
            </w:r>
          </w:p>
        </w:tc>
        <w:tc>
          <w:tcPr>
            <w:tcW w:w="881" w:type="pct"/>
            <w:vAlign w:val="center"/>
          </w:tcPr>
          <w:p w14:paraId="5CDC27C4">
            <w:pPr>
              <w:jc w:val="right"/>
              <w:rPr>
                <w:rFonts w:ascii="宋体" w:hAnsi="宋体" w:eastAsia="宋体" w:cs="宋体"/>
                <w:color w:val="000000"/>
                <w:sz w:val="18"/>
                <w:szCs w:val="18"/>
              </w:rPr>
            </w:pPr>
            <w:r>
              <w:rPr>
                <w:rFonts w:hint="eastAsia" w:ascii="宋体" w:hAnsi="宋体" w:eastAsia="宋体" w:cs="宋体"/>
                <w:color w:val="000000"/>
                <w:sz w:val="18"/>
                <w:szCs w:val="18"/>
              </w:rPr>
              <w:t>33,778.07</w:t>
            </w:r>
          </w:p>
        </w:tc>
        <w:tc>
          <w:tcPr>
            <w:tcW w:w="881" w:type="pct"/>
            <w:vAlign w:val="center"/>
          </w:tcPr>
          <w:p w14:paraId="04EE7820">
            <w:pPr>
              <w:jc w:val="right"/>
              <w:rPr>
                <w:rFonts w:ascii="宋体" w:hAnsi="宋体" w:eastAsia="宋体" w:cs="宋体"/>
                <w:color w:val="000000"/>
                <w:sz w:val="18"/>
                <w:szCs w:val="18"/>
              </w:rPr>
            </w:pPr>
            <w:r>
              <w:rPr>
                <w:rFonts w:hint="eastAsia" w:ascii="宋体" w:hAnsi="宋体" w:eastAsia="宋体" w:cs="宋体"/>
                <w:color w:val="000000"/>
                <w:sz w:val="18"/>
                <w:szCs w:val="18"/>
              </w:rPr>
              <w:t>8,735.77</w:t>
            </w:r>
          </w:p>
        </w:tc>
        <w:tc>
          <w:tcPr>
            <w:tcW w:w="859" w:type="pct"/>
            <w:vAlign w:val="center"/>
          </w:tcPr>
          <w:p w14:paraId="4B832902">
            <w:pPr>
              <w:jc w:val="right"/>
              <w:rPr>
                <w:rFonts w:ascii="宋体" w:hAnsi="宋体" w:eastAsia="宋体" w:cs="宋体"/>
                <w:color w:val="000000"/>
                <w:sz w:val="18"/>
                <w:szCs w:val="18"/>
              </w:rPr>
            </w:pPr>
            <w:r>
              <w:rPr>
                <w:rFonts w:hint="eastAsia" w:ascii="宋体" w:hAnsi="宋体" w:eastAsia="宋体" w:cs="宋体"/>
                <w:color w:val="000000"/>
                <w:sz w:val="18"/>
                <w:szCs w:val="18"/>
              </w:rPr>
              <w:t>17.55%</w:t>
            </w:r>
          </w:p>
        </w:tc>
      </w:tr>
      <w:tr w14:paraId="362AB47B">
        <w:trPr>
          <w:trHeight w:val="297" w:hRule="atLeast"/>
          <w:jc w:val="center"/>
        </w:trPr>
        <w:tc>
          <w:tcPr>
            <w:tcW w:w="770" w:type="pct"/>
            <w:vMerge w:val="continue"/>
            <w:vAlign w:val="center"/>
          </w:tcPr>
          <w:p w14:paraId="1075DF93">
            <w:pPr>
              <w:rPr>
                <w:rFonts w:ascii="宋体" w:hAnsi="宋体" w:eastAsia="宋体" w:cs="宋体"/>
                <w:color w:val="000000"/>
                <w:sz w:val="18"/>
                <w:szCs w:val="18"/>
              </w:rPr>
            </w:pPr>
          </w:p>
        </w:tc>
        <w:tc>
          <w:tcPr>
            <w:tcW w:w="803" w:type="pct"/>
            <w:shd w:val="clear" w:color="auto" w:fill="D3D3D3"/>
            <w:vAlign w:val="center"/>
          </w:tcPr>
          <w:p w14:paraId="150EC91F">
            <w:pPr>
              <w:jc w:val="center"/>
              <w:rPr>
                <w:rFonts w:ascii="宋体" w:hAnsi="宋体" w:eastAsia="宋体" w:cs="宋体"/>
                <w:color w:val="000000"/>
                <w:sz w:val="18"/>
                <w:szCs w:val="18"/>
              </w:rPr>
            </w:pPr>
            <w:r>
              <w:rPr>
                <w:rFonts w:hint="eastAsia" w:ascii="宋体" w:hAnsi="宋体" w:eastAsia="宋体" w:cs="宋体"/>
                <w:color w:val="000000"/>
                <w:sz w:val="18"/>
                <w:szCs w:val="18"/>
              </w:rPr>
              <w:t>生产量</w:t>
            </w:r>
          </w:p>
        </w:tc>
        <w:tc>
          <w:tcPr>
            <w:tcW w:w="803" w:type="pct"/>
            <w:vAlign w:val="center"/>
          </w:tcPr>
          <w:p w14:paraId="73465F02">
            <w:pPr>
              <w:jc w:val="center"/>
              <w:rPr>
                <w:rFonts w:ascii="宋体" w:hAnsi="宋体" w:eastAsia="宋体" w:cs="宋体"/>
                <w:color w:val="000000"/>
                <w:sz w:val="18"/>
                <w:szCs w:val="18"/>
              </w:rPr>
            </w:pPr>
            <w:r>
              <w:rPr>
                <w:rFonts w:hint="eastAsia" w:ascii="宋体" w:hAnsi="宋体" w:eastAsia="宋体" w:cs="宋体"/>
                <w:color w:val="000000"/>
                <w:sz w:val="18"/>
                <w:szCs w:val="18"/>
              </w:rPr>
              <w:t>吨</w:t>
            </w:r>
          </w:p>
        </w:tc>
        <w:tc>
          <w:tcPr>
            <w:tcW w:w="881" w:type="pct"/>
            <w:vAlign w:val="center"/>
          </w:tcPr>
          <w:p w14:paraId="6DB7CB22">
            <w:pPr>
              <w:jc w:val="right"/>
              <w:rPr>
                <w:rFonts w:ascii="宋体" w:hAnsi="宋体" w:eastAsia="宋体" w:cs="宋体"/>
                <w:color w:val="000000"/>
                <w:sz w:val="18"/>
                <w:szCs w:val="18"/>
              </w:rPr>
            </w:pPr>
            <w:r>
              <w:rPr>
                <w:rFonts w:hint="eastAsia" w:ascii="宋体" w:hAnsi="宋体" w:eastAsia="宋体" w:cs="宋体"/>
                <w:color w:val="000000"/>
                <w:sz w:val="18"/>
                <w:szCs w:val="18"/>
              </w:rPr>
              <w:t>33,720.59</w:t>
            </w:r>
          </w:p>
        </w:tc>
        <w:tc>
          <w:tcPr>
            <w:tcW w:w="881" w:type="pct"/>
            <w:vAlign w:val="center"/>
          </w:tcPr>
          <w:p w14:paraId="3EF8B77C">
            <w:pPr>
              <w:jc w:val="right"/>
              <w:rPr>
                <w:rFonts w:ascii="宋体" w:hAnsi="宋体" w:eastAsia="宋体" w:cs="宋体"/>
                <w:color w:val="000000"/>
                <w:sz w:val="18"/>
                <w:szCs w:val="18"/>
              </w:rPr>
            </w:pPr>
            <w:r>
              <w:rPr>
                <w:rFonts w:hint="eastAsia" w:ascii="宋体" w:hAnsi="宋体" w:eastAsia="宋体" w:cs="宋体"/>
                <w:color w:val="000000"/>
                <w:sz w:val="18"/>
                <w:szCs w:val="18"/>
              </w:rPr>
              <w:t>29,010.36</w:t>
            </w:r>
          </w:p>
        </w:tc>
        <w:tc>
          <w:tcPr>
            <w:tcW w:w="859" w:type="pct"/>
            <w:vAlign w:val="center"/>
          </w:tcPr>
          <w:p w14:paraId="66A3EBAF">
            <w:pPr>
              <w:jc w:val="right"/>
              <w:rPr>
                <w:rFonts w:ascii="宋体" w:hAnsi="宋体" w:eastAsia="宋体" w:cs="宋体"/>
                <w:color w:val="000000"/>
                <w:sz w:val="18"/>
                <w:szCs w:val="18"/>
              </w:rPr>
            </w:pPr>
            <w:r>
              <w:rPr>
                <w:rFonts w:hint="eastAsia" w:ascii="宋体" w:hAnsi="宋体" w:eastAsia="宋体" w:cs="宋体"/>
                <w:color w:val="000000"/>
                <w:sz w:val="18"/>
                <w:szCs w:val="18"/>
              </w:rPr>
              <w:t>16.24%</w:t>
            </w:r>
          </w:p>
        </w:tc>
      </w:tr>
      <w:tr w14:paraId="6ABAB8D3">
        <w:trPr>
          <w:trHeight w:val="345" w:hRule="atLeast"/>
          <w:jc w:val="center"/>
        </w:trPr>
        <w:tc>
          <w:tcPr>
            <w:tcW w:w="770" w:type="pct"/>
            <w:vMerge w:val="continue"/>
            <w:vAlign w:val="center"/>
          </w:tcPr>
          <w:p w14:paraId="1F5AA9E7">
            <w:pPr>
              <w:rPr>
                <w:rFonts w:ascii="宋体" w:hAnsi="宋体" w:eastAsia="宋体" w:cs="宋体"/>
                <w:color w:val="000000"/>
                <w:sz w:val="18"/>
                <w:szCs w:val="18"/>
              </w:rPr>
            </w:pPr>
          </w:p>
        </w:tc>
        <w:tc>
          <w:tcPr>
            <w:tcW w:w="803" w:type="pct"/>
            <w:shd w:val="clear" w:color="auto" w:fill="D3D3D3"/>
            <w:vAlign w:val="center"/>
          </w:tcPr>
          <w:p w14:paraId="7434C6E0">
            <w:pPr>
              <w:jc w:val="center"/>
              <w:rPr>
                <w:rFonts w:ascii="宋体" w:hAnsi="宋体" w:eastAsia="宋体" w:cs="宋体"/>
                <w:color w:val="000000"/>
                <w:sz w:val="18"/>
                <w:szCs w:val="18"/>
              </w:rPr>
            </w:pPr>
            <w:r>
              <w:rPr>
                <w:rFonts w:hint="eastAsia" w:ascii="宋体" w:hAnsi="宋体" w:eastAsia="宋体" w:cs="宋体"/>
                <w:color w:val="000000"/>
                <w:sz w:val="18"/>
                <w:szCs w:val="18"/>
              </w:rPr>
              <w:t>库存量</w:t>
            </w:r>
          </w:p>
        </w:tc>
        <w:tc>
          <w:tcPr>
            <w:tcW w:w="803" w:type="pct"/>
            <w:vAlign w:val="center"/>
          </w:tcPr>
          <w:p w14:paraId="27BE75EA">
            <w:pPr>
              <w:jc w:val="center"/>
              <w:rPr>
                <w:rFonts w:ascii="宋体" w:hAnsi="宋体" w:eastAsia="宋体" w:cs="宋体"/>
                <w:color w:val="000000"/>
                <w:sz w:val="18"/>
                <w:szCs w:val="18"/>
              </w:rPr>
            </w:pPr>
            <w:r>
              <w:rPr>
                <w:rFonts w:hint="eastAsia" w:ascii="宋体" w:hAnsi="宋体" w:eastAsia="宋体" w:cs="宋体"/>
                <w:color w:val="000000"/>
                <w:sz w:val="18"/>
                <w:szCs w:val="18"/>
              </w:rPr>
              <w:t>吨</w:t>
            </w:r>
          </w:p>
        </w:tc>
        <w:tc>
          <w:tcPr>
            <w:tcW w:w="881" w:type="pct"/>
            <w:vAlign w:val="center"/>
          </w:tcPr>
          <w:p w14:paraId="50BE5345">
            <w:pPr>
              <w:jc w:val="right"/>
              <w:rPr>
                <w:rFonts w:ascii="宋体" w:hAnsi="宋体" w:eastAsia="宋体" w:cs="宋体"/>
                <w:color w:val="000000"/>
                <w:sz w:val="18"/>
                <w:szCs w:val="18"/>
              </w:rPr>
            </w:pPr>
            <w:r>
              <w:rPr>
                <w:rFonts w:hint="eastAsia" w:ascii="宋体" w:hAnsi="宋体" w:eastAsia="宋体" w:cs="宋体"/>
                <w:color w:val="000000"/>
                <w:sz w:val="18"/>
                <w:szCs w:val="18"/>
              </w:rPr>
              <w:t>573.83　</w:t>
            </w:r>
          </w:p>
        </w:tc>
        <w:tc>
          <w:tcPr>
            <w:tcW w:w="881" w:type="pct"/>
            <w:vAlign w:val="center"/>
          </w:tcPr>
          <w:p w14:paraId="308D5FED">
            <w:pPr>
              <w:jc w:val="right"/>
              <w:rPr>
                <w:rFonts w:ascii="宋体" w:hAnsi="宋体" w:eastAsia="宋体" w:cs="宋体"/>
                <w:color w:val="000000"/>
                <w:sz w:val="18"/>
                <w:szCs w:val="18"/>
              </w:rPr>
            </w:pPr>
            <w:r>
              <w:rPr>
                <w:rFonts w:hint="eastAsia" w:ascii="宋体" w:hAnsi="宋体" w:eastAsia="宋体" w:cs="宋体"/>
                <w:color w:val="000000"/>
                <w:sz w:val="18"/>
                <w:szCs w:val="18"/>
              </w:rPr>
              <w:t>543.85　</w:t>
            </w:r>
          </w:p>
        </w:tc>
        <w:tc>
          <w:tcPr>
            <w:tcW w:w="859" w:type="pct"/>
            <w:vAlign w:val="center"/>
          </w:tcPr>
          <w:p w14:paraId="3AA5C31E">
            <w:pPr>
              <w:jc w:val="right"/>
              <w:rPr>
                <w:rFonts w:ascii="宋体" w:hAnsi="宋体" w:eastAsia="宋体" w:cs="宋体"/>
                <w:color w:val="000000"/>
                <w:sz w:val="18"/>
                <w:szCs w:val="18"/>
              </w:rPr>
            </w:pPr>
            <w:r>
              <w:rPr>
                <w:rFonts w:hint="eastAsia" w:ascii="宋体" w:hAnsi="宋体" w:eastAsia="宋体" w:cs="宋体"/>
                <w:color w:val="000000"/>
                <w:sz w:val="18"/>
                <w:szCs w:val="18"/>
              </w:rPr>
              <w:t>5.51%　</w:t>
            </w:r>
          </w:p>
        </w:tc>
      </w:tr>
    </w:tbl>
    <w:p w14:paraId="7F3EB7E0">
      <w:pPr>
        <w:pStyle w:val="2"/>
        <w:spacing w:before="300" w:after="300" w:line="320" w:lineRule="exact"/>
        <w:rPr>
          <w:rFonts w:ascii="宋体" w:hAnsi="宋体" w:eastAsia="宋体" w:cs="宋体"/>
          <w:b/>
          <w:bCs/>
          <w:sz w:val="24"/>
          <w:szCs w:val="24"/>
        </w:rPr>
      </w:pPr>
      <w:bookmarkStart w:id="15" w:name="_Toc988904"/>
      <w:r>
        <w:rPr>
          <w:rFonts w:ascii="宋体" w:hAnsi="宋体" w:eastAsia="宋体" w:cs="宋体"/>
          <w:b/>
          <w:bCs/>
          <w:sz w:val="24"/>
          <w:szCs w:val="24"/>
        </w:rPr>
        <w:t>二、核心竞争力分析</w:t>
      </w:r>
      <w:bookmarkEnd w:id="15"/>
    </w:p>
    <w:p w14:paraId="2421028A">
      <w:pPr>
        <w:pStyle w:val="9"/>
        <w:spacing w:before="0" w:beforeAutospacing="0" w:after="0" w:afterAutospacing="0" w:line="280" w:lineRule="atLeast"/>
        <w:ind w:firstLine="360"/>
        <w:rPr>
          <w:rFonts w:ascii="Times New Roman" w:hAnsi="Times New Roman" w:cs="Times New Roman"/>
        </w:rPr>
      </w:pPr>
      <w:r>
        <w:rPr>
          <w:rFonts w:hint="eastAsia" w:cs="Times New Roman"/>
          <w:sz w:val="18"/>
          <w:szCs w:val="18"/>
        </w:rPr>
        <w:t>公司拥有的“拉萨啤酒”系西藏本土品牌，在西藏自治区具有较大的品牌影响力和知名度，经过多年的发展形成一定的品牌优势，深受当地消费者的喜爱。</w:t>
      </w:r>
    </w:p>
    <w:p w14:paraId="216B2CD8">
      <w:pPr>
        <w:pStyle w:val="9"/>
        <w:spacing w:before="0" w:beforeAutospacing="0" w:after="0" w:afterAutospacing="0" w:line="280" w:lineRule="atLeast"/>
        <w:ind w:firstLine="360"/>
        <w:rPr>
          <w:rFonts w:ascii="Times New Roman" w:hAnsi="Times New Roman" w:cs="Times New Roman"/>
        </w:rPr>
      </w:pPr>
      <w:r>
        <w:rPr>
          <w:rFonts w:hint="eastAsia" w:cs="Times New Roman"/>
          <w:sz w:val="18"/>
          <w:szCs w:val="18"/>
        </w:rPr>
        <w:t>公司是西藏第一家现代化啤酒生产企业，作为西藏地区历史最悠久的啤酒生产企业，拥有坐落在世界上海拔最高的啤酒厂，公司啤酒产品采用当地无污染的优质泉水酿造而成，其品质优良，工艺独特，形成了长期的口感美誉度。</w:t>
      </w:r>
    </w:p>
    <w:p w14:paraId="27A4239A">
      <w:pPr>
        <w:pStyle w:val="9"/>
        <w:spacing w:before="0" w:beforeAutospacing="0" w:after="0" w:afterAutospacing="0"/>
        <w:rPr>
          <w:sz w:val="18"/>
          <w:szCs w:val="18"/>
        </w:rPr>
      </w:pPr>
      <w:r>
        <w:rPr>
          <w:rFonts w:hint="eastAsia"/>
          <w:sz w:val="18"/>
          <w:szCs w:val="18"/>
        </w:rPr>
        <w:t>  公司利用30多年的的酿造技术，进行市场调研及新品研究，公司现有的啤酒生产线采用国外高端进口设备，灌装封口一体机拥有全国首台高速灌装机专利，近几年，公司在立足于西藏区域较为成熟的销售体系基础上，建立并不断完善覆盖西藏区域外的经销网络，强化市场推广及品牌营销，巩固提高现有市场的优势地位和新市场的占有率。</w:t>
      </w:r>
    </w:p>
    <w:p w14:paraId="5EF68936">
      <w:pPr>
        <w:pStyle w:val="2"/>
        <w:spacing w:before="300" w:after="300" w:line="320" w:lineRule="exact"/>
        <w:rPr>
          <w:rFonts w:ascii="宋体" w:hAnsi="宋体" w:eastAsia="宋体" w:cs="宋体"/>
          <w:b/>
          <w:bCs/>
          <w:sz w:val="24"/>
          <w:szCs w:val="24"/>
        </w:rPr>
      </w:pPr>
      <w:bookmarkStart w:id="16" w:name="_Toc988905"/>
      <w:r>
        <w:rPr>
          <w:rFonts w:ascii="宋体" w:hAnsi="宋体" w:eastAsia="宋体" w:cs="宋体"/>
          <w:b/>
          <w:bCs/>
          <w:sz w:val="24"/>
          <w:szCs w:val="24"/>
        </w:rPr>
        <w:t>三、主营业务分析</w:t>
      </w:r>
      <w:bookmarkEnd w:id="16"/>
    </w:p>
    <w:p w14:paraId="32FAB449">
      <w:pPr>
        <w:spacing w:before="100" w:after="100" w:line="240" w:lineRule="exact"/>
        <w:rPr>
          <w:rFonts w:ascii="宋体" w:hAnsi="宋体" w:eastAsia="宋体" w:cs="宋体"/>
          <w:sz w:val="18"/>
          <w:szCs w:val="18"/>
        </w:rPr>
      </w:pPr>
      <w:r>
        <w:rPr>
          <w:rFonts w:ascii="宋体" w:hAnsi="宋体" w:eastAsia="宋体" w:cs="宋体"/>
          <w:sz w:val="18"/>
          <w:szCs w:val="18"/>
        </w:rPr>
        <w:t>概述</w:t>
      </w:r>
    </w:p>
    <w:p w14:paraId="56E31BED">
      <w:pPr>
        <w:spacing w:before="100" w:after="20" w:line="240" w:lineRule="exact"/>
        <w:rPr>
          <w:rFonts w:ascii="宋体" w:hAnsi="宋体" w:eastAsia="宋体" w:cs="宋体"/>
          <w:sz w:val="18"/>
          <w:szCs w:val="18"/>
        </w:rPr>
      </w:pPr>
      <w:r>
        <w:rPr>
          <w:rFonts w:ascii="宋体" w:hAnsi="宋体" w:eastAsia="宋体" w:cs="宋体"/>
          <w:sz w:val="18"/>
          <w:szCs w:val="18"/>
        </w:rPr>
        <w:t>参见“一、报告期内公司从事的主要业务”相关内容。</w:t>
      </w:r>
    </w:p>
    <w:p w14:paraId="61B330E8">
      <w:pPr>
        <w:spacing w:before="100" w:after="20" w:line="240" w:lineRule="exact"/>
        <w:rPr>
          <w:rFonts w:ascii="宋体" w:hAnsi="宋体" w:eastAsia="宋体" w:cs="宋体"/>
          <w:sz w:val="18"/>
          <w:szCs w:val="18"/>
        </w:rPr>
      </w:pPr>
      <w:r>
        <w:rPr>
          <w:rFonts w:ascii="宋体" w:hAnsi="宋体" w:eastAsia="宋体" w:cs="宋体"/>
          <w:sz w:val="18"/>
          <w:szCs w:val="18"/>
        </w:rPr>
        <w:t>主要财务数据同比变动情况</w:t>
      </w:r>
    </w:p>
    <w:p w14:paraId="32681E02">
      <w:pPr>
        <w:spacing w:before="120" w:after="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705"/>
        <w:gridCol w:w="1705"/>
        <w:gridCol w:w="1114"/>
        <w:gridCol w:w="3188"/>
      </w:tblGrid>
      <w:tr w14:paraId="1AC299E4">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5F53F184">
            <w:pPr>
              <w:rPr>
                <w:rFonts w:ascii="宋体" w:hAnsi="宋体" w:eastAsia="宋体" w:cs="宋体"/>
                <w:sz w:val="18"/>
                <w:szCs w:val="18"/>
              </w:rPr>
            </w:pPr>
          </w:p>
        </w:tc>
        <w:tc>
          <w:tcPr>
            <w:tcW w:w="1705" w:type="dxa"/>
            <w:tcBorders>
              <w:top w:val="single" w:color="auto" w:sz="2" w:space="0"/>
              <w:left w:val="single" w:color="auto" w:sz="2" w:space="0"/>
              <w:bottom w:val="single" w:color="auto" w:sz="2" w:space="0"/>
              <w:right w:val="single" w:color="auto" w:sz="2" w:space="0"/>
            </w:tcBorders>
            <w:shd w:val="clear" w:color="auto" w:fill="D3D3D3"/>
            <w:vAlign w:val="center"/>
          </w:tcPr>
          <w:p w14:paraId="32653709">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w:t>
            </w:r>
          </w:p>
        </w:tc>
        <w:tc>
          <w:tcPr>
            <w:tcW w:w="1705" w:type="dxa"/>
            <w:tcBorders>
              <w:top w:val="single" w:color="auto" w:sz="2" w:space="0"/>
              <w:left w:val="single" w:color="auto" w:sz="2" w:space="0"/>
              <w:bottom w:val="single" w:color="auto" w:sz="2" w:space="0"/>
              <w:right w:val="single" w:color="auto" w:sz="2" w:space="0"/>
            </w:tcBorders>
            <w:shd w:val="clear" w:color="auto" w:fill="D3D3D3"/>
            <w:vAlign w:val="center"/>
          </w:tcPr>
          <w:p w14:paraId="6FFD2531">
            <w:pPr>
              <w:spacing w:before="40" w:after="40" w:line="240" w:lineRule="exact"/>
              <w:jc w:val="center"/>
              <w:rPr>
                <w:rFonts w:ascii="宋体" w:hAnsi="宋体" w:eastAsia="宋体" w:cs="宋体"/>
                <w:sz w:val="18"/>
                <w:szCs w:val="18"/>
              </w:rPr>
            </w:pPr>
            <w:r>
              <w:rPr>
                <w:rFonts w:ascii="宋体" w:hAnsi="宋体" w:eastAsia="宋体" w:cs="宋体"/>
                <w:sz w:val="18"/>
                <w:szCs w:val="18"/>
              </w:rPr>
              <w:t>上年同期</w:t>
            </w:r>
          </w:p>
        </w:tc>
        <w:tc>
          <w:tcPr>
            <w:tcW w:w="1114" w:type="dxa"/>
            <w:tcBorders>
              <w:top w:val="single" w:color="auto" w:sz="2" w:space="0"/>
              <w:left w:val="single" w:color="auto" w:sz="2" w:space="0"/>
              <w:bottom w:val="single" w:color="auto" w:sz="2" w:space="0"/>
              <w:right w:val="single" w:color="auto" w:sz="2" w:space="0"/>
            </w:tcBorders>
            <w:shd w:val="clear" w:color="auto" w:fill="D3D3D3"/>
            <w:vAlign w:val="center"/>
          </w:tcPr>
          <w:p w14:paraId="5D88A93B">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c>
          <w:tcPr>
            <w:tcW w:w="3188" w:type="dxa"/>
            <w:tcBorders>
              <w:top w:val="single" w:color="auto" w:sz="2" w:space="0"/>
              <w:left w:val="single" w:color="auto" w:sz="2" w:space="0"/>
              <w:bottom w:val="single" w:color="auto" w:sz="2" w:space="0"/>
              <w:right w:val="single" w:color="auto" w:sz="2" w:space="0"/>
            </w:tcBorders>
            <w:shd w:val="clear" w:color="auto" w:fill="D3D3D3"/>
            <w:vAlign w:val="center"/>
          </w:tcPr>
          <w:p w14:paraId="5ED133F1">
            <w:pPr>
              <w:spacing w:before="40" w:after="40" w:line="240" w:lineRule="exact"/>
              <w:jc w:val="center"/>
              <w:rPr>
                <w:rFonts w:ascii="宋体" w:hAnsi="宋体" w:eastAsia="宋体" w:cs="宋体"/>
                <w:sz w:val="18"/>
                <w:szCs w:val="18"/>
              </w:rPr>
            </w:pPr>
            <w:r>
              <w:rPr>
                <w:rFonts w:ascii="宋体" w:hAnsi="宋体" w:eastAsia="宋体" w:cs="宋体"/>
                <w:sz w:val="18"/>
                <w:szCs w:val="18"/>
              </w:rPr>
              <w:t>变动原因</w:t>
            </w:r>
          </w:p>
        </w:tc>
      </w:tr>
      <w:tr w14:paraId="1C3618B3">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3696848A">
            <w:pPr>
              <w:spacing w:before="40" w:after="40" w:line="240" w:lineRule="exact"/>
              <w:rPr>
                <w:rFonts w:ascii="宋体" w:hAnsi="宋体" w:eastAsia="宋体" w:cs="宋体"/>
                <w:sz w:val="18"/>
                <w:szCs w:val="18"/>
              </w:rPr>
            </w:pPr>
            <w:r>
              <w:rPr>
                <w:rFonts w:ascii="宋体" w:hAnsi="宋体" w:eastAsia="宋体" w:cs="宋体"/>
                <w:sz w:val="18"/>
                <w:szCs w:val="18"/>
              </w:rPr>
              <w:t>营业收入</w:t>
            </w:r>
          </w:p>
        </w:tc>
        <w:tc>
          <w:tcPr>
            <w:tcW w:w="1705" w:type="dxa"/>
            <w:tcBorders>
              <w:top w:val="single" w:color="auto" w:sz="2" w:space="0"/>
              <w:left w:val="single" w:color="auto" w:sz="2" w:space="0"/>
              <w:bottom w:val="single" w:color="auto" w:sz="2" w:space="0"/>
              <w:right w:val="single" w:color="auto" w:sz="2" w:space="0"/>
            </w:tcBorders>
            <w:vAlign w:val="center"/>
          </w:tcPr>
          <w:p w14:paraId="47676B43">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705" w:type="dxa"/>
            <w:tcBorders>
              <w:top w:val="single" w:color="auto" w:sz="2" w:space="0"/>
              <w:left w:val="single" w:color="auto" w:sz="2" w:space="0"/>
              <w:bottom w:val="single" w:color="auto" w:sz="2" w:space="0"/>
              <w:right w:val="single" w:color="auto" w:sz="2" w:space="0"/>
            </w:tcBorders>
            <w:vAlign w:val="center"/>
          </w:tcPr>
          <w:p w14:paraId="658ACDF7">
            <w:pPr>
              <w:spacing w:line="240" w:lineRule="exact"/>
              <w:jc w:val="right"/>
              <w:rPr>
                <w:rFonts w:ascii="宋体" w:hAnsi="宋体" w:eastAsia="宋体" w:cs="宋体"/>
                <w:sz w:val="18"/>
                <w:szCs w:val="18"/>
              </w:rPr>
            </w:pPr>
            <w:r>
              <w:rPr>
                <w:rFonts w:ascii="宋体" w:hAnsi="宋体" w:eastAsia="宋体" w:cs="宋体"/>
                <w:sz w:val="18"/>
                <w:szCs w:val="18"/>
              </w:rPr>
              <w:t>147,414,128.78</w:t>
            </w:r>
          </w:p>
        </w:tc>
        <w:tc>
          <w:tcPr>
            <w:tcW w:w="1114" w:type="dxa"/>
            <w:tcBorders>
              <w:top w:val="single" w:color="auto" w:sz="2" w:space="0"/>
              <w:left w:val="single" w:color="auto" w:sz="2" w:space="0"/>
              <w:bottom w:val="single" w:color="auto" w:sz="2" w:space="0"/>
              <w:right w:val="single" w:color="auto" w:sz="2" w:space="0"/>
            </w:tcBorders>
            <w:vAlign w:val="center"/>
          </w:tcPr>
          <w:p w14:paraId="190C7AC3">
            <w:pPr>
              <w:spacing w:line="240" w:lineRule="exact"/>
              <w:jc w:val="right"/>
              <w:rPr>
                <w:rFonts w:ascii="宋体" w:hAnsi="宋体" w:eastAsia="宋体" w:cs="宋体"/>
                <w:sz w:val="18"/>
                <w:szCs w:val="18"/>
              </w:rPr>
            </w:pPr>
            <w:r>
              <w:rPr>
                <w:rFonts w:ascii="宋体" w:hAnsi="宋体" w:eastAsia="宋体" w:cs="宋体"/>
                <w:sz w:val="18"/>
                <w:szCs w:val="18"/>
              </w:rPr>
              <w:t>30.99%</w:t>
            </w:r>
          </w:p>
        </w:tc>
        <w:tc>
          <w:tcPr>
            <w:tcW w:w="3188" w:type="dxa"/>
            <w:tcBorders>
              <w:top w:val="single" w:color="auto" w:sz="2" w:space="0"/>
              <w:left w:val="single" w:color="auto" w:sz="2" w:space="0"/>
              <w:bottom w:val="single" w:color="auto" w:sz="2" w:space="0"/>
              <w:right w:val="single" w:color="auto" w:sz="2" w:space="0"/>
            </w:tcBorders>
            <w:vAlign w:val="center"/>
          </w:tcPr>
          <w:p w14:paraId="0ECE5240">
            <w:pPr>
              <w:spacing w:line="240" w:lineRule="exact"/>
              <w:rPr>
                <w:rFonts w:ascii="宋体" w:hAnsi="宋体" w:eastAsia="宋体" w:cs="宋体"/>
                <w:sz w:val="18"/>
                <w:szCs w:val="18"/>
              </w:rPr>
            </w:pPr>
            <w:r>
              <w:rPr>
                <w:rFonts w:hint="eastAsia" w:ascii="宋体" w:hAnsi="宋体" w:eastAsia="宋体" w:cs="宋体"/>
                <w:color w:val="333333"/>
                <w:sz w:val="18"/>
                <w:szCs w:val="18"/>
                <w:shd w:val="clear" w:color="auto" w:fill="FFFFFF"/>
              </w:rPr>
              <w:t>主要系报告期公司深耕渠道加大市场投入促进销售所致</w:t>
            </w:r>
          </w:p>
        </w:tc>
      </w:tr>
      <w:tr w14:paraId="55DFF698">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625E4E63">
            <w:pPr>
              <w:spacing w:before="40" w:after="40" w:line="240" w:lineRule="exact"/>
              <w:rPr>
                <w:rFonts w:ascii="宋体" w:hAnsi="宋体" w:eastAsia="宋体" w:cs="宋体"/>
                <w:sz w:val="18"/>
                <w:szCs w:val="18"/>
              </w:rPr>
            </w:pPr>
            <w:r>
              <w:rPr>
                <w:rFonts w:ascii="宋体" w:hAnsi="宋体" w:eastAsia="宋体" w:cs="宋体"/>
                <w:sz w:val="18"/>
                <w:szCs w:val="18"/>
              </w:rPr>
              <w:t>营业成本</w:t>
            </w:r>
          </w:p>
        </w:tc>
        <w:tc>
          <w:tcPr>
            <w:tcW w:w="1705" w:type="dxa"/>
            <w:tcBorders>
              <w:top w:val="single" w:color="auto" w:sz="2" w:space="0"/>
              <w:left w:val="single" w:color="auto" w:sz="2" w:space="0"/>
              <w:bottom w:val="single" w:color="auto" w:sz="2" w:space="0"/>
              <w:right w:val="single" w:color="auto" w:sz="2" w:space="0"/>
            </w:tcBorders>
            <w:vAlign w:val="center"/>
          </w:tcPr>
          <w:p w14:paraId="56F2111E">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705" w:type="dxa"/>
            <w:tcBorders>
              <w:top w:val="single" w:color="auto" w:sz="2" w:space="0"/>
              <w:left w:val="single" w:color="auto" w:sz="2" w:space="0"/>
              <w:bottom w:val="single" w:color="auto" w:sz="2" w:space="0"/>
              <w:right w:val="single" w:color="auto" w:sz="2" w:space="0"/>
            </w:tcBorders>
            <w:vAlign w:val="center"/>
          </w:tcPr>
          <w:p w14:paraId="1F878DFB">
            <w:pPr>
              <w:spacing w:line="240" w:lineRule="exact"/>
              <w:jc w:val="right"/>
              <w:rPr>
                <w:rFonts w:ascii="宋体" w:hAnsi="宋体" w:eastAsia="宋体" w:cs="宋体"/>
                <w:sz w:val="18"/>
                <w:szCs w:val="18"/>
              </w:rPr>
            </w:pPr>
            <w:r>
              <w:rPr>
                <w:rFonts w:ascii="宋体" w:hAnsi="宋体" w:eastAsia="宋体" w:cs="宋体"/>
                <w:sz w:val="18"/>
                <w:szCs w:val="18"/>
              </w:rPr>
              <w:t>103,318,485.78</w:t>
            </w:r>
          </w:p>
        </w:tc>
        <w:tc>
          <w:tcPr>
            <w:tcW w:w="1114" w:type="dxa"/>
            <w:tcBorders>
              <w:top w:val="single" w:color="auto" w:sz="2" w:space="0"/>
              <w:left w:val="single" w:color="auto" w:sz="2" w:space="0"/>
              <w:bottom w:val="single" w:color="auto" w:sz="2" w:space="0"/>
              <w:right w:val="single" w:color="auto" w:sz="2" w:space="0"/>
            </w:tcBorders>
            <w:vAlign w:val="center"/>
          </w:tcPr>
          <w:p w14:paraId="2E5EA71C">
            <w:pPr>
              <w:spacing w:line="240" w:lineRule="exact"/>
              <w:jc w:val="right"/>
              <w:rPr>
                <w:rFonts w:ascii="宋体" w:hAnsi="宋体" w:eastAsia="宋体" w:cs="宋体"/>
                <w:sz w:val="18"/>
                <w:szCs w:val="18"/>
              </w:rPr>
            </w:pPr>
            <w:r>
              <w:rPr>
                <w:rFonts w:ascii="宋体" w:hAnsi="宋体" w:eastAsia="宋体" w:cs="宋体"/>
                <w:sz w:val="18"/>
                <w:szCs w:val="18"/>
              </w:rPr>
              <w:t>18.70%</w:t>
            </w:r>
          </w:p>
        </w:tc>
        <w:tc>
          <w:tcPr>
            <w:tcW w:w="3188" w:type="dxa"/>
            <w:tcBorders>
              <w:top w:val="single" w:color="auto" w:sz="2" w:space="0"/>
              <w:left w:val="single" w:color="auto" w:sz="2" w:space="0"/>
              <w:bottom w:val="single" w:color="auto" w:sz="2" w:space="0"/>
              <w:right w:val="single" w:color="auto" w:sz="2" w:space="0"/>
            </w:tcBorders>
            <w:vAlign w:val="center"/>
          </w:tcPr>
          <w:p w14:paraId="003D973F">
            <w:pPr>
              <w:spacing w:line="240" w:lineRule="exact"/>
              <w:rPr>
                <w:rFonts w:ascii="宋体" w:hAnsi="宋体" w:eastAsia="宋体" w:cs="宋体"/>
                <w:sz w:val="18"/>
                <w:szCs w:val="18"/>
              </w:rPr>
            </w:pPr>
          </w:p>
        </w:tc>
      </w:tr>
      <w:tr w14:paraId="0DA53D1B">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0C041398">
            <w:pPr>
              <w:spacing w:before="40" w:after="40" w:line="240" w:lineRule="exact"/>
              <w:rPr>
                <w:rFonts w:ascii="宋体" w:hAnsi="宋体" w:eastAsia="宋体" w:cs="宋体"/>
                <w:sz w:val="18"/>
                <w:szCs w:val="18"/>
              </w:rPr>
            </w:pPr>
            <w:r>
              <w:rPr>
                <w:rFonts w:ascii="宋体" w:hAnsi="宋体" w:eastAsia="宋体" w:cs="宋体"/>
                <w:sz w:val="18"/>
                <w:szCs w:val="18"/>
              </w:rPr>
              <w:t>销售费用</w:t>
            </w:r>
          </w:p>
        </w:tc>
        <w:tc>
          <w:tcPr>
            <w:tcW w:w="1705" w:type="dxa"/>
            <w:tcBorders>
              <w:top w:val="single" w:color="auto" w:sz="2" w:space="0"/>
              <w:left w:val="single" w:color="auto" w:sz="2" w:space="0"/>
              <w:bottom w:val="single" w:color="auto" w:sz="2" w:space="0"/>
              <w:right w:val="single" w:color="auto" w:sz="2" w:space="0"/>
            </w:tcBorders>
            <w:vAlign w:val="center"/>
          </w:tcPr>
          <w:p w14:paraId="13705F13">
            <w:pPr>
              <w:spacing w:line="240" w:lineRule="exact"/>
              <w:jc w:val="right"/>
              <w:rPr>
                <w:rFonts w:ascii="宋体" w:hAnsi="宋体" w:eastAsia="宋体" w:cs="宋体"/>
                <w:sz w:val="18"/>
                <w:szCs w:val="18"/>
              </w:rPr>
            </w:pPr>
            <w:r>
              <w:rPr>
                <w:rFonts w:ascii="宋体" w:hAnsi="宋体" w:eastAsia="宋体" w:cs="宋体"/>
                <w:sz w:val="18"/>
                <w:szCs w:val="18"/>
              </w:rPr>
              <w:t>5,597,947.89</w:t>
            </w:r>
          </w:p>
        </w:tc>
        <w:tc>
          <w:tcPr>
            <w:tcW w:w="1705" w:type="dxa"/>
            <w:tcBorders>
              <w:top w:val="single" w:color="auto" w:sz="2" w:space="0"/>
              <w:left w:val="single" w:color="auto" w:sz="2" w:space="0"/>
              <w:bottom w:val="single" w:color="auto" w:sz="2" w:space="0"/>
              <w:right w:val="single" w:color="auto" w:sz="2" w:space="0"/>
            </w:tcBorders>
            <w:vAlign w:val="center"/>
          </w:tcPr>
          <w:p w14:paraId="58FC1FDC">
            <w:pPr>
              <w:spacing w:line="240" w:lineRule="exact"/>
              <w:jc w:val="right"/>
              <w:rPr>
                <w:rFonts w:ascii="宋体" w:hAnsi="宋体" w:eastAsia="宋体" w:cs="宋体"/>
                <w:sz w:val="18"/>
                <w:szCs w:val="18"/>
              </w:rPr>
            </w:pPr>
            <w:r>
              <w:rPr>
                <w:rFonts w:ascii="宋体" w:hAnsi="宋体" w:eastAsia="宋体" w:cs="宋体"/>
                <w:sz w:val="18"/>
                <w:szCs w:val="18"/>
              </w:rPr>
              <w:t>4,040,559.61</w:t>
            </w:r>
          </w:p>
        </w:tc>
        <w:tc>
          <w:tcPr>
            <w:tcW w:w="1114" w:type="dxa"/>
            <w:tcBorders>
              <w:top w:val="single" w:color="auto" w:sz="2" w:space="0"/>
              <w:left w:val="single" w:color="auto" w:sz="2" w:space="0"/>
              <w:bottom w:val="single" w:color="auto" w:sz="2" w:space="0"/>
              <w:right w:val="single" w:color="auto" w:sz="2" w:space="0"/>
            </w:tcBorders>
            <w:vAlign w:val="center"/>
          </w:tcPr>
          <w:p w14:paraId="5B5F3175">
            <w:pPr>
              <w:spacing w:line="240" w:lineRule="exact"/>
              <w:jc w:val="right"/>
              <w:rPr>
                <w:rFonts w:ascii="宋体" w:hAnsi="宋体" w:eastAsia="宋体" w:cs="宋体"/>
                <w:sz w:val="18"/>
                <w:szCs w:val="18"/>
              </w:rPr>
            </w:pPr>
            <w:r>
              <w:rPr>
                <w:rFonts w:ascii="宋体" w:hAnsi="宋体" w:eastAsia="宋体" w:cs="宋体"/>
                <w:sz w:val="18"/>
                <w:szCs w:val="18"/>
              </w:rPr>
              <w:t>38.54%</w:t>
            </w:r>
          </w:p>
        </w:tc>
        <w:tc>
          <w:tcPr>
            <w:tcW w:w="3188" w:type="dxa"/>
            <w:tcBorders>
              <w:top w:val="single" w:color="auto" w:sz="2" w:space="0"/>
              <w:left w:val="single" w:color="auto" w:sz="2" w:space="0"/>
              <w:bottom w:val="single" w:color="auto" w:sz="2" w:space="0"/>
              <w:right w:val="single" w:color="auto" w:sz="2" w:space="0"/>
            </w:tcBorders>
            <w:vAlign w:val="center"/>
          </w:tcPr>
          <w:p w14:paraId="6DF93CFA">
            <w:pPr>
              <w:spacing w:line="240" w:lineRule="exact"/>
              <w:rPr>
                <w:rFonts w:ascii="宋体" w:hAnsi="宋体" w:eastAsia="宋体" w:cs="宋体"/>
                <w:sz w:val="18"/>
                <w:szCs w:val="18"/>
              </w:rPr>
            </w:pPr>
            <w:r>
              <w:rPr>
                <w:rFonts w:ascii="宋体" w:hAnsi="宋体" w:eastAsia="宋体" w:cs="宋体"/>
                <w:sz w:val="18"/>
                <w:szCs w:val="18"/>
              </w:rPr>
              <w:t>主要系报告期公司增加</w:t>
            </w:r>
            <w:r>
              <w:rPr>
                <w:rFonts w:hint="eastAsia" w:ascii="宋体" w:hAnsi="宋体" w:eastAsia="宋体" w:cs="宋体"/>
                <w:sz w:val="18"/>
                <w:szCs w:val="18"/>
              </w:rPr>
              <w:t>市场推广及促销费用</w:t>
            </w:r>
            <w:r>
              <w:rPr>
                <w:rFonts w:ascii="宋体" w:hAnsi="宋体" w:eastAsia="宋体" w:cs="宋体"/>
                <w:sz w:val="18"/>
                <w:szCs w:val="18"/>
              </w:rPr>
              <w:t>所致</w:t>
            </w:r>
          </w:p>
        </w:tc>
      </w:tr>
      <w:tr w14:paraId="662227A1">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1725F912">
            <w:pPr>
              <w:spacing w:before="40" w:after="40" w:line="240" w:lineRule="exact"/>
              <w:rPr>
                <w:rFonts w:ascii="宋体" w:hAnsi="宋体" w:eastAsia="宋体" w:cs="宋体"/>
                <w:sz w:val="18"/>
                <w:szCs w:val="18"/>
              </w:rPr>
            </w:pPr>
            <w:r>
              <w:rPr>
                <w:rFonts w:ascii="宋体" w:hAnsi="宋体" w:eastAsia="宋体" w:cs="宋体"/>
                <w:sz w:val="18"/>
                <w:szCs w:val="18"/>
              </w:rPr>
              <w:t>管理费用</w:t>
            </w:r>
          </w:p>
        </w:tc>
        <w:tc>
          <w:tcPr>
            <w:tcW w:w="1705" w:type="dxa"/>
            <w:tcBorders>
              <w:top w:val="single" w:color="auto" w:sz="2" w:space="0"/>
              <w:left w:val="single" w:color="auto" w:sz="2" w:space="0"/>
              <w:bottom w:val="single" w:color="auto" w:sz="2" w:space="0"/>
              <w:right w:val="single" w:color="auto" w:sz="2" w:space="0"/>
            </w:tcBorders>
            <w:vAlign w:val="center"/>
          </w:tcPr>
          <w:p w14:paraId="26D0ED39">
            <w:pPr>
              <w:spacing w:line="240" w:lineRule="exact"/>
              <w:jc w:val="right"/>
              <w:rPr>
                <w:rFonts w:ascii="宋体" w:hAnsi="宋体" w:eastAsia="宋体" w:cs="宋体"/>
                <w:sz w:val="18"/>
                <w:szCs w:val="18"/>
              </w:rPr>
            </w:pPr>
            <w:r>
              <w:rPr>
                <w:rFonts w:ascii="宋体" w:hAnsi="宋体" w:eastAsia="宋体" w:cs="宋体"/>
                <w:sz w:val="18"/>
                <w:szCs w:val="18"/>
              </w:rPr>
              <w:t>30,408,031.46</w:t>
            </w:r>
          </w:p>
        </w:tc>
        <w:tc>
          <w:tcPr>
            <w:tcW w:w="1705" w:type="dxa"/>
            <w:tcBorders>
              <w:top w:val="single" w:color="auto" w:sz="2" w:space="0"/>
              <w:left w:val="single" w:color="auto" w:sz="2" w:space="0"/>
              <w:bottom w:val="single" w:color="auto" w:sz="2" w:space="0"/>
              <w:right w:val="single" w:color="auto" w:sz="2" w:space="0"/>
            </w:tcBorders>
            <w:vAlign w:val="center"/>
          </w:tcPr>
          <w:p w14:paraId="38297AB3">
            <w:pPr>
              <w:spacing w:line="240" w:lineRule="exact"/>
              <w:jc w:val="right"/>
              <w:rPr>
                <w:rFonts w:ascii="宋体" w:hAnsi="宋体" w:eastAsia="宋体" w:cs="宋体"/>
                <w:sz w:val="18"/>
                <w:szCs w:val="18"/>
              </w:rPr>
            </w:pPr>
            <w:r>
              <w:rPr>
                <w:rFonts w:ascii="宋体" w:hAnsi="宋体" w:eastAsia="宋体" w:cs="宋体"/>
                <w:sz w:val="18"/>
                <w:szCs w:val="18"/>
              </w:rPr>
              <w:t>13,907,678.82</w:t>
            </w:r>
          </w:p>
        </w:tc>
        <w:tc>
          <w:tcPr>
            <w:tcW w:w="1114" w:type="dxa"/>
            <w:tcBorders>
              <w:top w:val="single" w:color="auto" w:sz="2" w:space="0"/>
              <w:left w:val="single" w:color="auto" w:sz="2" w:space="0"/>
              <w:bottom w:val="single" w:color="auto" w:sz="2" w:space="0"/>
              <w:right w:val="single" w:color="auto" w:sz="2" w:space="0"/>
            </w:tcBorders>
            <w:vAlign w:val="center"/>
          </w:tcPr>
          <w:p w14:paraId="2A54FA72">
            <w:pPr>
              <w:spacing w:line="240" w:lineRule="exact"/>
              <w:jc w:val="right"/>
              <w:rPr>
                <w:rFonts w:ascii="宋体" w:hAnsi="宋体" w:eastAsia="宋体" w:cs="宋体"/>
                <w:sz w:val="18"/>
                <w:szCs w:val="18"/>
              </w:rPr>
            </w:pPr>
            <w:r>
              <w:rPr>
                <w:rFonts w:ascii="宋体" w:hAnsi="宋体" w:eastAsia="宋体" w:cs="宋体"/>
                <w:sz w:val="18"/>
                <w:szCs w:val="18"/>
              </w:rPr>
              <w:t>18.64%</w:t>
            </w:r>
          </w:p>
        </w:tc>
        <w:tc>
          <w:tcPr>
            <w:tcW w:w="3188" w:type="dxa"/>
            <w:tcBorders>
              <w:top w:val="single" w:color="auto" w:sz="2" w:space="0"/>
              <w:left w:val="single" w:color="auto" w:sz="2" w:space="0"/>
              <w:bottom w:val="single" w:color="auto" w:sz="2" w:space="0"/>
              <w:right w:val="single" w:color="auto" w:sz="2" w:space="0"/>
            </w:tcBorders>
            <w:vAlign w:val="center"/>
          </w:tcPr>
          <w:p w14:paraId="1918C3F4">
            <w:pPr>
              <w:spacing w:line="240" w:lineRule="exact"/>
              <w:rPr>
                <w:rFonts w:ascii="宋体" w:hAnsi="宋体" w:eastAsia="宋体" w:cs="宋体"/>
                <w:sz w:val="18"/>
                <w:szCs w:val="18"/>
              </w:rPr>
            </w:pPr>
            <w:r>
              <w:rPr>
                <w:rFonts w:ascii="宋体" w:hAnsi="宋体" w:eastAsia="宋体" w:cs="宋体"/>
                <w:sz w:val="18"/>
                <w:szCs w:val="18"/>
              </w:rPr>
              <w:t>主要系公司进入预重整阶段报告期计提、支付中介机构重整费用</w:t>
            </w:r>
            <w:r>
              <w:rPr>
                <w:rFonts w:hint="eastAsia" w:ascii="宋体" w:hAnsi="宋体" w:eastAsia="宋体" w:cs="宋体"/>
                <w:sz w:val="18"/>
                <w:szCs w:val="18"/>
              </w:rPr>
              <w:t>及诉讼费用增加</w:t>
            </w:r>
            <w:r>
              <w:rPr>
                <w:rFonts w:ascii="宋体" w:hAnsi="宋体" w:eastAsia="宋体" w:cs="宋体"/>
                <w:sz w:val="18"/>
                <w:szCs w:val="18"/>
              </w:rPr>
              <w:t>所致</w:t>
            </w:r>
          </w:p>
        </w:tc>
      </w:tr>
      <w:tr w14:paraId="1295D1DD">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475729F9">
            <w:pPr>
              <w:spacing w:before="40" w:after="40" w:line="240" w:lineRule="exact"/>
              <w:rPr>
                <w:rFonts w:ascii="宋体" w:hAnsi="宋体" w:eastAsia="宋体" w:cs="宋体"/>
                <w:sz w:val="18"/>
                <w:szCs w:val="18"/>
              </w:rPr>
            </w:pPr>
            <w:r>
              <w:rPr>
                <w:rFonts w:ascii="宋体" w:hAnsi="宋体" w:eastAsia="宋体" w:cs="宋体"/>
                <w:sz w:val="18"/>
                <w:szCs w:val="18"/>
              </w:rPr>
              <w:t>财务费用</w:t>
            </w:r>
          </w:p>
        </w:tc>
        <w:tc>
          <w:tcPr>
            <w:tcW w:w="1705" w:type="dxa"/>
            <w:tcBorders>
              <w:top w:val="single" w:color="auto" w:sz="2" w:space="0"/>
              <w:left w:val="single" w:color="auto" w:sz="2" w:space="0"/>
              <w:bottom w:val="single" w:color="auto" w:sz="2" w:space="0"/>
              <w:right w:val="single" w:color="auto" w:sz="2" w:space="0"/>
            </w:tcBorders>
            <w:vAlign w:val="center"/>
          </w:tcPr>
          <w:p w14:paraId="75F2112B">
            <w:pPr>
              <w:spacing w:line="240" w:lineRule="exact"/>
              <w:jc w:val="right"/>
              <w:rPr>
                <w:rFonts w:ascii="宋体" w:hAnsi="宋体" w:eastAsia="宋体" w:cs="宋体"/>
                <w:sz w:val="18"/>
                <w:szCs w:val="18"/>
              </w:rPr>
            </w:pPr>
            <w:r>
              <w:rPr>
                <w:rFonts w:ascii="宋体" w:hAnsi="宋体" w:eastAsia="宋体" w:cs="宋体"/>
                <w:sz w:val="18"/>
                <w:szCs w:val="18"/>
              </w:rPr>
              <w:t>-250,875.29</w:t>
            </w:r>
          </w:p>
        </w:tc>
        <w:tc>
          <w:tcPr>
            <w:tcW w:w="1705" w:type="dxa"/>
            <w:tcBorders>
              <w:top w:val="single" w:color="auto" w:sz="2" w:space="0"/>
              <w:left w:val="single" w:color="auto" w:sz="2" w:space="0"/>
              <w:bottom w:val="single" w:color="auto" w:sz="2" w:space="0"/>
              <w:right w:val="single" w:color="auto" w:sz="2" w:space="0"/>
            </w:tcBorders>
            <w:vAlign w:val="center"/>
          </w:tcPr>
          <w:p w14:paraId="6289850C">
            <w:pPr>
              <w:spacing w:line="240" w:lineRule="exact"/>
              <w:jc w:val="right"/>
              <w:rPr>
                <w:rFonts w:ascii="宋体" w:hAnsi="宋体" w:eastAsia="宋体" w:cs="宋体"/>
                <w:sz w:val="18"/>
                <w:szCs w:val="18"/>
              </w:rPr>
            </w:pPr>
            <w:r>
              <w:rPr>
                <w:rFonts w:ascii="宋体" w:hAnsi="宋体" w:eastAsia="宋体" w:cs="宋体"/>
                <w:sz w:val="18"/>
                <w:szCs w:val="18"/>
              </w:rPr>
              <w:t>17,985,292.03</w:t>
            </w:r>
          </w:p>
        </w:tc>
        <w:tc>
          <w:tcPr>
            <w:tcW w:w="1114" w:type="dxa"/>
            <w:tcBorders>
              <w:top w:val="single" w:color="auto" w:sz="2" w:space="0"/>
              <w:left w:val="single" w:color="auto" w:sz="2" w:space="0"/>
              <w:bottom w:val="single" w:color="auto" w:sz="2" w:space="0"/>
              <w:right w:val="single" w:color="auto" w:sz="2" w:space="0"/>
            </w:tcBorders>
            <w:vAlign w:val="center"/>
          </w:tcPr>
          <w:p w14:paraId="50C202E3">
            <w:pPr>
              <w:spacing w:line="240" w:lineRule="exact"/>
              <w:jc w:val="right"/>
              <w:rPr>
                <w:rFonts w:ascii="宋体" w:hAnsi="宋体" w:eastAsia="宋体" w:cs="宋体"/>
                <w:sz w:val="18"/>
                <w:szCs w:val="18"/>
              </w:rPr>
            </w:pPr>
            <w:r>
              <w:rPr>
                <w:rFonts w:ascii="宋体" w:hAnsi="宋体" w:eastAsia="宋体" w:cs="宋体"/>
                <w:sz w:val="18"/>
                <w:szCs w:val="18"/>
              </w:rPr>
              <w:t>-101.39%</w:t>
            </w:r>
          </w:p>
        </w:tc>
        <w:tc>
          <w:tcPr>
            <w:tcW w:w="3188" w:type="dxa"/>
            <w:tcBorders>
              <w:top w:val="single" w:color="auto" w:sz="2" w:space="0"/>
              <w:left w:val="single" w:color="auto" w:sz="2" w:space="0"/>
              <w:bottom w:val="single" w:color="auto" w:sz="2" w:space="0"/>
              <w:right w:val="single" w:color="auto" w:sz="2" w:space="0"/>
            </w:tcBorders>
            <w:vAlign w:val="center"/>
          </w:tcPr>
          <w:p w14:paraId="3DF59D06">
            <w:pPr>
              <w:spacing w:line="240" w:lineRule="exact"/>
              <w:rPr>
                <w:rFonts w:ascii="宋体" w:hAnsi="宋体" w:eastAsia="宋体" w:cs="宋体"/>
                <w:sz w:val="18"/>
                <w:szCs w:val="18"/>
              </w:rPr>
            </w:pPr>
            <w:r>
              <w:rPr>
                <w:rFonts w:ascii="宋体" w:hAnsi="宋体" w:eastAsia="宋体" w:cs="宋体"/>
                <w:sz w:val="18"/>
                <w:szCs w:val="18"/>
              </w:rPr>
              <w:t>主要系报告期不再计提涉诉案件大额利息所致</w:t>
            </w:r>
          </w:p>
        </w:tc>
      </w:tr>
      <w:tr w14:paraId="337E1FBE">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18A0C73B">
            <w:pPr>
              <w:spacing w:before="40" w:after="40" w:line="240" w:lineRule="exact"/>
              <w:rPr>
                <w:rFonts w:ascii="宋体" w:hAnsi="宋体" w:eastAsia="宋体" w:cs="宋体"/>
                <w:sz w:val="18"/>
                <w:szCs w:val="18"/>
              </w:rPr>
            </w:pPr>
            <w:r>
              <w:rPr>
                <w:rFonts w:ascii="宋体" w:hAnsi="宋体" w:eastAsia="宋体" w:cs="宋体"/>
                <w:sz w:val="18"/>
                <w:szCs w:val="18"/>
              </w:rPr>
              <w:t>所得税费用</w:t>
            </w:r>
          </w:p>
        </w:tc>
        <w:tc>
          <w:tcPr>
            <w:tcW w:w="1705" w:type="dxa"/>
            <w:tcBorders>
              <w:top w:val="single" w:color="auto" w:sz="2" w:space="0"/>
              <w:left w:val="single" w:color="auto" w:sz="2" w:space="0"/>
              <w:bottom w:val="single" w:color="auto" w:sz="2" w:space="0"/>
              <w:right w:val="single" w:color="auto" w:sz="2" w:space="0"/>
            </w:tcBorders>
            <w:vAlign w:val="center"/>
          </w:tcPr>
          <w:p w14:paraId="6B07E1E5">
            <w:pPr>
              <w:spacing w:line="240" w:lineRule="exact"/>
              <w:jc w:val="right"/>
              <w:rPr>
                <w:rFonts w:ascii="宋体" w:hAnsi="宋体" w:eastAsia="宋体" w:cs="宋体"/>
                <w:sz w:val="18"/>
                <w:szCs w:val="18"/>
              </w:rPr>
            </w:pPr>
            <w:r>
              <w:rPr>
                <w:rFonts w:ascii="宋体" w:hAnsi="宋体" w:eastAsia="宋体" w:cs="宋体"/>
                <w:sz w:val="18"/>
                <w:szCs w:val="18"/>
              </w:rPr>
              <w:t>5,608,925.15</w:t>
            </w:r>
          </w:p>
        </w:tc>
        <w:tc>
          <w:tcPr>
            <w:tcW w:w="1705" w:type="dxa"/>
            <w:tcBorders>
              <w:top w:val="single" w:color="auto" w:sz="2" w:space="0"/>
              <w:left w:val="single" w:color="auto" w:sz="2" w:space="0"/>
              <w:bottom w:val="single" w:color="auto" w:sz="2" w:space="0"/>
              <w:right w:val="single" w:color="auto" w:sz="2" w:space="0"/>
            </w:tcBorders>
            <w:vAlign w:val="center"/>
          </w:tcPr>
          <w:p w14:paraId="287208A0">
            <w:pPr>
              <w:spacing w:line="240" w:lineRule="exact"/>
              <w:jc w:val="right"/>
              <w:rPr>
                <w:rFonts w:ascii="宋体" w:hAnsi="宋体" w:eastAsia="宋体" w:cs="宋体"/>
                <w:sz w:val="18"/>
                <w:szCs w:val="18"/>
              </w:rPr>
            </w:pPr>
            <w:r>
              <w:rPr>
                <w:rFonts w:ascii="宋体" w:hAnsi="宋体" w:eastAsia="宋体" w:cs="宋体"/>
                <w:sz w:val="18"/>
                <w:szCs w:val="18"/>
              </w:rPr>
              <w:t>-1,521,262.68</w:t>
            </w:r>
          </w:p>
        </w:tc>
        <w:tc>
          <w:tcPr>
            <w:tcW w:w="1114" w:type="dxa"/>
            <w:tcBorders>
              <w:top w:val="single" w:color="auto" w:sz="2" w:space="0"/>
              <w:left w:val="single" w:color="auto" w:sz="2" w:space="0"/>
              <w:bottom w:val="single" w:color="auto" w:sz="2" w:space="0"/>
              <w:right w:val="single" w:color="auto" w:sz="2" w:space="0"/>
            </w:tcBorders>
            <w:vAlign w:val="center"/>
          </w:tcPr>
          <w:p w14:paraId="39C1B479">
            <w:pPr>
              <w:spacing w:line="240" w:lineRule="exact"/>
              <w:jc w:val="right"/>
              <w:rPr>
                <w:rFonts w:ascii="宋体" w:hAnsi="宋体" w:eastAsia="宋体" w:cs="宋体"/>
                <w:sz w:val="18"/>
                <w:szCs w:val="18"/>
              </w:rPr>
            </w:pPr>
            <w:r>
              <w:rPr>
                <w:rFonts w:ascii="宋体" w:hAnsi="宋体" w:eastAsia="宋体" w:cs="宋体"/>
                <w:sz w:val="18"/>
                <w:szCs w:val="18"/>
              </w:rPr>
              <w:t>468.24%</w:t>
            </w:r>
          </w:p>
        </w:tc>
        <w:tc>
          <w:tcPr>
            <w:tcW w:w="3188" w:type="dxa"/>
            <w:tcBorders>
              <w:top w:val="single" w:color="auto" w:sz="2" w:space="0"/>
              <w:left w:val="single" w:color="auto" w:sz="2" w:space="0"/>
              <w:bottom w:val="single" w:color="auto" w:sz="2" w:space="0"/>
              <w:right w:val="single" w:color="auto" w:sz="2" w:space="0"/>
            </w:tcBorders>
            <w:vAlign w:val="center"/>
          </w:tcPr>
          <w:p w14:paraId="57355155">
            <w:pPr>
              <w:spacing w:line="240" w:lineRule="exact"/>
              <w:rPr>
                <w:rFonts w:ascii="宋体" w:hAnsi="宋体" w:eastAsia="宋体" w:cs="宋体"/>
                <w:sz w:val="18"/>
                <w:szCs w:val="18"/>
              </w:rPr>
            </w:pPr>
            <w:r>
              <w:rPr>
                <w:rFonts w:ascii="宋体" w:hAnsi="宋体" w:eastAsia="宋体" w:cs="宋体"/>
                <w:sz w:val="18"/>
                <w:szCs w:val="18"/>
              </w:rPr>
              <w:t>主要系报告期收入增加，相比去年同期大额减少信用减值损失，上述因素品迭致企业利润总额增加是所得税费用同比大额增加的主要原因</w:t>
            </w:r>
          </w:p>
        </w:tc>
      </w:tr>
      <w:tr w14:paraId="750F9EFA">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08948B27">
            <w:pPr>
              <w:spacing w:before="40" w:after="40" w:line="240" w:lineRule="exact"/>
              <w:rPr>
                <w:rFonts w:ascii="宋体" w:hAnsi="宋体" w:eastAsia="宋体" w:cs="宋体"/>
                <w:sz w:val="18"/>
                <w:szCs w:val="18"/>
              </w:rPr>
            </w:pPr>
            <w:r>
              <w:rPr>
                <w:rFonts w:ascii="宋体" w:hAnsi="宋体" w:eastAsia="宋体" w:cs="宋体"/>
                <w:sz w:val="18"/>
                <w:szCs w:val="18"/>
              </w:rPr>
              <w:t>经营活动产生的现金流量净额</w:t>
            </w:r>
          </w:p>
        </w:tc>
        <w:tc>
          <w:tcPr>
            <w:tcW w:w="1705" w:type="dxa"/>
            <w:tcBorders>
              <w:top w:val="single" w:color="auto" w:sz="2" w:space="0"/>
              <w:left w:val="single" w:color="auto" w:sz="2" w:space="0"/>
              <w:bottom w:val="single" w:color="auto" w:sz="2" w:space="0"/>
              <w:right w:val="single" w:color="auto" w:sz="2" w:space="0"/>
            </w:tcBorders>
            <w:vAlign w:val="center"/>
          </w:tcPr>
          <w:p w14:paraId="45AB0373">
            <w:pPr>
              <w:spacing w:line="240" w:lineRule="exact"/>
              <w:jc w:val="right"/>
              <w:rPr>
                <w:rFonts w:ascii="宋体" w:hAnsi="宋体" w:eastAsia="宋体" w:cs="宋体"/>
                <w:sz w:val="18"/>
                <w:szCs w:val="18"/>
              </w:rPr>
            </w:pPr>
            <w:r>
              <w:rPr>
                <w:rFonts w:ascii="宋体" w:hAnsi="宋体" w:eastAsia="宋体" w:cs="宋体"/>
                <w:sz w:val="18"/>
                <w:szCs w:val="18"/>
              </w:rPr>
              <w:t>44,117,367.06</w:t>
            </w:r>
          </w:p>
        </w:tc>
        <w:tc>
          <w:tcPr>
            <w:tcW w:w="1705" w:type="dxa"/>
            <w:tcBorders>
              <w:top w:val="single" w:color="auto" w:sz="2" w:space="0"/>
              <w:left w:val="single" w:color="auto" w:sz="2" w:space="0"/>
              <w:bottom w:val="single" w:color="auto" w:sz="2" w:space="0"/>
              <w:right w:val="single" w:color="auto" w:sz="2" w:space="0"/>
            </w:tcBorders>
            <w:vAlign w:val="center"/>
          </w:tcPr>
          <w:p w14:paraId="4CB03A07">
            <w:pPr>
              <w:spacing w:line="240" w:lineRule="exact"/>
              <w:jc w:val="right"/>
              <w:rPr>
                <w:rFonts w:ascii="宋体" w:hAnsi="宋体" w:eastAsia="宋体" w:cs="宋体"/>
                <w:sz w:val="18"/>
                <w:szCs w:val="18"/>
              </w:rPr>
            </w:pPr>
            <w:r>
              <w:rPr>
                <w:rFonts w:ascii="宋体" w:hAnsi="宋体" w:eastAsia="宋体" w:cs="宋体"/>
                <w:sz w:val="18"/>
                <w:szCs w:val="18"/>
              </w:rPr>
              <w:t>17,088,404.43</w:t>
            </w:r>
          </w:p>
        </w:tc>
        <w:tc>
          <w:tcPr>
            <w:tcW w:w="1114" w:type="dxa"/>
            <w:tcBorders>
              <w:top w:val="single" w:color="auto" w:sz="2" w:space="0"/>
              <w:left w:val="single" w:color="auto" w:sz="2" w:space="0"/>
              <w:bottom w:val="single" w:color="auto" w:sz="2" w:space="0"/>
              <w:right w:val="single" w:color="auto" w:sz="2" w:space="0"/>
            </w:tcBorders>
            <w:vAlign w:val="center"/>
          </w:tcPr>
          <w:p w14:paraId="1FAF03EC">
            <w:pPr>
              <w:spacing w:line="240" w:lineRule="exact"/>
              <w:jc w:val="right"/>
              <w:rPr>
                <w:rFonts w:ascii="宋体" w:hAnsi="宋体" w:eastAsia="宋体" w:cs="宋体"/>
                <w:sz w:val="18"/>
                <w:szCs w:val="18"/>
              </w:rPr>
            </w:pPr>
            <w:r>
              <w:rPr>
                <w:rFonts w:ascii="宋体" w:hAnsi="宋体" w:eastAsia="宋体" w:cs="宋体"/>
                <w:sz w:val="18"/>
                <w:szCs w:val="18"/>
              </w:rPr>
              <w:t>158.17%</w:t>
            </w:r>
          </w:p>
        </w:tc>
        <w:tc>
          <w:tcPr>
            <w:tcW w:w="3188" w:type="dxa"/>
            <w:tcBorders>
              <w:top w:val="single" w:color="auto" w:sz="2" w:space="0"/>
              <w:left w:val="single" w:color="auto" w:sz="2" w:space="0"/>
              <w:bottom w:val="single" w:color="auto" w:sz="2" w:space="0"/>
              <w:right w:val="single" w:color="auto" w:sz="2" w:space="0"/>
            </w:tcBorders>
            <w:vAlign w:val="center"/>
          </w:tcPr>
          <w:p w14:paraId="1836455C">
            <w:pPr>
              <w:spacing w:line="240" w:lineRule="exact"/>
              <w:rPr>
                <w:rFonts w:ascii="宋体" w:hAnsi="宋体" w:eastAsia="宋体" w:cs="宋体"/>
                <w:sz w:val="18"/>
                <w:szCs w:val="18"/>
              </w:rPr>
            </w:pPr>
            <w:r>
              <w:rPr>
                <w:rFonts w:ascii="宋体" w:hAnsi="宋体" w:eastAsia="宋体" w:cs="宋体"/>
                <w:sz w:val="18"/>
                <w:szCs w:val="18"/>
              </w:rPr>
              <w:t>主要系报告期销量增加，收到销售商品款项同比增加</w:t>
            </w:r>
          </w:p>
        </w:tc>
      </w:tr>
      <w:tr w14:paraId="6D2FA5AD">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7352E4BD">
            <w:pPr>
              <w:spacing w:before="40" w:after="40" w:line="240" w:lineRule="exact"/>
              <w:rPr>
                <w:rFonts w:ascii="宋体" w:hAnsi="宋体" w:eastAsia="宋体" w:cs="宋体"/>
                <w:sz w:val="18"/>
                <w:szCs w:val="18"/>
              </w:rPr>
            </w:pPr>
            <w:r>
              <w:rPr>
                <w:rFonts w:ascii="宋体" w:hAnsi="宋体" w:eastAsia="宋体" w:cs="宋体"/>
                <w:sz w:val="18"/>
                <w:szCs w:val="18"/>
              </w:rPr>
              <w:t>投资活动产生的现金流量净额</w:t>
            </w:r>
          </w:p>
        </w:tc>
        <w:tc>
          <w:tcPr>
            <w:tcW w:w="1705" w:type="dxa"/>
            <w:tcBorders>
              <w:top w:val="single" w:color="auto" w:sz="2" w:space="0"/>
              <w:left w:val="single" w:color="auto" w:sz="2" w:space="0"/>
              <w:bottom w:val="single" w:color="auto" w:sz="2" w:space="0"/>
              <w:right w:val="single" w:color="auto" w:sz="2" w:space="0"/>
            </w:tcBorders>
            <w:vAlign w:val="center"/>
          </w:tcPr>
          <w:p w14:paraId="4E1E13AE">
            <w:pPr>
              <w:spacing w:line="240" w:lineRule="exact"/>
              <w:jc w:val="right"/>
              <w:rPr>
                <w:rFonts w:ascii="宋体" w:hAnsi="宋体" w:eastAsia="宋体" w:cs="宋体"/>
                <w:sz w:val="18"/>
                <w:szCs w:val="18"/>
              </w:rPr>
            </w:pPr>
            <w:r>
              <w:rPr>
                <w:rFonts w:ascii="宋体" w:hAnsi="宋体" w:eastAsia="宋体" w:cs="宋体"/>
                <w:sz w:val="18"/>
                <w:szCs w:val="18"/>
              </w:rPr>
              <w:t>-12,245,017.70</w:t>
            </w:r>
          </w:p>
        </w:tc>
        <w:tc>
          <w:tcPr>
            <w:tcW w:w="1705" w:type="dxa"/>
            <w:tcBorders>
              <w:top w:val="single" w:color="auto" w:sz="2" w:space="0"/>
              <w:left w:val="single" w:color="auto" w:sz="2" w:space="0"/>
              <w:bottom w:val="single" w:color="auto" w:sz="2" w:space="0"/>
              <w:right w:val="single" w:color="auto" w:sz="2" w:space="0"/>
            </w:tcBorders>
            <w:vAlign w:val="center"/>
          </w:tcPr>
          <w:p w14:paraId="72E5DF23">
            <w:pPr>
              <w:spacing w:line="240" w:lineRule="exact"/>
              <w:jc w:val="right"/>
              <w:rPr>
                <w:rFonts w:ascii="宋体" w:hAnsi="宋体" w:eastAsia="宋体" w:cs="宋体"/>
                <w:sz w:val="18"/>
                <w:szCs w:val="18"/>
              </w:rPr>
            </w:pPr>
            <w:r>
              <w:rPr>
                <w:rFonts w:ascii="宋体" w:hAnsi="宋体" w:eastAsia="宋体" w:cs="宋体"/>
                <w:sz w:val="18"/>
                <w:szCs w:val="18"/>
              </w:rPr>
              <w:t>-47,066,188.44</w:t>
            </w:r>
          </w:p>
        </w:tc>
        <w:tc>
          <w:tcPr>
            <w:tcW w:w="1114" w:type="dxa"/>
            <w:tcBorders>
              <w:top w:val="single" w:color="auto" w:sz="2" w:space="0"/>
              <w:left w:val="single" w:color="auto" w:sz="2" w:space="0"/>
              <w:bottom w:val="single" w:color="auto" w:sz="2" w:space="0"/>
              <w:right w:val="single" w:color="auto" w:sz="2" w:space="0"/>
            </w:tcBorders>
            <w:vAlign w:val="center"/>
          </w:tcPr>
          <w:p w14:paraId="464F36E2">
            <w:pPr>
              <w:widowControl/>
              <w:spacing w:line="240" w:lineRule="auto"/>
              <w:jc w:val="right"/>
              <w:rPr>
                <w:rFonts w:ascii="宋体" w:hAnsi="宋体" w:eastAsia="宋体" w:cs="宋体"/>
                <w:sz w:val="18"/>
                <w:szCs w:val="18"/>
              </w:rPr>
            </w:pPr>
            <w:r>
              <w:rPr>
                <w:rFonts w:hint="eastAsia"/>
                <w:color w:val="000000"/>
                <w:sz w:val="18"/>
                <w:szCs w:val="18"/>
              </w:rPr>
              <w:t>73.98%</w:t>
            </w:r>
          </w:p>
        </w:tc>
        <w:tc>
          <w:tcPr>
            <w:tcW w:w="3188" w:type="dxa"/>
            <w:tcBorders>
              <w:top w:val="single" w:color="auto" w:sz="2" w:space="0"/>
              <w:left w:val="single" w:color="auto" w:sz="2" w:space="0"/>
              <w:bottom w:val="single" w:color="auto" w:sz="2" w:space="0"/>
              <w:right w:val="single" w:color="auto" w:sz="2" w:space="0"/>
            </w:tcBorders>
            <w:vAlign w:val="center"/>
          </w:tcPr>
          <w:p w14:paraId="713DDC0C">
            <w:pPr>
              <w:spacing w:line="240" w:lineRule="exact"/>
              <w:rPr>
                <w:rFonts w:ascii="宋体" w:hAnsi="宋体" w:eastAsia="宋体" w:cs="宋体"/>
                <w:sz w:val="18"/>
                <w:szCs w:val="18"/>
              </w:rPr>
            </w:pPr>
            <w:r>
              <w:rPr>
                <w:rFonts w:ascii="宋体" w:hAnsi="宋体" w:eastAsia="宋体" w:cs="宋体"/>
                <w:sz w:val="18"/>
                <w:szCs w:val="18"/>
              </w:rPr>
              <w:t>主要系报告期更新设备购买相比去年同期减少所致</w:t>
            </w:r>
          </w:p>
        </w:tc>
      </w:tr>
      <w:tr w14:paraId="64DB01A9">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57F3DEA6">
            <w:pPr>
              <w:spacing w:before="40" w:after="40" w:line="240" w:lineRule="exact"/>
              <w:rPr>
                <w:rFonts w:ascii="宋体" w:hAnsi="宋体" w:eastAsia="宋体" w:cs="宋体"/>
                <w:sz w:val="18"/>
                <w:szCs w:val="18"/>
              </w:rPr>
            </w:pPr>
            <w:r>
              <w:rPr>
                <w:rFonts w:ascii="宋体" w:hAnsi="宋体" w:eastAsia="宋体" w:cs="宋体"/>
                <w:sz w:val="18"/>
                <w:szCs w:val="18"/>
              </w:rPr>
              <w:t>筹资活动产生的现金流量净额</w:t>
            </w:r>
          </w:p>
        </w:tc>
        <w:tc>
          <w:tcPr>
            <w:tcW w:w="1705" w:type="dxa"/>
            <w:tcBorders>
              <w:top w:val="single" w:color="auto" w:sz="2" w:space="0"/>
              <w:left w:val="single" w:color="auto" w:sz="2" w:space="0"/>
              <w:bottom w:val="single" w:color="auto" w:sz="2" w:space="0"/>
              <w:right w:val="single" w:color="auto" w:sz="2" w:space="0"/>
            </w:tcBorders>
            <w:vAlign w:val="center"/>
          </w:tcPr>
          <w:p w14:paraId="41B1696F">
            <w:pPr>
              <w:spacing w:line="240" w:lineRule="exact"/>
              <w:jc w:val="right"/>
              <w:rPr>
                <w:rFonts w:ascii="宋体" w:hAnsi="宋体" w:eastAsia="宋体" w:cs="宋体"/>
                <w:sz w:val="18"/>
                <w:szCs w:val="18"/>
              </w:rPr>
            </w:pPr>
          </w:p>
        </w:tc>
        <w:tc>
          <w:tcPr>
            <w:tcW w:w="1705" w:type="dxa"/>
            <w:tcBorders>
              <w:top w:val="single" w:color="auto" w:sz="2" w:space="0"/>
              <w:left w:val="single" w:color="auto" w:sz="2" w:space="0"/>
              <w:bottom w:val="single" w:color="auto" w:sz="2" w:space="0"/>
              <w:right w:val="single" w:color="auto" w:sz="2" w:space="0"/>
            </w:tcBorders>
            <w:vAlign w:val="center"/>
          </w:tcPr>
          <w:p w14:paraId="4E26AD14">
            <w:pPr>
              <w:spacing w:line="240" w:lineRule="exact"/>
              <w:jc w:val="right"/>
              <w:rPr>
                <w:rFonts w:ascii="宋体" w:hAnsi="宋体" w:eastAsia="宋体" w:cs="宋体"/>
                <w:sz w:val="18"/>
                <w:szCs w:val="18"/>
              </w:rPr>
            </w:pPr>
            <w:r>
              <w:rPr>
                <w:rFonts w:ascii="宋体" w:hAnsi="宋体" w:eastAsia="宋体" w:cs="宋体"/>
                <w:sz w:val="18"/>
                <w:szCs w:val="18"/>
              </w:rPr>
              <w:t>-6,000,000.00</w:t>
            </w:r>
          </w:p>
        </w:tc>
        <w:tc>
          <w:tcPr>
            <w:tcW w:w="1114" w:type="dxa"/>
            <w:tcBorders>
              <w:top w:val="single" w:color="auto" w:sz="2" w:space="0"/>
              <w:left w:val="single" w:color="auto" w:sz="2" w:space="0"/>
              <w:bottom w:val="single" w:color="auto" w:sz="2" w:space="0"/>
              <w:right w:val="single" w:color="auto" w:sz="2" w:space="0"/>
            </w:tcBorders>
            <w:vAlign w:val="center"/>
          </w:tcPr>
          <w:p w14:paraId="3CCAA55E">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3188" w:type="dxa"/>
            <w:tcBorders>
              <w:top w:val="single" w:color="auto" w:sz="2" w:space="0"/>
              <w:left w:val="single" w:color="auto" w:sz="2" w:space="0"/>
              <w:bottom w:val="single" w:color="auto" w:sz="2" w:space="0"/>
              <w:right w:val="single" w:color="auto" w:sz="2" w:space="0"/>
            </w:tcBorders>
            <w:vAlign w:val="center"/>
          </w:tcPr>
          <w:p w14:paraId="4536DD77">
            <w:pPr>
              <w:spacing w:line="240" w:lineRule="exact"/>
              <w:rPr>
                <w:rFonts w:ascii="宋体" w:hAnsi="宋体" w:eastAsia="宋体" w:cs="宋体"/>
                <w:sz w:val="18"/>
                <w:szCs w:val="18"/>
              </w:rPr>
            </w:pPr>
            <w:r>
              <w:rPr>
                <w:rFonts w:ascii="宋体" w:hAnsi="宋体" w:eastAsia="宋体" w:cs="宋体"/>
                <w:sz w:val="18"/>
                <w:szCs w:val="18"/>
              </w:rPr>
              <w:t>主要系报告期支付筹资活动现金减少所致</w:t>
            </w:r>
          </w:p>
        </w:tc>
      </w:tr>
      <w:tr w14:paraId="327DF5C6">
        <w:trPr>
          <w:trHeight w:val="240" w:hRule="atLeast"/>
          <w:jc w:val="cent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40DB8BA8">
            <w:pPr>
              <w:spacing w:before="40" w:after="40" w:line="240" w:lineRule="exact"/>
              <w:rPr>
                <w:rFonts w:ascii="宋体" w:hAnsi="宋体" w:eastAsia="宋体" w:cs="宋体"/>
                <w:sz w:val="18"/>
                <w:szCs w:val="18"/>
              </w:rPr>
            </w:pPr>
            <w:r>
              <w:rPr>
                <w:rFonts w:ascii="宋体" w:hAnsi="宋体" w:eastAsia="宋体" w:cs="宋体"/>
                <w:sz w:val="18"/>
                <w:szCs w:val="18"/>
              </w:rPr>
              <w:t>现金及现金等价物净增加额</w:t>
            </w:r>
          </w:p>
        </w:tc>
        <w:tc>
          <w:tcPr>
            <w:tcW w:w="1705" w:type="dxa"/>
            <w:tcBorders>
              <w:top w:val="single" w:color="auto" w:sz="2" w:space="0"/>
              <w:left w:val="single" w:color="auto" w:sz="2" w:space="0"/>
              <w:bottom w:val="single" w:color="auto" w:sz="2" w:space="0"/>
              <w:right w:val="single" w:color="auto" w:sz="2" w:space="0"/>
            </w:tcBorders>
            <w:vAlign w:val="center"/>
          </w:tcPr>
          <w:p w14:paraId="41898F03">
            <w:pPr>
              <w:spacing w:line="240" w:lineRule="exact"/>
              <w:jc w:val="right"/>
              <w:rPr>
                <w:rFonts w:ascii="宋体" w:hAnsi="宋体" w:eastAsia="宋体" w:cs="宋体"/>
                <w:sz w:val="18"/>
                <w:szCs w:val="18"/>
              </w:rPr>
            </w:pPr>
            <w:r>
              <w:rPr>
                <w:rFonts w:ascii="宋体" w:hAnsi="宋体" w:eastAsia="宋体" w:cs="宋体"/>
                <w:sz w:val="18"/>
                <w:szCs w:val="18"/>
              </w:rPr>
              <w:t>31,872,349.36</w:t>
            </w:r>
          </w:p>
        </w:tc>
        <w:tc>
          <w:tcPr>
            <w:tcW w:w="1705" w:type="dxa"/>
            <w:tcBorders>
              <w:top w:val="single" w:color="auto" w:sz="2" w:space="0"/>
              <w:left w:val="single" w:color="auto" w:sz="2" w:space="0"/>
              <w:bottom w:val="single" w:color="auto" w:sz="2" w:space="0"/>
              <w:right w:val="single" w:color="auto" w:sz="2" w:space="0"/>
            </w:tcBorders>
            <w:vAlign w:val="center"/>
          </w:tcPr>
          <w:p w14:paraId="55403DE8">
            <w:pPr>
              <w:spacing w:line="240" w:lineRule="exact"/>
              <w:jc w:val="right"/>
              <w:rPr>
                <w:rFonts w:ascii="宋体" w:hAnsi="宋体" w:eastAsia="宋体" w:cs="宋体"/>
                <w:sz w:val="18"/>
                <w:szCs w:val="18"/>
              </w:rPr>
            </w:pPr>
            <w:r>
              <w:rPr>
                <w:rFonts w:ascii="宋体" w:hAnsi="宋体" w:eastAsia="宋体" w:cs="宋体"/>
                <w:sz w:val="18"/>
                <w:szCs w:val="18"/>
              </w:rPr>
              <w:t>-35,977,784.01</w:t>
            </w:r>
          </w:p>
        </w:tc>
        <w:tc>
          <w:tcPr>
            <w:tcW w:w="1114" w:type="dxa"/>
            <w:tcBorders>
              <w:top w:val="single" w:color="auto" w:sz="2" w:space="0"/>
              <w:left w:val="single" w:color="auto" w:sz="2" w:space="0"/>
              <w:bottom w:val="single" w:color="auto" w:sz="2" w:space="0"/>
              <w:right w:val="single" w:color="auto" w:sz="2" w:space="0"/>
            </w:tcBorders>
            <w:vAlign w:val="center"/>
          </w:tcPr>
          <w:p w14:paraId="1C93C2A1">
            <w:pPr>
              <w:spacing w:line="240" w:lineRule="exact"/>
              <w:jc w:val="right"/>
              <w:rPr>
                <w:rFonts w:ascii="宋体" w:hAnsi="宋体" w:eastAsia="宋体" w:cs="宋体"/>
                <w:sz w:val="18"/>
                <w:szCs w:val="18"/>
              </w:rPr>
            </w:pPr>
            <w:r>
              <w:rPr>
                <w:rFonts w:ascii="宋体" w:hAnsi="宋体" w:eastAsia="宋体" w:cs="宋体"/>
                <w:sz w:val="18"/>
                <w:szCs w:val="18"/>
              </w:rPr>
              <w:t>188.59%</w:t>
            </w:r>
          </w:p>
        </w:tc>
        <w:tc>
          <w:tcPr>
            <w:tcW w:w="3188" w:type="dxa"/>
            <w:tcBorders>
              <w:top w:val="single" w:color="auto" w:sz="2" w:space="0"/>
              <w:left w:val="single" w:color="auto" w:sz="2" w:space="0"/>
              <w:bottom w:val="single" w:color="auto" w:sz="2" w:space="0"/>
              <w:right w:val="single" w:color="auto" w:sz="2" w:space="0"/>
            </w:tcBorders>
            <w:vAlign w:val="center"/>
          </w:tcPr>
          <w:p w14:paraId="6B9E49B1">
            <w:pPr>
              <w:spacing w:line="240" w:lineRule="exact"/>
              <w:rPr>
                <w:rFonts w:ascii="宋体" w:hAnsi="宋体" w:eastAsia="宋体" w:cs="宋体"/>
                <w:sz w:val="18"/>
                <w:szCs w:val="18"/>
              </w:rPr>
            </w:pPr>
            <w:r>
              <w:rPr>
                <w:rFonts w:ascii="宋体" w:hAnsi="宋体" w:eastAsia="宋体" w:cs="宋体"/>
                <w:sz w:val="18"/>
                <w:szCs w:val="18"/>
              </w:rPr>
              <w:t>报告期收到销售回款同比增加、支付设备更新款项同比减少、支付</w:t>
            </w:r>
            <w:r>
              <w:rPr>
                <w:rFonts w:hint="eastAsia" w:ascii="宋体" w:hAnsi="宋体" w:eastAsia="宋体" w:cs="宋体"/>
                <w:sz w:val="18"/>
                <w:szCs w:val="18"/>
              </w:rPr>
              <w:t>筹资</w:t>
            </w:r>
            <w:r>
              <w:rPr>
                <w:rFonts w:ascii="宋体" w:hAnsi="宋体" w:eastAsia="宋体" w:cs="宋体"/>
                <w:sz w:val="18"/>
                <w:szCs w:val="18"/>
              </w:rPr>
              <w:t>活动现金减少，上述主要因素品迭是致本报告期现金及现金等价物净增加额同比增长较多的主要原因</w:t>
            </w:r>
          </w:p>
        </w:tc>
      </w:tr>
    </w:tbl>
    <w:p w14:paraId="254A8B1E">
      <w:pPr>
        <w:spacing w:before="100" w:after="100" w:line="240" w:lineRule="exact"/>
        <w:rPr>
          <w:rFonts w:ascii="宋体" w:hAnsi="宋体" w:eastAsia="宋体" w:cs="宋体"/>
          <w:sz w:val="18"/>
          <w:szCs w:val="18"/>
        </w:rPr>
      </w:pPr>
      <w:r>
        <w:rPr>
          <w:rFonts w:ascii="宋体" w:hAnsi="宋体" w:eastAsia="宋体" w:cs="宋体"/>
          <w:sz w:val="18"/>
          <w:szCs w:val="18"/>
        </w:rPr>
        <w:t>公司报告期利润构成或利润来源发生重大变动</w:t>
      </w:r>
    </w:p>
    <w:p w14:paraId="37C7BDBD">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C6CC36">
      <w:pPr>
        <w:spacing w:before="100" w:after="100" w:line="240" w:lineRule="exact"/>
        <w:rPr>
          <w:rFonts w:ascii="宋体" w:hAnsi="宋体" w:eastAsia="宋体" w:cs="宋体"/>
          <w:sz w:val="18"/>
          <w:szCs w:val="18"/>
        </w:rPr>
      </w:pPr>
      <w:r>
        <w:rPr>
          <w:rFonts w:ascii="宋体" w:hAnsi="宋体" w:eastAsia="宋体" w:cs="宋体"/>
          <w:sz w:val="18"/>
          <w:szCs w:val="18"/>
        </w:rPr>
        <w:t>公司报告期利润构成或利润来源没有发生重大变动。</w:t>
      </w:r>
    </w:p>
    <w:p w14:paraId="5994F135">
      <w:pPr>
        <w:spacing w:before="100" w:after="100" w:line="240" w:lineRule="exact"/>
        <w:rPr>
          <w:rFonts w:ascii="宋体" w:hAnsi="宋体" w:eastAsia="宋体" w:cs="宋体"/>
          <w:sz w:val="18"/>
          <w:szCs w:val="18"/>
        </w:rPr>
      </w:pPr>
      <w:r>
        <w:rPr>
          <w:rFonts w:ascii="宋体" w:hAnsi="宋体" w:eastAsia="宋体" w:cs="宋体"/>
          <w:sz w:val="18"/>
          <w:szCs w:val="18"/>
        </w:rPr>
        <w:t>营业收入构成</w:t>
      </w:r>
    </w:p>
    <w:p w14:paraId="41F663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499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07"/>
        <w:gridCol w:w="1624"/>
        <w:gridCol w:w="1532"/>
        <w:gridCol w:w="1703"/>
        <w:gridCol w:w="1579"/>
        <w:gridCol w:w="1288"/>
      </w:tblGrid>
      <w:tr w14:paraId="7E8A6E70">
        <w:trPr>
          <w:trHeight w:val="240" w:hRule="atLeast"/>
        </w:trPr>
        <w:tc>
          <w:tcPr>
            <w:tcW w:w="1071"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648DF6"/>
        </w:tc>
        <w:tc>
          <w:tcPr>
            <w:tcW w:w="1605"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0A6CA71">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w:t>
            </w:r>
          </w:p>
        </w:tc>
        <w:tc>
          <w:tcPr>
            <w:tcW w:w="1669"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9B1341B">
            <w:pPr>
              <w:spacing w:before="40" w:after="40" w:line="240" w:lineRule="exact"/>
              <w:jc w:val="center"/>
              <w:rPr>
                <w:rFonts w:ascii="宋体" w:hAnsi="宋体" w:eastAsia="宋体" w:cs="宋体"/>
                <w:sz w:val="18"/>
                <w:szCs w:val="18"/>
              </w:rPr>
            </w:pPr>
            <w:r>
              <w:rPr>
                <w:rFonts w:ascii="宋体" w:hAnsi="宋体" w:eastAsia="宋体" w:cs="宋体"/>
                <w:sz w:val="18"/>
                <w:szCs w:val="18"/>
              </w:rPr>
              <w:t>上年同期</w:t>
            </w:r>
          </w:p>
        </w:tc>
        <w:tc>
          <w:tcPr>
            <w:tcW w:w="653"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28CE97">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r>
      <w:tr w14:paraId="25C7AD29">
        <w:trPr>
          <w:trHeight w:val="240" w:hRule="atLeast"/>
        </w:trPr>
        <w:tc>
          <w:tcPr>
            <w:tcW w:w="1071"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BBBAFF"/>
        </w:tc>
        <w:tc>
          <w:tcPr>
            <w:tcW w:w="826" w:type="pct"/>
            <w:tcBorders>
              <w:top w:val="single" w:color="auto" w:sz="2" w:space="0"/>
              <w:left w:val="single" w:color="auto" w:sz="2" w:space="0"/>
              <w:bottom w:val="single" w:color="auto" w:sz="2" w:space="0"/>
              <w:right w:val="single" w:color="auto" w:sz="2" w:space="0"/>
            </w:tcBorders>
            <w:shd w:val="clear" w:color="auto" w:fill="D3D3D3"/>
            <w:vAlign w:val="center"/>
          </w:tcPr>
          <w:p w14:paraId="0001894E">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779" w:type="pct"/>
            <w:tcBorders>
              <w:top w:val="single" w:color="auto" w:sz="2" w:space="0"/>
              <w:left w:val="single" w:color="auto" w:sz="2" w:space="0"/>
              <w:bottom w:val="single" w:color="auto" w:sz="2" w:space="0"/>
              <w:right w:val="single" w:color="auto" w:sz="2" w:space="0"/>
            </w:tcBorders>
            <w:shd w:val="clear" w:color="auto" w:fill="D3D3D3"/>
            <w:vAlign w:val="center"/>
          </w:tcPr>
          <w:p w14:paraId="55FD1F72">
            <w:pPr>
              <w:spacing w:before="40" w:after="40" w:line="240" w:lineRule="exact"/>
              <w:jc w:val="center"/>
              <w:rPr>
                <w:rFonts w:ascii="宋体" w:hAnsi="宋体" w:eastAsia="宋体" w:cs="宋体"/>
                <w:sz w:val="18"/>
                <w:szCs w:val="18"/>
              </w:rPr>
            </w:pPr>
            <w:r>
              <w:rPr>
                <w:rFonts w:ascii="宋体" w:hAnsi="宋体" w:eastAsia="宋体" w:cs="宋体"/>
                <w:sz w:val="18"/>
                <w:szCs w:val="18"/>
              </w:rPr>
              <w:t>占营业收入比重</w:t>
            </w:r>
          </w:p>
        </w:tc>
        <w:tc>
          <w:tcPr>
            <w:tcW w:w="866" w:type="pct"/>
            <w:tcBorders>
              <w:top w:val="single" w:color="auto" w:sz="2" w:space="0"/>
              <w:left w:val="single" w:color="auto" w:sz="2" w:space="0"/>
              <w:bottom w:val="single" w:color="auto" w:sz="2" w:space="0"/>
              <w:right w:val="single" w:color="auto" w:sz="2" w:space="0"/>
            </w:tcBorders>
            <w:shd w:val="clear" w:color="auto" w:fill="D3D3D3"/>
            <w:vAlign w:val="center"/>
          </w:tcPr>
          <w:p w14:paraId="6AAC3566">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02" w:type="pct"/>
            <w:tcBorders>
              <w:top w:val="single" w:color="auto" w:sz="2" w:space="0"/>
              <w:left w:val="single" w:color="auto" w:sz="2" w:space="0"/>
              <w:bottom w:val="single" w:color="auto" w:sz="2" w:space="0"/>
              <w:right w:val="single" w:color="auto" w:sz="2" w:space="0"/>
            </w:tcBorders>
            <w:shd w:val="clear" w:color="auto" w:fill="D3D3D3"/>
            <w:vAlign w:val="center"/>
          </w:tcPr>
          <w:p w14:paraId="6B8981B6">
            <w:pPr>
              <w:spacing w:before="40" w:after="40" w:line="240" w:lineRule="exact"/>
              <w:jc w:val="center"/>
              <w:rPr>
                <w:rFonts w:ascii="宋体" w:hAnsi="宋体" w:eastAsia="宋体" w:cs="宋体"/>
                <w:sz w:val="18"/>
                <w:szCs w:val="18"/>
              </w:rPr>
            </w:pPr>
            <w:r>
              <w:rPr>
                <w:rFonts w:ascii="宋体" w:hAnsi="宋体" w:eastAsia="宋体" w:cs="宋体"/>
                <w:sz w:val="18"/>
                <w:szCs w:val="18"/>
              </w:rPr>
              <w:t>占营业收入比重</w:t>
            </w:r>
          </w:p>
        </w:tc>
        <w:tc>
          <w:tcPr>
            <w:tcW w:w="653"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422665"/>
        </w:tc>
      </w:tr>
      <w:tr w14:paraId="3D73D013">
        <w:trPr>
          <w:trHeight w:val="240" w:hRule="atLeast"/>
        </w:trPr>
        <w:tc>
          <w:tcPr>
            <w:tcW w:w="1071" w:type="pct"/>
            <w:tcBorders>
              <w:top w:val="single" w:color="auto" w:sz="2" w:space="0"/>
              <w:left w:val="single" w:color="auto" w:sz="2" w:space="0"/>
              <w:bottom w:val="single" w:color="auto" w:sz="2" w:space="0"/>
              <w:right w:val="single" w:color="auto" w:sz="2" w:space="0"/>
            </w:tcBorders>
            <w:shd w:val="clear" w:color="auto" w:fill="D3D3D3"/>
            <w:vAlign w:val="center"/>
          </w:tcPr>
          <w:p w14:paraId="784AC7C5">
            <w:pPr>
              <w:spacing w:before="40" w:after="40" w:line="240" w:lineRule="exact"/>
              <w:rPr>
                <w:rFonts w:ascii="宋体" w:hAnsi="宋体" w:eastAsia="宋体" w:cs="宋体"/>
                <w:sz w:val="18"/>
                <w:szCs w:val="18"/>
              </w:rPr>
            </w:pPr>
            <w:r>
              <w:rPr>
                <w:rFonts w:ascii="宋体" w:hAnsi="宋体" w:eastAsia="宋体" w:cs="宋体"/>
                <w:sz w:val="18"/>
                <w:szCs w:val="18"/>
              </w:rPr>
              <w:t>营业收入合计</w:t>
            </w:r>
          </w:p>
        </w:tc>
        <w:tc>
          <w:tcPr>
            <w:tcW w:w="826" w:type="pct"/>
            <w:tcBorders>
              <w:top w:val="single" w:color="auto" w:sz="2" w:space="0"/>
              <w:left w:val="single" w:color="auto" w:sz="2" w:space="0"/>
              <w:bottom w:val="single" w:color="auto" w:sz="2" w:space="0"/>
              <w:right w:val="single" w:color="auto" w:sz="2" w:space="0"/>
            </w:tcBorders>
            <w:vAlign w:val="center"/>
          </w:tcPr>
          <w:p w14:paraId="67DED483">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779" w:type="pct"/>
            <w:tcBorders>
              <w:top w:val="single" w:color="auto" w:sz="2" w:space="0"/>
              <w:left w:val="single" w:color="auto" w:sz="2" w:space="0"/>
              <w:bottom w:val="single" w:color="auto" w:sz="2" w:space="0"/>
              <w:right w:val="single" w:color="auto" w:sz="2" w:space="0"/>
            </w:tcBorders>
            <w:shd w:val="clear" w:color="auto" w:fill="D3D3D3"/>
            <w:vAlign w:val="center"/>
          </w:tcPr>
          <w:p w14:paraId="6A8BA0D8">
            <w:pPr>
              <w:spacing w:before="40" w:after="40" w:line="240" w:lineRule="exact"/>
              <w:jc w:val="right"/>
              <w:rPr>
                <w:rFonts w:ascii="宋体" w:hAnsi="宋体" w:eastAsia="宋体" w:cs="宋体"/>
                <w:sz w:val="18"/>
                <w:szCs w:val="18"/>
                <w:shd w:val="clear" w:color="auto" w:fill="D3D3D3"/>
              </w:rPr>
            </w:pPr>
            <w:r>
              <w:rPr>
                <w:rFonts w:ascii="宋体" w:hAnsi="宋体" w:eastAsia="宋体" w:cs="宋体"/>
                <w:sz w:val="18"/>
                <w:szCs w:val="18"/>
                <w:shd w:val="clear" w:color="auto" w:fill="D3D3D3"/>
              </w:rPr>
              <w:t>100%</w:t>
            </w:r>
          </w:p>
        </w:tc>
        <w:tc>
          <w:tcPr>
            <w:tcW w:w="866" w:type="pct"/>
            <w:tcBorders>
              <w:top w:val="single" w:color="auto" w:sz="2" w:space="0"/>
              <w:left w:val="single" w:color="auto" w:sz="2" w:space="0"/>
              <w:bottom w:val="single" w:color="auto" w:sz="2" w:space="0"/>
              <w:right w:val="single" w:color="auto" w:sz="2" w:space="0"/>
            </w:tcBorders>
            <w:vAlign w:val="center"/>
          </w:tcPr>
          <w:p w14:paraId="09A676F5">
            <w:pPr>
              <w:spacing w:line="240" w:lineRule="exact"/>
              <w:jc w:val="right"/>
              <w:rPr>
                <w:rFonts w:ascii="宋体" w:hAnsi="宋体" w:eastAsia="宋体" w:cs="宋体"/>
                <w:sz w:val="18"/>
                <w:szCs w:val="18"/>
              </w:rPr>
            </w:pPr>
            <w:r>
              <w:rPr>
                <w:rFonts w:ascii="宋体" w:hAnsi="宋体" w:eastAsia="宋体" w:cs="宋体"/>
                <w:sz w:val="18"/>
                <w:szCs w:val="18"/>
              </w:rPr>
              <w:t>147,414,128.78</w:t>
            </w:r>
          </w:p>
        </w:tc>
        <w:tc>
          <w:tcPr>
            <w:tcW w:w="802" w:type="pct"/>
            <w:tcBorders>
              <w:top w:val="single" w:color="auto" w:sz="2" w:space="0"/>
              <w:left w:val="single" w:color="auto" w:sz="2" w:space="0"/>
              <w:bottom w:val="single" w:color="auto" w:sz="2" w:space="0"/>
              <w:right w:val="single" w:color="auto" w:sz="2" w:space="0"/>
            </w:tcBorders>
            <w:shd w:val="clear" w:color="auto" w:fill="D3D3D3"/>
            <w:vAlign w:val="center"/>
          </w:tcPr>
          <w:p w14:paraId="522E4B7A">
            <w:pPr>
              <w:spacing w:before="40" w:after="40" w:line="240" w:lineRule="exact"/>
              <w:jc w:val="right"/>
              <w:rPr>
                <w:rFonts w:ascii="宋体" w:hAnsi="宋体" w:eastAsia="宋体" w:cs="宋体"/>
                <w:sz w:val="18"/>
                <w:szCs w:val="18"/>
                <w:shd w:val="clear" w:color="auto" w:fill="D3D3D3"/>
              </w:rPr>
            </w:pPr>
            <w:r>
              <w:rPr>
                <w:rFonts w:ascii="宋体" w:hAnsi="宋体" w:eastAsia="宋体" w:cs="宋体"/>
                <w:sz w:val="18"/>
                <w:szCs w:val="18"/>
                <w:shd w:val="clear" w:color="auto" w:fill="D3D3D3"/>
              </w:rPr>
              <w:t>100%</w:t>
            </w:r>
          </w:p>
        </w:tc>
        <w:tc>
          <w:tcPr>
            <w:tcW w:w="653" w:type="pct"/>
            <w:tcBorders>
              <w:top w:val="single" w:color="auto" w:sz="2" w:space="0"/>
              <w:left w:val="single" w:color="auto" w:sz="2" w:space="0"/>
              <w:bottom w:val="single" w:color="auto" w:sz="2" w:space="0"/>
              <w:right w:val="single" w:color="auto" w:sz="2" w:space="0"/>
            </w:tcBorders>
            <w:vAlign w:val="center"/>
          </w:tcPr>
          <w:p w14:paraId="5512632E">
            <w:pPr>
              <w:spacing w:line="240" w:lineRule="exact"/>
              <w:jc w:val="right"/>
              <w:rPr>
                <w:rFonts w:ascii="宋体" w:hAnsi="宋体" w:eastAsia="宋体" w:cs="宋体"/>
                <w:sz w:val="18"/>
                <w:szCs w:val="18"/>
              </w:rPr>
            </w:pPr>
            <w:r>
              <w:rPr>
                <w:rFonts w:ascii="宋体" w:hAnsi="宋体" w:eastAsia="宋体" w:cs="宋体"/>
                <w:sz w:val="18"/>
                <w:szCs w:val="18"/>
              </w:rPr>
              <w:t>30.99%</w:t>
            </w:r>
          </w:p>
        </w:tc>
      </w:tr>
      <w:tr w14:paraId="35489EE0">
        <w:trPr>
          <w:trHeight w:val="240" w:hRule="atLeast"/>
        </w:trPr>
        <w:tc>
          <w:tcPr>
            <w:tcW w:w="5000" w:type="pct"/>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1F02461E">
            <w:pPr>
              <w:spacing w:before="40" w:after="40" w:line="240" w:lineRule="exact"/>
              <w:rPr>
                <w:rFonts w:ascii="宋体" w:hAnsi="宋体" w:eastAsia="宋体" w:cs="宋体"/>
                <w:sz w:val="18"/>
                <w:szCs w:val="18"/>
              </w:rPr>
            </w:pPr>
            <w:r>
              <w:rPr>
                <w:rFonts w:ascii="宋体" w:hAnsi="宋体" w:eastAsia="宋体" w:cs="宋体"/>
                <w:sz w:val="18"/>
                <w:szCs w:val="18"/>
              </w:rPr>
              <w:t>分行业</w:t>
            </w:r>
          </w:p>
        </w:tc>
      </w:tr>
      <w:tr w14:paraId="552972D1">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3E03D722">
            <w:pPr>
              <w:spacing w:line="240" w:lineRule="exact"/>
              <w:rPr>
                <w:rFonts w:ascii="宋体" w:hAnsi="宋体" w:eastAsia="宋体" w:cs="宋体"/>
                <w:sz w:val="18"/>
                <w:szCs w:val="18"/>
              </w:rPr>
            </w:pPr>
            <w:r>
              <w:rPr>
                <w:rFonts w:ascii="宋体" w:hAnsi="宋体" w:eastAsia="宋体" w:cs="宋体"/>
                <w:sz w:val="18"/>
                <w:szCs w:val="18"/>
              </w:rPr>
              <w:t>主营啤酒</w:t>
            </w:r>
          </w:p>
        </w:tc>
        <w:tc>
          <w:tcPr>
            <w:tcW w:w="826" w:type="pct"/>
            <w:tcBorders>
              <w:top w:val="single" w:color="auto" w:sz="2" w:space="0"/>
              <w:left w:val="single" w:color="auto" w:sz="2" w:space="0"/>
              <w:bottom w:val="single" w:color="auto" w:sz="2" w:space="0"/>
              <w:right w:val="single" w:color="auto" w:sz="2" w:space="0"/>
            </w:tcBorders>
            <w:vAlign w:val="center"/>
          </w:tcPr>
          <w:p w14:paraId="34611270">
            <w:pPr>
              <w:spacing w:line="240" w:lineRule="exact"/>
              <w:jc w:val="right"/>
              <w:rPr>
                <w:rFonts w:ascii="宋体" w:hAnsi="宋体" w:eastAsia="宋体" w:cs="宋体"/>
                <w:sz w:val="18"/>
                <w:szCs w:val="18"/>
              </w:rPr>
            </w:pPr>
            <w:r>
              <w:rPr>
                <w:rFonts w:ascii="宋体" w:hAnsi="宋体" w:eastAsia="宋体" w:cs="宋体"/>
                <w:sz w:val="18"/>
                <w:szCs w:val="18"/>
              </w:rPr>
              <w:t>192,572,592.94</w:t>
            </w:r>
          </w:p>
        </w:tc>
        <w:tc>
          <w:tcPr>
            <w:tcW w:w="779" w:type="pct"/>
            <w:tcBorders>
              <w:top w:val="single" w:color="auto" w:sz="2" w:space="0"/>
              <w:left w:val="single" w:color="auto" w:sz="2" w:space="0"/>
              <w:bottom w:val="single" w:color="auto" w:sz="2" w:space="0"/>
              <w:right w:val="single" w:color="auto" w:sz="2" w:space="0"/>
            </w:tcBorders>
            <w:vAlign w:val="center"/>
          </w:tcPr>
          <w:p w14:paraId="0B0D196C">
            <w:pPr>
              <w:spacing w:line="240" w:lineRule="exact"/>
              <w:jc w:val="right"/>
              <w:rPr>
                <w:rFonts w:ascii="宋体" w:hAnsi="宋体" w:eastAsia="宋体" w:cs="宋体"/>
                <w:sz w:val="18"/>
                <w:szCs w:val="18"/>
              </w:rPr>
            </w:pPr>
            <w:r>
              <w:rPr>
                <w:rFonts w:ascii="宋体" w:hAnsi="宋体" w:eastAsia="宋体" w:cs="宋体"/>
                <w:sz w:val="18"/>
                <w:szCs w:val="18"/>
              </w:rPr>
              <w:t>99.73%</w:t>
            </w:r>
          </w:p>
        </w:tc>
        <w:tc>
          <w:tcPr>
            <w:tcW w:w="866" w:type="pct"/>
            <w:tcBorders>
              <w:top w:val="single" w:color="auto" w:sz="2" w:space="0"/>
              <w:left w:val="single" w:color="auto" w:sz="2" w:space="0"/>
              <w:bottom w:val="single" w:color="auto" w:sz="2" w:space="0"/>
              <w:right w:val="single" w:color="auto" w:sz="2" w:space="0"/>
            </w:tcBorders>
            <w:vAlign w:val="center"/>
          </w:tcPr>
          <w:p w14:paraId="109509B2">
            <w:pPr>
              <w:spacing w:line="240" w:lineRule="exact"/>
              <w:jc w:val="right"/>
              <w:rPr>
                <w:rFonts w:ascii="宋体" w:hAnsi="宋体" w:eastAsia="宋体" w:cs="宋体"/>
                <w:sz w:val="18"/>
                <w:szCs w:val="18"/>
              </w:rPr>
            </w:pPr>
            <w:r>
              <w:rPr>
                <w:rFonts w:ascii="宋体" w:hAnsi="宋体" w:eastAsia="宋体" w:cs="宋体"/>
                <w:sz w:val="18"/>
                <w:szCs w:val="18"/>
              </w:rPr>
              <w:t>147,046,328.78</w:t>
            </w:r>
          </w:p>
        </w:tc>
        <w:tc>
          <w:tcPr>
            <w:tcW w:w="802" w:type="pct"/>
            <w:tcBorders>
              <w:top w:val="single" w:color="auto" w:sz="2" w:space="0"/>
              <w:left w:val="single" w:color="auto" w:sz="2" w:space="0"/>
              <w:bottom w:val="single" w:color="auto" w:sz="2" w:space="0"/>
              <w:right w:val="single" w:color="auto" w:sz="2" w:space="0"/>
            </w:tcBorders>
            <w:vAlign w:val="center"/>
          </w:tcPr>
          <w:p w14:paraId="40A1B3C0">
            <w:pPr>
              <w:spacing w:line="240" w:lineRule="exact"/>
              <w:jc w:val="right"/>
              <w:rPr>
                <w:rFonts w:ascii="宋体" w:hAnsi="宋体" w:eastAsia="宋体" w:cs="宋体"/>
                <w:sz w:val="18"/>
                <w:szCs w:val="18"/>
              </w:rPr>
            </w:pPr>
            <w:r>
              <w:rPr>
                <w:rFonts w:ascii="宋体" w:hAnsi="宋体" w:eastAsia="宋体" w:cs="宋体"/>
                <w:sz w:val="18"/>
                <w:szCs w:val="18"/>
              </w:rPr>
              <w:t>99.75%</w:t>
            </w:r>
          </w:p>
        </w:tc>
        <w:tc>
          <w:tcPr>
            <w:tcW w:w="653" w:type="pct"/>
            <w:tcBorders>
              <w:top w:val="single" w:color="auto" w:sz="2" w:space="0"/>
              <w:left w:val="single" w:color="auto" w:sz="2" w:space="0"/>
              <w:bottom w:val="single" w:color="auto" w:sz="2" w:space="0"/>
              <w:right w:val="single" w:color="auto" w:sz="2" w:space="0"/>
            </w:tcBorders>
            <w:vAlign w:val="center"/>
          </w:tcPr>
          <w:p w14:paraId="1679AE89">
            <w:pPr>
              <w:spacing w:line="240" w:lineRule="exact"/>
              <w:jc w:val="right"/>
              <w:rPr>
                <w:rFonts w:ascii="宋体" w:hAnsi="宋体" w:eastAsia="宋体" w:cs="宋体"/>
                <w:sz w:val="18"/>
                <w:szCs w:val="18"/>
              </w:rPr>
            </w:pPr>
            <w:r>
              <w:rPr>
                <w:rFonts w:ascii="宋体" w:hAnsi="宋体" w:eastAsia="宋体" w:cs="宋体"/>
                <w:sz w:val="18"/>
                <w:szCs w:val="18"/>
              </w:rPr>
              <w:t>30.96%</w:t>
            </w:r>
          </w:p>
        </w:tc>
      </w:tr>
      <w:tr w14:paraId="7F1217F5">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3226ACD8">
            <w:pPr>
              <w:spacing w:line="240" w:lineRule="exact"/>
              <w:rPr>
                <w:rFonts w:ascii="宋体" w:hAnsi="宋体" w:eastAsia="宋体" w:cs="宋体"/>
                <w:sz w:val="18"/>
                <w:szCs w:val="18"/>
              </w:rPr>
            </w:pPr>
            <w:r>
              <w:rPr>
                <w:rFonts w:ascii="宋体" w:hAnsi="宋体" w:eastAsia="宋体" w:cs="宋体"/>
                <w:sz w:val="18"/>
                <w:szCs w:val="18"/>
              </w:rPr>
              <w:t>其他业务</w:t>
            </w:r>
          </w:p>
        </w:tc>
        <w:tc>
          <w:tcPr>
            <w:tcW w:w="826" w:type="pct"/>
            <w:tcBorders>
              <w:top w:val="single" w:color="auto" w:sz="2" w:space="0"/>
              <w:left w:val="single" w:color="auto" w:sz="2" w:space="0"/>
              <w:bottom w:val="single" w:color="auto" w:sz="2" w:space="0"/>
              <w:right w:val="single" w:color="auto" w:sz="2" w:space="0"/>
            </w:tcBorders>
            <w:vAlign w:val="center"/>
          </w:tcPr>
          <w:p w14:paraId="10C1AA0C">
            <w:pPr>
              <w:spacing w:line="240" w:lineRule="exact"/>
              <w:jc w:val="right"/>
              <w:rPr>
                <w:rFonts w:ascii="宋体" w:hAnsi="宋体" w:eastAsia="宋体" w:cs="宋体"/>
                <w:sz w:val="18"/>
                <w:szCs w:val="18"/>
              </w:rPr>
            </w:pPr>
            <w:r>
              <w:rPr>
                <w:rFonts w:ascii="宋体" w:hAnsi="宋体" w:eastAsia="宋体" w:cs="宋体"/>
                <w:sz w:val="18"/>
                <w:szCs w:val="18"/>
              </w:rPr>
              <w:t>27,000.00</w:t>
            </w:r>
          </w:p>
        </w:tc>
        <w:tc>
          <w:tcPr>
            <w:tcW w:w="779" w:type="pct"/>
            <w:tcBorders>
              <w:top w:val="single" w:color="auto" w:sz="2" w:space="0"/>
              <w:left w:val="single" w:color="auto" w:sz="2" w:space="0"/>
              <w:bottom w:val="single" w:color="auto" w:sz="2" w:space="0"/>
              <w:right w:val="single" w:color="auto" w:sz="2" w:space="0"/>
            </w:tcBorders>
            <w:vAlign w:val="center"/>
          </w:tcPr>
          <w:p w14:paraId="70A53E16">
            <w:pPr>
              <w:spacing w:line="240" w:lineRule="exact"/>
              <w:jc w:val="right"/>
              <w:rPr>
                <w:rFonts w:ascii="宋体" w:hAnsi="宋体" w:eastAsia="宋体" w:cs="宋体"/>
                <w:sz w:val="18"/>
                <w:szCs w:val="18"/>
              </w:rPr>
            </w:pPr>
            <w:r>
              <w:rPr>
                <w:rFonts w:ascii="宋体" w:hAnsi="宋体" w:eastAsia="宋体" w:cs="宋体"/>
                <w:sz w:val="18"/>
                <w:szCs w:val="18"/>
              </w:rPr>
              <w:t>0.27%</w:t>
            </w:r>
          </w:p>
        </w:tc>
        <w:tc>
          <w:tcPr>
            <w:tcW w:w="866" w:type="pct"/>
            <w:tcBorders>
              <w:top w:val="single" w:color="auto" w:sz="2" w:space="0"/>
              <w:left w:val="single" w:color="auto" w:sz="2" w:space="0"/>
              <w:bottom w:val="single" w:color="auto" w:sz="2" w:space="0"/>
              <w:right w:val="single" w:color="auto" w:sz="2" w:space="0"/>
            </w:tcBorders>
            <w:vAlign w:val="center"/>
          </w:tcPr>
          <w:p w14:paraId="0E4BC6E2">
            <w:pPr>
              <w:spacing w:line="240" w:lineRule="exact"/>
              <w:jc w:val="right"/>
              <w:rPr>
                <w:rFonts w:ascii="宋体" w:hAnsi="宋体" w:eastAsia="宋体" w:cs="宋体"/>
                <w:sz w:val="18"/>
                <w:szCs w:val="18"/>
              </w:rPr>
            </w:pPr>
            <w:r>
              <w:rPr>
                <w:rFonts w:ascii="宋体" w:hAnsi="宋体" w:eastAsia="宋体" w:cs="宋体"/>
                <w:sz w:val="18"/>
                <w:szCs w:val="18"/>
              </w:rPr>
              <w:t>367,800.00</w:t>
            </w:r>
          </w:p>
        </w:tc>
        <w:tc>
          <w:tcPr>
            <w:tcW w:w="802" w:type="pct"/>
            <w:tcBorders>
              <w:top w:val="single" w:color="auto" w:sz="2" w:space="0"/>
              <w:left w:val="single" w:color="auto" w:sz="2" w:space="0"/>
              <w:bottom w:val="single" w:color="auto" w:sz="2" w:space="0"/>
              <w:right w:val="single" w:color="auto" w:sz="2" w:space="0"/>
            </w:tcBorders>
            <w:vAlign w:val="center"/>
          </w:tcPr>
          <w:p w14:paraId="0C198D5E">
            <w:pPr>
              <w:spacing w:line="240" w:lineRule="exact"/>
              <w:jc w:val="right"/>
              <w:rPr>
                <w:rFonts w:ascii="宋体" w:hAnsi="宋体" w:eastAsia="宋体" w:cs="宋体"/>
                <w:sz w:val="18"/>
                <w:szCs w:val="18"/>
              </w:rPr>
            </w:pPr>
            <w:r>
              <w:rPr>
                <w:rFonts w:ascii="宋体" w:hAnsi="宋体" w:eastAsia="宋体" w:cs="宋体"/>
                <w:sz w:val="18"/>
                <w:szCs w:val="18"/>
              </w:rPr>
              <w:t>0.25%</w:t>
            </w:r>
          </w:p>
        </w:tc>
        <w:tc>
          <w:tcPr>
            <w:tcW w:w="653" w:type="pct"/>
            <w:tcBorders>
              <w:top w:val="single" w:color="auto" w:sz="2" w:space="0"/>
              <w:left w:val="single" w:color="auto" w:sz="2" w:space="0"/>
              <w:bottom w:val="single" w:color="auto" w:sz="2" w:space="0"/>
              <w:right w:val="single" w:color="auto" w:sz="2" w:space="0"/>
            </w:tcBorders>
            <w:vAlign w:val="center"/>
          </w:tcPr>
          <w:p w14:paraId="4B510AA4">
            <w:pPr>
              <w:spacing w:line="240" w:lineRule="exact"/>
              <w:jc w:val="right"/>
              <w:rPr>
                <w:rFonts w:ascii="宋体" w:hAnsi="宋体" w:eastAsia="宋体" w:cs="宋体"/>
                <w:sz w:val="18"/>
                <w:szCs w:val="18"/>
              </w:rPr>
            </w:pPr>
            <w:r>
              <w:rPr>
                <w:rFonts w:ascii="宋体" w:hAnsi="宋体" w:eastAsia="宋体" w:cs="宋体"/>
                <w:sz w:val="18"/>
                <w:szCs w:val="18"/>
              </w:rPr>
              <w:t>43.28%</w:t>
            </w:r>
          </w:p>
        </w:tc>
      </w:tr>
      <w:tr w14:paraId="2394CE6C">
        <w:trPr>
          <w:trHeight w:val="240" w:hRule="atLeast"/>
        </w:trPr>
        <w:tc>
          <w:tcPr>
            <w:tcW w:w="5000" w:type="pct"/>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742DFECC">
            <w:pPr>
              <w:spacing w:before="40" w:after="40" w:line="240" w:lineRule="exact"/>
              <w:rPr>
                <w:rFonts w:ascii="宋体" w:hAnsi="宋体" w:eastAsia="宋体" w:cs="宋体"/>
                <w:sz w:val="18"/>
                <w:szCs w:val="18"/>
              </w:rPr>
            </w:pPr>
            <w:r>
              <w:rPr>
                <w:rFonts w:ascii="宋体" w:hAnsi="宋体" w:eastAsia="宋体" w:cs="宋体"/>
                <w:sz w:val="18"/>
                <w:szCs w:val="18"/>
              </w:rPr>
              <w:t>分产品</w:t>
            </w:r>
          </w:p>
        </w:tc>
      </w:tr>
      <w:tr w14:paraId="72E63245">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1EBFD7E2">
            <w:pPr>
              <w:spacing w:line="240" w:lineRule="exact"/>
              <w:rPr>
                <w:rFonts w:ascii="宋体" w:hAnsi="宋体" w:eastAsia="宋体" w:cs="宋体"/>
                <w:sz w:val="18"/>
                <w:szCs w:val="18"/>
              </w:rPr>
            </w:pPr>
            <w:r>
              <w:rPr>
                <w:rFonts w:hint="eastAsia" w:ascii="宋体" w:hAnsi="宋体" w:eastAsia="宋体" w:cs="宋体"/>
                <w:sz w:val="18"/>
                <w:szCs w:val="18"/>
              </w:rPr>
              <w:t>普通瓶装啤酒 628m1</w:t>
            </w:r>
          </w:p>
        </w:tc>
        <w:tc>
          <w:tcPr>
            <w:tcW w:w="826" w:type="pct"/>
            <w:tcBorders>
              <w:top w:val="single" w:color="auto" w:sz="2" w:space="0"/>
              <w:left w:val="single" w:color="auto" w:sz="2" w:space="0"/>
              <w:bottom w:val="single" w:color="auto" w:sz="2" w:space="0"/>
              <w:right w:val="single" w:color="auto" w:sz="2" w:space="0"/>
            </w:tcBorders>
            <w:vAlign w:val="center"/>
          </w:tcPr>
          <w:p w14:paraId="40C9B9FD">
            <w:pPr>
              <w:spacing w:line="240" w:lineRule="exact"/>
              <w:jc w:val="right"/>
              <w:rPr>
                <w:rFonts w:ascii="宋体" w:hAnsi="宋体" w:eastAsia="宋体" w:cs="宋体"/>
                <w:sz w:val="18"/>
                <w:szCs w:val="18"/>
              </w:rPr>
            </w:pPr>
            <w:r>
              <w:rPr>
                <w:rFonts w:ascii="宋体" w:hAnsi="宋体" w:eastAsia="宋体" w:cs="宋体"/>
                <w:sz w:val="18"/>
                <w:szCs w:val="18"/>
              </w:rPr>
              <w:t>111,942,955.29</w:t>
            </w:r>
          </w:p>
        </w:tc>
        <w:tc>
          <w:tcPr>
            <w:tcW w:w="779" w:type="pct"/>
            <w:tcBorders>
              <w:top w:val="single" w:color="auto" w:sz="2" w:space="0"/>
              <w:left w:val="single" w:color="auto" w:sz="2" w:space="0"/>
              <w:bottom w:val="single" w:color="auto" w:sz="2" w:space="0"/>
              <w:right w:val="single" w:color="auto" w:sz="2" w:space="0"/>
            </w:tcBorders>
            <w:vAlign w:val="center"/>
          </w:tcPr>
          <w:p w14:paraId="15F1044B">
            <w:pPr>
              <w:spacing w:line="240" w:lineRule="exact"/>
              <w:jc w:val="right"/>
              <w:rPr>
                <w:rFonts w:ascii="宋体" w:hAnsi="宋体" w:eastAsia="宋体" w:cs="宋体"/>
                <w:sz w:val="18"/>
                <w:szCs w:val="18"/>
              </w:rPr>
            </w:pPr>
            <w:r>
              <w:rPr>
                <w:rFonts w:ascii="宋体" w:hAnsi="宋体" w:eastAsia="宋体" w:cs="宋体"/>
                <w:sz w:val="18"/>
                <w:szCs w:val="18"/>
              </w:rPr>
              <w:t>57.97%</w:t>
            </w:r>
          </w:p>
        </w:tc>
        <w:tc>
          <w:tcPr>
            <w:tcW w:w="866" w:type="pct"/>
            <w:tcBorders>
              <w:top w:val="single" w:color="auto" w:sz="2" w:space="0"/>
              <w:left w:val="single" w:color="auto" w:sz="2" w:space="0"/>
              <w:bottom w:val="single" w:color="auto" w:sz="2" w:space="0"/>
              <w:right w:val="single" w:color="auto" w:sz="2" w:space="0"/>
            </w:tcBorders>
            <w:vAlign w:val="center"/>
          </w:tcPr>
          <w:p w14:paraId="5A3E5B81">
            <w:pPr>
              <w:spacing w:line="240" w:lineRule="exact"/>
              <w:jc w:val="right"/>
              <w:rPr>
                <w:rFonts w:ascii="宋体" w:hAnsi="宋体" w:eastAsia="宋体" w:cs="宋体"/>
                <w:sz w:val="18"/>
                <w:szCs w:val="18"/>
              </w:rPr>
            </w:pPr>
            <w:r>
              <w:rPr>
                <w:rFonts w:ascii="宋体" w:hAnsi="宋体" w:eastAsia="宋体" w:cs="宋体"/>
                <w:sz w:val="18"/>
                <w:szCs w:val="18"/>
              </w:rPr>
              <w:t>91,284,415.72</w:t>
            </w:r>
          </w:p>
        </w:tc>
        <w:tc>
          <w:tcPr>
            <w:tcW w:w="802" w:type="pct"/>
            <w:tcBorders>
              <w:top w:val="single" w:color="auto" w:sz="2" w:space="0"/>
              <w:left w:val="single" w:color="auto" w:sz="2" w:space="0"/>
              <w:bottom w:val="single" w:color="auto" w:sz="2" w:space="0"/>
              <w:right w:val="single" w:color="auto" w:sz="2" w:space="0"/>
            </w:tcBorders>
            <w:vAlign w:val="center"/>
          </w:tcPr>
          <w:p w14:paraId="25494ECA">
            <w:pPr>
              <w:spacing w:line="240" w:lineRule="exact"/>
              <w:jc w:val="right"/>
              <w:rPr>
                <w:rFonts w:ascii="宋体" w:hAnsi="宋体" w:eastAsia="宋体" w:cs="宋体"/>
                <w:sz w:val="18"/>
                <w:szCs w:val="18"/>
              </w:rPr>
            </w:pPr>
            <w:r>
              <w:rPr>
                <w:rFonts w:ascii="宋体" w:hAnsi="宋体" w:eastAsia="宋体" w:cs="宋体"/>
                <w:sz w:val="18"/>
                <w:szCs w:val="18"/>
              </w:rPr>
              <w:t>61.92%</w:t>
            </w:r>
          </w:p>
        </w:tc>
        <w:tc>
          <w:tcPr>
            <w:tcW w:w="653" w:type="pct"/>
            <w:tcBorders>
              <w:top w:val="single" w:color="auto" w:sz="2" w:space="0"/>
              <w:left w:val="single" w:color="auto" w:sz="2" w:space="0"/>
              <w:bottom w:val="single" w:color="auto" w:sz="2" w:space="0"/>
              <w:right w:val="single" w:color="auto" w:sz="2" w:space="0"/>
            </w:tcBorders>
            <w:vAlign w:val="center"/>
          </w:tcPr>
          <w:p w14:paraId="08605694">
            <w:pPr>
              <w:spacing w:line="240" w:lineRule="exact"/>
              <w:jc w:val="right"/>
              <w:rPr>
                <w:rFonts w:ascii="宋体" w:hAnsi="宋体" w:eastAsia="宋体" w:cs="宋体"/>
                <w:sz w:val="18"/>
                <w:szCs w:val="18"/>
              </w:rPr>
            </w:pPr>
            <w:r>
              <w:rPr>
                <w:rFonts w:ascii="宋体" w:hAnsi="宋体" w:eastAsia="宋体" w:cs="宋体"/>
                <w:sz w:val="18"/>
                <w:szCs w:val="18"/>
              </w:rPr>
              <w:t>22.63%</w:t>
            </w:r>
          </w:p>
        </w:tc>
      </w:tr>
      <w:tr w14:paraId="510271F6">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04237E5A">
            <w:pPr>
              <w:spacing w:line="240" w:lineRule="exact"/>
              <w:rPr>
                <w:rFonts w:ascii="宋体" w:hAnsi="宋体" w:eastAsia="宋体" w:cs="宋体"/>
                <w:sz w:val="18"/>
                <w:szCs w:val="18"/>
              </w:rPr>
            </w:pPr>
            <w:r>
              <w:rPr>
                <w:rFonts w:hint="eastAsia" w:ascii="宋体" w:hAnsi="宋体" w:eastAsia="宋体" w:cs="宋体"/>
                <w:sz w:val="18"/>
                <w:szCs w:val="18"/>
              </w:rPr>
              <w:t>绿色听装啤酒355m1</w:t>
            </w:r>
          </w:p>
        </w:tc>
        <w:tc>
          <w:tcPr>
            <w:tcW w:w="826" w:type="pct"/>
            <w:tcBorders>
              <w:top w:val="single" w:color="auto" w:sz="2" w:space="0"/>
              <w:left w:val="single" w:color="auto" w:sz="2" w:space="0"/>
              <w:bottom w:val="single" w:color="auto" w:sz="2" w:space="0"/>
              <w:right w:val="single" w:color="auto" w:sz="2" w:space="0"/>
            </w:tcBorders>
            <w:vAlign w:val="center"/>
          </w:tcPr>
          <w:p w14:paraId="60B2EAC8">
            <w:pPr>
              <w:spacing w:line="240" w:lineRule="exact"/>
              <w:jc w:val="right"/>
              <w:rPr>
                <w:rFonts w:ascii="宋体" w:hAnsi="宋体" w:eastAsia="宋体" w:cs="宋体"/>
                <w:sz w:val="18"/>
                <w:szCs w:val="18"/>
              </w:rPr>
            </w:pPr>
            <w:r>
              <w:rPr>
                <w:rFonts w:ascii="宋体" w:hAnsi="宋体" w:eastAsia="宋体" w:cs="宋体"/>
                <w:sz w:val="18"/>
                <w:szCs w:val="18"/>
              </w:rPr>
              <w:t>46,980,353.98</w:t>
            </w:r>
          </w:p>
        </w:tc>
        <w:tc>
          <w:tcPr>
            <w:tcW w:w="779" w:type="pct"/>
            <w:tcBorders>
              <w:top w:val="single" w:color="auto" w:sz="2" w:space="0"/>
              <w:left w:val="single" w:color="auto" w:sz="2" w:space="0"/>
              <w:bottom w:val="single" w:color="auto" w:sz="2" w:space="0"/>
              <w:right w:val="single" w:color="auto" w:sz="2" w:space="0"/>
            </w:tcBorders>
            <w:vAlign w:val="center"/>
          </w:tcPr>
          <w:p w14:paraId="4AE5DB50">
            <w:pPr>
              <w:spacing w:line="240" w:lineRule="exact"/>
              <w:jc w:val="right"/>
              <w:rPr>
                <w:rFonts w:ascii="宋体" w:hAnsi="宋体" w:eastAsia="宋体" w:cs="宋体"/>
                <w:sz w:val="18"/>
                <w:szCs w:val="18"/>
              </w:rPr>
            </w:pPr>
            <w:r>
              <w:rPr>
                <w:rFonts w:ascii="宋体" w:hAnsi="宋体" w:eastAsia="宋体" w:cs="宋体"/>
                <w:sz w:val="18"/>
                <w:szCs w:val="18"/>
              </w:rPr>
              <w:t>24.33%</w:t>
            </w:r>
          </w:p>
        </w:tc>
        <w:tc>
          <w:tcPr>
            <w:tcW w:w="866" w:type="pct"/>
            <w:tcBorders>
              <w:top w:val="single" w:color="auto" w:sz="2" w:space="0"/>
              <w:left w:val="single" w:color="auto" w:sz="2" w:space="0"/>
              <w:bottom w:val="single" w:color="auto" w:sz="2" w:space="0"/>
              <w:right w:val="single" w:color="auto" w:sz="2" w:space="0"/>
            </w:tcBorders>
            <w:vAlign w:val="center"/>
          </w:tcPr>
          <w:p w14:paraId="6F1B720A">
            <w:pPr>
              <w:spacing w:line="240" w:lineRule="exact"/>
              <w:jc w:val="right"/>
              <w:rPr>
                <w:rFonts w:ascii="宋体" w:hAnsi="宋体" w:eastAsia="宋体" w:cs="宋体"/>
                <w:sz w:val="18"/>
                <w:szCs w:val="18"/>
              </w:rPr>
            </w:pPr>
            <w:r>
              <w:rPr>
                <w:rFonts w:ascii="宋体" w:hAnsi="宋体" w:eastAsia="宋体" w:cs="宋体"/>
                <w:sz w:val="18"/>
                <w:szCs w:val="18"/>
              </w:rPr>
              <w:t>46,740,512.57</w:t>
            </w:r>
          </w:p>
        </w:tc>
        <w:tc>
          <w:tcPr>
            <w:tcW w:w="802" w:type="pct"/>
            <w:tcBorders>
              <w:top w:val="single" w:color="auto" w:sz="2" w:space="0"/>
              <w:left w:val="single" w:color="auto" w:sz="2" w:space="0"/>
              <w:bottom w:val="single" w:color="auto" w:sz="2" w:space="0"/>
              <w:right w:val="single" w:color="auto" w:sz="2" w:space="0"/>
            </w:tcBorders>
            <w:vAlign w:val="center"/>
          </w:tcPr>
          <w:p w14:paraId="0AF2CBA5">
            <w:pPr>
              <w:spacing w:line="240" w:lineRule="exact"/>
              <w:jc w:val="right"/>
              <w:rPr>
                <w:rFonts w:ascii="宋体" w:hAnsi="宋体" w:eastAsia="宋体" w:cs="宋体"/>
                <w:sz w:val="18"/>
                <w:szCs w:val="18"/>
              </w:rPr>
            </w:pPr>
            <w:r>
              <w:rPr>
                <w:rFonts w:ascii="宋体" w:hAnsi="宋体" w:eastAsia="宋体" w:cs="宋体"/>
                <w:sz w:val="18"/>
                <w:szCs w:val="18"/>
              </w:rPr>
              <w:t>31.71%</w:t>
            </w:r>
          </w:p>
        </w:tc>
        <w:tc>
          <w:tcPr>
            <w:tcW w:w="653" w:type="pct"/>
            <w:tcBorders>
              <w:top w:val="single" w:color="auto" w:sz="2" w:space="0"/>
              <w:left w:val="single" w:color="auto" w:sz="2" w:space="0"/>
              <w:bottom w:val="single" w:color="auto" w:sz="2" w:space="0"/>
              <w:right w:val="single" w:color="auto" w:sz="2" w:space="0"/>
            </w:tcBorders>
            <w:vAlign w:val="center"/>
          </w:tcPr>
          <w:p w14:paraId="1F7B1C89">
            <w:pPr>
              <w:spacing w:line="240" w:lineRule="exact"/>
              <w:jc w:val="right"/>
              <w:rPr>
                <w:rFonts w:ascii="宋体" w:hAnsi="宋体" w:eastAsia="宋体" w:cs="宋体"/>
                <w:sz w:val="18"/>
                <w:szCs w:val="18"/>
              </w:rPr>
            </w:pPr>
            <w:r>
              <w:rPr>
                <w:rFonts w:ascii="宋体" w:hAnsi="宋体" w:eastAsia="宋体" w:cs="宋体"/>
                <w:sz w:val="18"/>
                <w:szCs w:val="18"/>
              </w:rPr>
              <w:t>0.51%</w:t>
            </w:r>
          </w:p>
        </w:tc>
      </w:tr>
      <w:tr w14:paraId="6140AE93">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65DABB10">
            <w:pPr>
              <w:spacing w:line="240" w:lineRule="exact"/>
              <w:rPr>
                <w:rFonts w:ascii="宋体" w:hAnsi="宋体" w:eastAsia="宋体" w:cs="宋体"/>
                <w:sz w:val="18"/>
                <w:szCs w:val="18"/>
              </w:rPr>
            </w:pPr>
            <w:r>
              <w:rPr>
                <w:rFonts w:hint="eastAsia" w:ascii="宋体" w:hAnsi="宋体" w:eastAsia="宋体" w:cs="宋体"/>
                <w:sz w:val="18"/>
                <w:szCs w:val="18"/>
              </w:rPr>
              <w:t>小瓶啤酒“3650”</w:t>
            </w:r>
          </w:p>
        </w:tc>
        <w:tc>
          <w:tcPr>
            <w:tcW w:w="826" w:type="pct"/>
            <w:tcBorders>
              <w:top w:val="single" w:color="auto" w:sz="2" w:space="0"/>
              <w:left w:val="single" w:color="auto" w:sz="2" w:space="0"/>
              <w:bottom w:val="single" w:color="auto" w:sz="2" w:space="0"/>
              <w:right w:val="single" w:color="auto" w:sz="2" w:space="0"/>
            </w:tcBorders>
            <w:vAlign w:val="center"/>
          </w:tcPr>
          <w:p w14:paraId="134746B5">
            <w:pPr>
              <w:spacing w:line="240" w:lineRule="exact"/>
              <w:jc w:val="right"/>
              <w:rPr>
                <w:rFonts w:ascii="宋体" w:hAnsi="宋体" w:eastAsia="宋体" w:cs="宋体"/>
                <w:sz w:val="18"/>
                <w:szCs w:val="18"/>
              </w:rPr>
            </w:pPr>
            <w:r>
              <w:rPr>
                <w:rFonts w:ascii="宋体" w:hAnsi="宋体" w:eastAsia="宋体" w:cs="宋体"/>
                <w:sz w:val="18"/>
                <w:szCs w:val="18"/>
              </w:rPr>
              <w:t>30,436,164.20</w:t>
            </w:r>
          </w:p>
        </w:tc>
        <w:tc>
          <w:tcPr>
            <w:tcW w:w="779" w:type="pct"/>
            <w:tcBorders>
              <w:top w:val="single" w:color="auto" w:sz="2" w:space="0"/>
              <w:left w:val="single" w:color="auto" w:sz="2" w:space="0"/>
              <w:bottom w:val="single" w:color="auto" w:sz="2" w:space="0"/>
              <w:right w:val="single" w:color="auto" w:sz="2" w:space="0"/>
            </w:tcBorders>
            <w:vAlign w:val="center"/>
          </w:tcPr>
          <w:p w14:paraId="307044D4">
            <w:pPr>
              <w:spacing w:line="240" w:lineRule="exact"/>
              <w:jc w:val="right"/>
              <w:rPr>
                <w:rFonts w:ascii="宋体" w:hAnsi="宋体" w:eastAsia="宋体" w:cs="宋体"/>
                <w:sz w:val="18"/>
                <w:szCs w:val="18"/>
              </w:rPr>
            </w:pPr>
            <w:r>
              <w:rPr>
                <w:rFonts w:ascii="宋体" w:hAnsi="宋体" w:eastAsia="宋体" w:cs="宋体"/>
                <w:sz w:val="18"/>
                <w:szCs w:val="18"/>
              </w:rPr>
              <w:t>15.76%</w:t>
            </w:r>
          </w:p>
        </w:tc>
        <w:tc>
          <w:tcPr>
            <w:tcW w:w="866" w:type="pct"/>
            <w:tcBorders>
              <w:top w:val="single" w:color="auto" w:sz="2" w:space="0"/>
              <w:left w:val="single" w:color="auto" w:sz="2" w:space="0"/>
              <w:bottom w:val="single" w:color="auto" w:sz="2" w:space="0"/>
              <w:right w:val="single" w:color="auto" w:sz="2" w:space="0"/>
            </w:tcBorders>
            <w:vAlign w:val="center"/>
          </w:tcPr>
          <w:p w14:paraId="5E0D3FE5">
            <w:pPr>
              <w:spacing w:line="240" w:lineRule="exact"/>
              <w:jc w:val="right"/>
              <w:rPr>
                <w:rFonts w:ascii="宋体" w:hAnsi="宋体" w:eastAsia="宋体" w:cs="宋体"/>
                <w:sz w:val="18"/>
                <w:szCs w:val="18"/>
              </w:rPr>
            </w:pPr>
            <w:r>
              <w:rPr>
                <w:rFonts w:ascii="宋体" w:hAnsi="宋体" w:eastAsia="宋体" w:cs="宋体"/>
                <w:sz w:val="18"/>
                <w:szCs w:val="18"/>
              </w:rPr>
              <w:t>9,021,400.49</w:t>
            </w:r>
          </w:p>
        </w:tc>
        <w:tc>
          <w:tcPr>
            <w:tcW w:w="802" w:type="pct"/>
            <w:tcBorders>
              <w:top w:val="single" w:color="auto" w:sz="2" w:space="0"/>
              <w:left w:val="single" w:color="auto" w:sz="2" w:space="0"/>
              <w:bottom w:val="single" w:color="auto" w:sz="2" w:space="0"/>
              <w:right w:val="single" w:color="auto" w:sz="2" w:space="0"/>
            </w:tcBorders>
            <w:vAlign w:val="center"/>
          </w:tcPr>
          <w:p w14:paraId="3D592DF3">
            <w:pPr>
              <w:spacing w:line="240" w:lineRule="exact"/>
              <w:jc w:val="right"/>
              <w:rPr>
                <w:rFonts w:ascii="宋体" w:hAnsi="宋体" w:eastAsia="宋体" w:cs="宋体"/>
                <w:sz w:val="18"/>
                <w:szCs w:val="18"/>
              </w:rPr>
            </w:pPr>
            <w:r>
              <w:rPr>
                <w:rFonts w:ascii="宋体" w:hAnsi="宋体" w:eastAsia="宋体" w:cs="宋体"/>
                <w:sz w:val="18"/>
                <w:szCs w:val="18"/>
              </w:rPr>
              <w:t>6.12%</w:t>
            </w:r>
          </w:p>
        </w:tc>
        <w:tc>
          <w:tcPr>
            <w:tcW w:w="653" w:type="pct"/>
            <w:tcBorders>
              <w:top w:val="single" w:color="auto" w:sz="2" w:space="0"/>
              <w:left w:val="single" w:color="auto" w:sz="2" w:space="0"/>
              <w:bottom w:val="single" w:color="auto" w:sz="2" w:space="0"/>
              <w:right w:val="single" w:color="auto" w:sz="2" w:space="0"/>
            </w:tcBorders>
            <w:vAlign w:val="center"/>
          </w:tcPr>
          <w:p w14:paraId="2144A37D">
            <w:pPr>
              <w:spacing w:line="240" w:lineRule="exact"/>
              <w:jc w:val="right"/>
              <w:rPr>
                <w:rFonts w:ascii="宋体" w:hAnsi="宋体" w:eastAsia="宋体" w:cs="宋体"/>
                <w:sz w:val="18"/>
                <w:szCs w:val="18"/>
              </w:rPr>
            </w:pPr>
            <w:r>
              <w:rPr>
                <w:rFonts w:ascii="宋体" w:hAnsi="宋体" w:eastAsia="宋体" w:cs="宋体"/>
                <w:sz w:val="18"/>
                <w:szCs w:val="18"/>
              </w:rPr>
              <w:t>237.38%</w:t>
            </w:r>
          </w:p>
        </w:tc>
      </w:tr>
      <w:tr w14:paraId="170EF0DA">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09763823">
            <w:pPr>
              <w:spacing w:line="240" w:lineRule="exact"/>
              <w:rPr>
                <w:rFonts w:ascii="宋体" w:hAnsi="宋体" w:eastAsia="宋体" w:cs="宋体"/>
                <w:sz w:val="18"/>
                <w:szCs w:val="18"/>
              </w:rPr>
            </w:pPr>
            <w:r>
              <w:rPr>
                <w:rFonts w:hint="eastAsia" w:ascii="宋体" w:hAnsi="宋体" w:eastAsia="宋体" w:cs="宋体"/>
                <w:sz w:val="18"/>
                <w:szCs w:val="18"/>
              </w:rPr>
              <w:t>“拉萨啤酒-青稞系列”</w:t>
            </w:r>
          </w:p>
        </w:tc>
        <w:tc>
          <w:tcPr>
            <w:tcW w:w="826" w:type="pct"/>
            <w:tcBorders>
              <w:top w:val="single" w:color="auto" w:sz="2" w:space="0"/>
              <w:left w:val="single" w:color="auto" w:sz="2" w:space="0"/>
              <w:bottom w:val="single" w:color="auto" w:sz="2" w:space="0"/>
              <w:right w:val="single" w:color="auto" w:sz="2" w:space="0"/>
            </w:tcBorders>
            <w:vAlign w:val="center"/>
          </w:tcPr>
          <w:p w14:paraId="17545E6D">
            <w:pPr>
              <w:spacing w:line="240" w:lineRule="exact"/>
              <w:jc w:val="right"/>
              <w:rPr>
                <w:rFonts w:ascii="宋体" w:hAnsi="宋体" w:eastAsia="宋体" w:cs="宋体"/>
                <w:sz w:val="18"/>
                <w:szCs w:val="18"/>
              </w:rPr>
            </w:pPr>
            <w:r>
              <w:rPr>
                <w:rFonts w:ascii="宋体" w:hAnsi="宋体" w:eastAsia="宋体" w:cs="宋体"/>
                <w:sz w:val="18"/>
                <w:szCs w:val="18"/>
              </w:rPr>
              <w:t>3,213,119.47</w:t>
            </w:r>
          </w:p>
        </w:tc>
        <w:tc>
          <w:tcPr>
            <w:tcW w:w="779" w:type="pct"/>
            <w:tcBorders>
              <w:top w:val="single" w:color="auto" w:sz="2" w:space="0"/>
              <w:left w:val="single" w:color="auto" w:sz="2" w:space="0"/>
              <w:bottom w:val="single" w:color="auto" w:sz="2" w:space="0"/>
              <w:right w:val="single" w:color="auto" w:sz="2" w:space="0"/>
            </w:tcBorders>
            <w:vAlign w:val="center"/>
          </w:tcPr>
          <w:p w14:paraId="1AB7288F">
            <w:pPr>
              <w:spacing w:line="240" w:lineRule="exact"/>
              <w:jc w:val="right"/>
              <w:rPr>
                <w:rFonts w:ascii="宋体" w:hAnsi="宋体" w:eastAsia="宋体" w:cs="宋体"/>
                <w:sz w:val="18"/>
                <w:szCs w:val="18"/>
              </w:rPr>
            </w:pPr>
            <w:r>
              <w:rPr>
                <w:rFonts w:ascii="宋体" w:hAnsi="宋体" w:eastAsia="宋体" w:cs="宋体"/>
                <w:sz w:val="18"/>
                <w:szCs w:val="18"/>
              </w:rPr>
              <w:t>1.66%</w:t>
            </w:r>
          </w:p>
        </w:tc>
        <w:tc>
          <w:tcPr>
            <w:tcW w:w="866" w:type="pct"/>
            <w:tcBorders>
              <w:top w:val="single" w:color="auto" w:sz="2" w:space="0"/>
              <w:left w:val="single" w:color="auto" w:sz="2" w:space="0"/>
              <w:bottom w:val="single" w:color="auto" w:sz="2" w:space="0"/>
              <w:right w:val="single" w:color="auto" w:sz="2" w:space="0"/>
            </w:tcBorders>
            <w:vAlign w:val="center"/>
          </w:tcPr>
          <w:p w14:paraId="7F9BA8D2">
            <w:pPr>
              <w:spacing w:line="240" w:lineRule="exact"/>
              <w:jc w:val="right"/>
              <w:rPr>
                <w:rFonts w:ascii="宋体" w:hAnsi="宋体" w:eastAsia="宋体" w:cs="宋体"/>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11A88D4F">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53" w:type="pct"/>
            <w:tcBorders>
              <w:top w:val="single" w:color="auto" w:sz="2" w:space="0"/>
              <w:left w:val="single" w:color="auto" w:sz="2" w:space="0"/>
              <w:bottom w:val="single" w:color="auto" w:sz="2" w:space="0"/>
              <w:right w:val="single" w:color="auto" w:sz="2" w:space="0"/>
            </w:tcBorders>
            <w:vAlign w:val="center"/>
          </w:tcPr>
          <w:p w14:paraId="0A41BD7C">
            <w:pPr>
              <w:spacing w:line="240" w:lineRule="exact"/>
              <w:jc w:val="right"/>
              <w:rPr>
                <w:rFonts w:ascii="宋体" w:hAnsi="宋体" w:eastAsia="宋体" w:cs="宋体"/>
                <w:sz w:val="18"/>
                <w:szCs w:val="18"/>
              </w:rPr>
            </w:pPr>
          </w:p>
        </w:tc>
      </w:tr>
      <w:tr w14:paraId="70254316">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333A9484">
            <w:pPr>
              <w:spacing w:line="240" w:lineRule="exact"/>
              <w:rPr>
                <w:rFonts w:ascii="宋体" w:hAnsi="宋体" w:eastAsia="宋体" w:cs="宋体"/>
                <w:sz w:val="18"/>
                <w:szCs w:val="18"/>
              </w:rPr>
            </w:pPr>
            <w:r>
              <w:rPr>
                <w:rFonts w:ascii="宋体" w:hAnsi="宋体" w:eastAsia="宋体" w:cs="宋体"/>
                <w:sz w:val="18"/>
                <w:szCs w:val="18"/>
              </w:rPr>
              <w:t>酒糟</w:t>
            </w:r>
          </w:p>
        </w:tc>
        <w:tc>
          <w:tcPr>
            <w:tcW w:w="826" w:type="pct"/>
            <w:tcBorders>
              <w:top w:val="single" w:color="auto" w:sz="2" w:space="0"/>
              <w:left w:val="single" w:color="auto" w:sz="2" w:space="0"/>
              <w:bottom w:val="single" w:color="auto" w:sz="2" w:space="0"/>
              <w:right w:val="single" w:color="auto" w:sz="2" w:space="0"/>
            </w:tcBorders>
            <w:vAlign w:val="center"/>
          </w:tcPr>
          <w:p w14:paraId="69606411">
            <w:pPr>
              <w:spacing w:line="240" w:lineRule="exact"/>
              <w:jc w:val="right"/>
              <w:rPr>
                <w:rFonts w:ascii="宋体" w:hAnsi="宋体" w:eastAsia="宋体" w:cs="宋体"/>
                <w:sz w:val="18"/>
                <w:szCs w:val="18"/>
              </w:rPr>
            </w:pPr>
            <w:r>
              <w:rPr>
                <w:rFonts w:ascii="宋体" w:hAnsi="宋体" w:eastAsia="宋体" w:cs="宋体"/>
                <w:sz w:val="18"/>
                <w:szCs w:val="18"/>
              </w:rPr>
              <w:t>527,000.00</w:t>
            </w:r>
          </w:p>
        </w:tc>
        <w:tc>
          <w:tcPr>
            <w:tcW w:w="779" w:type="pct"/>
            <w:tcBorders>
              <w:top w:val="single" w:color="auto" w:sz="2" w:space="0"/>
              <w:left w:val="single" w:color="auto" w:sz="2" w:space="0"/>
              <w:bottom w:val="single" w:color="auto" w:sz="2" w:space="0"/>
              <w:right w:val="single" w:color="auto" w:sz="2" w:space="0"/>
            </w:tcBorders>
            <w:vAlign w:val="center"/>
          </w:tcPr>
          <w:p w14:paraId="31EBD165">
            <w:pPr>
              <w:spacing w:line="240" w:lineRule="exact"/>
              <w:jc w:val="right"/>
              <w:rPr>
                <w:rFonts w:ascii="宋体" w:hAnsi="宋体" w:eastAsia="宋体" w:cs="宋体"/>
                <w:sz w:val="18"/>
                <w:szCs w:val="18"/>
              </w:rPr>
            </w:pPr>
            <w:r>
              <w:rPr>
                <w:rFonts w:ascii="宋体" w:hAnsi="宋体" w:eastAsia="宋体" w:cs="宋体"/>
                <w:sz w:val="18"/>
                <w:szCs w:val="18"/>
              </w:rPr>
              <w:t>0.27%</w:t>
            </w:r>
          </w:p>
        </w:tc>
        <w:tc>
          <w:tcPr>
            <w:tcW w:w="866" w:type="pct"/>
            <w:tcBorders>
              <w:top w:val="single" w:color="auto" w:sz="2" w:space="0"/>
              <w:left w:val="single" w:color="auto" w:sz="2" w:space="0"/>
              <w:bottom w:val="single" w:color="auto" w:sz="2" w:space="0"/>
              <w:right w:val="single" w:color="auto" w:sz="2" w:space="0"/>
            </w:tcBorders>
            <w:vAlign w:val="center"/>
          </w:tcPr>
          <w:p w14:paraId="3ECCD4C7">
            <w:pPr>
              <w:spacing w:line="240" w:lineRule="exact"/>
              <w:jc w:val="right"/>
              <w:rPr>
                <w:rFonts w:ascii="宋体" w:hAnsi="宋体" w:eastAsia="宋体" w:cs="宋体"/>
                <w:sz w:val="18"/>
                <w:szCs w:val="18"/>
              </w:rPr>
            </w:pPr>
            <w:r>
              <w:rPr>
                <w:rFonts w:ascii="宋体" w:hAnsi="宋体" w:eastAsia="宋体" w:cs="宋体"/>
                <w:sz w:val="18"/>
                <w:szCs w:val="18"/>
              </w:rPr>
              <w:t>367,800.00</w:t>
            </w:r>
          </w:p>
        </w:tc>
        <w:tc>
          <w:tcPr>
            <w:tcW w:w="802" w:type="pct"/>
            <w:tcBorders>
              <w:top w:val="single" w:color="auto" w:sz="2" w:space="0"/>
              <w:left w:val="single" w:color="auto" w:sz="2" w:space="0"/>
              <w:bottom w:val="single" w:color="auto" w:sz="2" w:space="0"/>
              <w:right w:val="single" w:color="auto" w:sz="2" w:space="0"/>
            </w:tcBorders>
            <w:vAlign w:val="center"/>
          </w:tcPr>
          <w:p w14:paraId="530B9BE7">
            <w:pPr>
              <w:spacing w:line="240" w:lineRule="exact"/>
              <w:jc w:val="right"/>
              <w:rPr>
                <w:rFonts w:ascii="宋体" w:hAnsi="宋体" w:eastAsia="宋体" w:cs="宋体"/>
                <w:sz w:val="18"/>
                <w:szCs w:val="18"/>
              </w:rPr>
            </w:pPr>
            <w:r>
              <w:rPr>
                <w:rFonts w:ascii="宋体" w:hAnsi="宋体" w:eastAsia="宋体" w:cs="宋体"/>
                <w:sz w:val="18"/>
                <w:szCs w:val="18"/>
              </w:rPr>
              <w:t>0.25%</w:t>
            </w:r>
          </w:p>
        </w:tc>
        <w:tc>
          <w:tcPr>
            <w:tcW w:w="653" w:type="pct"/>
            <w:tcBorders>
              <w:top w:val="single" w:color="auto" w:sz="2" w:space="0"/>
              <w:left w:val="single" w:color="auto" w:sz="2" w:space="0"/>
              <w:bottom w:val="single" w:color="auto" w:sz="2" w:space="0"/>
              <w:right w:val="single" w:color="auto" w:sz="2" w:space="0"/>
            </w:tcBorders>
            <w:vAlign w:val="center"/>
          </w:tcPr>
          <w:p w14:paraId="7F68BCF0">
            <w:pPr>
              <w:spacing w:line="240" w:lineRule="exact"/>
              <w:jc w:val="right"/>
              <w:rPr>
                <w:rFonts w:ascii="宋体" w:hAnsi="宋体" w:eastAsia="宋体" w:cs="宋体"/>
                <w:sz w:val="18"/>
                <w:szCs w:val="18"/>
              </w:rPr>
            </w:pPr>
            <w:r>
              <w:rPr>
                <w:rFonts w:ascii="宋体" w:hAnsi="宋体" w:eastAsia="宋体" w:cs="宋体"/>
                <w:sz w:val="18"/>
                <w:szCs w:val="18"/>
              </w:rPr>
              <w:t>43.28%</w:t>
            </w:r>
          </w:p>
        </w:tc>
      </w:tr>
      <w:tr w14:paraId="685C82C5">
        <w:trPr>
          <w:trHeight w:val="240" w:hRule="atLeast"/>
        </w:trPr>
        <w:tc>
          <w:tcPr>
            <w:tcW w:w="5000" w:type="pct"/>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608BA597">
            <w:pPr>
              <w:spacing w:before="40" w:after="40" w:line="240" w:lineRule="exact"/>
              <w:rPr>
                <w:rFonts w:ascii="宋体" w:hAnsi="宋体" w:eastAsia="宋体" w:cs="宋体"/>
                <w:sz w:val="18"/>
                <w:szCs w:val="18"/>
              </w:rPr>
            </w:pPr>
            <w:r>
              <w:rPr>
                <w:rFonts w:ascii="宋体" w:hAnsi="宋体" w:eastAsia="宋体" w:cs="宋体"/>
                <w:sz w:val="18"/>
                <w:szCs w:val="18"/>
              </w:rPr>
              <w:t>分地区</w:t>
            </w:r>
          </w:p>
        </w:tc>
      </w:tr>
      <w:tr w14:paraId="5710D9A0">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4011B581">
            <w:pPr>
              <w:spacing w:line="240" w:lineRule="exact"/>
              <w:rPr>
                <w:rFonts w:ascii="宋体" w:hAnsi="宋体" w:eastAsia="宋体" w:cs="宋体"/>
                <w:sz w:val="18"/>
                <w:szCs w:val="18"/>
              </w:rPr>
            </w:pPr>
            <w:r>
              <w:rPr>
                <w:rFonts w:ascii="宋体" w:hAnsi="宋体" w:eastAsia="宋体" w:cs="宋体"/>
                <w:sz w:val="18"/>
                <w:szCs w:val="18"/>
              </w:rPr>
              <w:t>西藏自治区</w:t>
            </w:r>
          </w:p>
        </w:tc>
        <w:tc>
          <w:tcPr>
            <w:tcW w:w="826" w:type="pct"/>
            <w:tcBorders>
              <w:top w:val="single" w:color="auto" w:sz="2" w:space="0"/>
              <w:left w:val="single" w:color="auto" w:sz="2" w:space="0"/>
              <w:bottom w:val="single" w:color="auto" w:sz="2" w:space="0"/>
              <w:right w:val="single" w:color="auto" w:sz="2" w:space="0"/>
            </w:tcBorders>
            <w:vAlign w:val="center"/>
          </w:tcPr>
          <w:p w14:paraId="026CEBF6">
            <w:pPr>
              <w:spacing w:line="240" w:lineRule="exact"/>
              <w:jc w:val="right"/>
              <w:rPr>
                <w:rFonts w:ascii="宋体" w:hAnsi="宋体" w:eastAsia="宋体" w:cs="宋体"/>
                <w:sz w:val="18"/>
                <w:szCs w:val="18"/>
              </w:rPr>
            </w:pPr>
            <w:r>
              <w:rPr>
                <w:rFonts w:ascii="宋体" w:hAnsi="宋体" w:eastAsia="宋体" w:cs="宋体"/>
                <w:sz w:val="18"/>
                <w:szCs w:val="18"/>
              </w:rPr>
              <w:t>187,474,621.45</w:t>
            </w:r>
          </w:p>
        </w:tc>
        <w:tc>
          <w:tcPr>
            <w:tcW w:w="779" w:type="pct"/>
            <w:tcBorders>
              <w:top w:val="single" w:color="auto" w:sz="2" w:space="0"/>
              <w:left w:val="single" w:color="auto" w:sz="2" w:space="0"/>
              <w:bottom w:val="single" w:color="auto" w:sz="2" w:space="0"/>
              <w:right w:val="single" w:color="auto" w:sz="2" w:space="0"/>
            </w:tcBorders>
            <w:vAlign w:val="center"/>
          </w:tcPr>
          <w:p w14:paraId="27A4E488">
            <w:pPr>
              <w:spacing w:line="240" w:lineRule="exact"/>
              <w:jc w:val="right"/>
              <w:rPr>
                <w:rFonts w:ascii="宋体" w:hAnsi="宋体" w:eastAsia="宋体" w:cs="宋体"/>
                <w:sz w:val="18"/>
                <w:szCs w:val="18"/>
              </w:rPr>
            </w:pPr>
            <w:r>
              <w:rPr>
                <w:rFonts w:ascii="宋体" w:hAnsi="宋体" w:eastAsia="宋体" w:cs="宋体"/>
                <w:sz w:val="18"/>
                <w:szCs w:val="18"/>
              </w:rPr>
              <w:t>97.09%</w:t>
            </w:r>
          </w:p>
        </w:tc>
        <w:tc>
          <w:tcPr>
            <w:tcW w:w="866" w:type="pct"/>
            <w:tcBorders>
              <w:top w:val="single" w:color="auto" w:sz="2" w:space="0"/>
              <w:left w:val="single" w:color="auto" w:sz="2" w:space="0"/>
              <w:bottom w:val="single" w:color="auto" w:sz="2" w:space="0"/>
              <w:right w:val="single" w:color="auto" w:sz="2" w:space="0"/>
            </w:tcBorders>
            <w:vAlign w:val="center"/>
          </w:tcPr>
          <w:p w14:paraId="7BDFF6AB">
            <w:pPr>
              <w:spacing w:line="240" w:lineRule="exact"/>
              <w:jc w:val="right"/>
              <w:rPr>
                <w:rFonts w:ascii="宋体" w:hAnsi="宋体" w:eastAsia="宋体" w:cs="宋体"/>
                <w:sz w:val="18"/>
                <w:szCs w:val="18"/>
              </w:rPr>
            </w:pPr>
            <w:r>
              <w:rPr>
                <w:rFonts w:ascii="宋体" w:hAnsi="宋体" w:eastAsia="宋体" w:cs="宋体"/>
                <w:sz w:val="18"/>
                <w:szCs w:val="18"/>
              </w:rPr>
              <w:t>147,414,128.78</w:t>
            </w:r>
          </w:p>
        </w:tc>
        <w:tc>
          <w:tcPr>
            <w:tcW w:w="802" w:type="pct"/>
            <w:tcBorders>
              <w:top w:val="single" w:color="auto" w:sz="2" w:space="0"/>
              <w:left w:val="single" w:color="auto" w:sz="2" w:space="0"/>
              <w:bottom w:val="single" w:color="auto" w:sz="2" w:space="0"/>
              <w:right w:val="single" w:color="auto" w:sz="2" w:space="0"/>
            </w:tcBorders>
            <w:vAlign w:val="center"/>
          </w:tcPr>
          <w:p w14:paraId="5A06F6FB">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653" w:type="pct"/>
            <w:tcBorders>
              <w:top w:val="single" w:color="auto" w:sz="2" w:space="0"/>
              <w:left w:val="single" w:color="auto" w:sz="2" w:space="0"/>
              <w:bottom w:val="single" w:color="auto" w:sz="2" w:space="0"/>
              <w:right w:val="single" w:color="auto" w:sz="2" w:space="0"/>
            </w:tcBorders>
            <w:vAlign w:val="center"/>
          </w:tcPr>
          <w:p w14:paraId="583DD492">
            <w:pPr>
              <w:spacing w:line="240" w:lineRule="exact"/>
              <w:jc w:val="right"/>
              <w:rPr>
                <w:rFonts w:ascii="宋体" w:hAnsi="宋体" w:eastAsia="宋体" w:cs="宋体"/>
                <w:sz w:val="18"/>
                <w:szCs w:val="18"/>
              </w:rPr>
            </w:pPr>
            <w:r>
              <w:rPr>
                <w:rFonts w:ascii="宋体" w:hAnsi="宋体" w:eastAsia="宋体" w:cs="宋体"/>
                <w:sz w:val="18"/>
                <w:szCs w:val="18"/>
              </w:rPr>
              <w:t>27.18%</w:t>
            </w:r>
          </w:p>
        </w:tc>
      </w:tr>
      <w:tr w14:paraId="4F936A69">
        <w:trPr>
          <w:trHeight w:val="240" w:hRule="atLeast"/>
        </w:trPr>
        <w:tc>
          <w:tcPr>
            <w:tcW w:w="1071" w:type="pct"/>
            <w:tcBorders>
              <w:top w:val="single" w:color="auto" w:sz="2" w:space="0"/>
              <w:left w:val="single" w:color="auto" w:sz="2" w:space="0"/>
              <w:bottom w:val="single" w:color="auto" w:sz="2" w:space="0"/>
              <w:right w:val="single" w:color="auto" w:sz="2" w:space="0"/>
            </w:tcBorders>
            <w:vAlign w:val="center"/>
          </w:tcPr>
          <w:p w14:paraId="3C79C13E">
            <w:pPr>
              <w:spacing w:line="240" w:lineRule="exact"/>
              <w:rPr>
                <w:rFonts w:ascii="宋体" w:hAnsi="宋体" w:eastAsia="宋体" w:cs="宋体"/>
                <w:sz w:val="18"/>
                <w:szCs w:val="18"/>
              </w:rPr>
            </w:pPr>
            <w:r>
              <w:rPr>
                <w:rFonts w:hint="eastAsia" w:ascii="宋体" w:hAnsi="宋体" w:eastAsia="宋体" w:cs="宋体"/>
                <w:sz w:val="18"/>
                <w:szCs w:val="18"/>
              </w:rPr>
              <w:t>藏区外</w:t>
            </w:r>
          </w:p>
        </w:tc>
        <w:tc>
          <w:tcPr>
            <w:tcW w:w="826" w:type="pct"/>
            <w:tcBorders>
              <w:top w:val="single" w:color="auto" w:sz="2" w:space="0"/>
              <w:left w:val="single" w:color="auto" w:sz="2" w:space="0"/>
              <w:bottom w:val="single" w:color="auto" w:sz="2" w:space="0"/>
              <w:right w:val="single" w:color="auto" w:sz="2" w:space="0"/>
            </w:tcBorders>
            <w:vAlign w:val="center"/>
          </w:tcPr>
          <w:p w14:paraId="25F73381">
            <w:pPr>
              <w:spacing w:line="240" w:lineRule="exact"/>
              <w:jc w:val="right"/>
              <w:rPr>
                <w:rFonts w:ascii="宋体" w:hAnsi="宋体" w:eastAsia="宋体" w:cs="宋体"/>
                <w:sz w:val="18"/>
                <w:szCs w:val="18"/>
              </w:rPr>
            </w:pPr>
            <w:r>
              <w:rPr>
                <w:rFonts w:ascii="宋体" w:hAnsi="宋体" w:eastAsia="宋体" w:cs="宋体"/>
                <w:sz w:val="18"/>
                <w:szCs w:val="18"/>
              </w:rPr>
              <w:t>5,624,971.49</w:t>
            </w:r>
          </w:p>
        </w:tc>
        <w:tc>
          <w:tcPr>
            <w:tcW w:w="779" w:type="pct"/>
            <w:tcBorders>
              <w:top w:val="single" w:color="auto" w:sz="2" w:space="0"/>
              <w:left w:val="single" w:color="auto" w:sz="2" w:space="0"/>
              <w:bottom w:val="single" w:color="auto" w:sz="2" w:space="0"/>
              <w:right w:val="single" w:color="auto" w:sz="2" w:space="0"/>
            </w:tcBorders>
            <w:vAlign w:val="center"/>
          </w:tcPr>
          <w:p w14:paraId="177F9663">
            <w:pPr>
              <w:spacing w:line="240" w:lineRule="exact"/>
              <w:jc w:val="right"/>
              <w:rPr>
                <w:rFonts w:ascii="宋体" w:hAnsi="宋体" w:eastAsia="宋体" w:cs="宋体"/>
                <w:sz w:val="18"/>
                <w:szCs w:val="18"/>
              </w:rPr>
            </w:pPr>
            <w:r>
              <w:rPr>
                <w:rFonts w:ascii="宋体" w:hAnsi="宋体" w:eastAsia="宋体" w:cs="宋体"/>
                <w:sz w:val="18"/>
                <w:szCs w:val="18"/>
              </w:rPr>
              <w:t>2.91%</w:t>
            </w:r>
          </w:p>
        </w:tc>
        <w:tc>
          <w:tcPr>
            <w:tcW w:w="866" w:type="pct"/>
            <w:tcBorders>
              <w:top w:val="single" w:color="auto" w:sz="2" w:space="0"/>
              <w:left w:val="single" w:color="auto" w:sz="2" w:space="0"/>
              <w:bottom w:val="single" w:color="auto" w:sz="2" w:space="0"/>
              <w:right w:val="single" w:color="auto" w:sz="2" w:space="0"/>
            </w:tcBorders>
            <w:vAlign w:val="center"/>
          </w:tcPr>
          <w:p w14:paraId="14B90220">
            <w:pPr>
              <w:spacing w:line="240" w:lineRule="exact"/>
              <w:jc w:val="right"/>
              <w:rPr>
                <w:rFonts w:ascii="宋体" w:hAnsi="宋体" w:eastAsia="宋体" w:cs="宋体"/>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189334E8">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53" w:type="pct"/>
            <w:tcBorders>
              <w:top w:val="single" w:color="auto" w:sz="2" w:space="0"/>
              <w:left w:val="single" w:color="auto" w:sz="2" w:space="0"/>
              <w:bottom w:val="single" w:color="auto" w:sz="2" w:space="0"/>
              <w:right w:val="single" w:color="auto" w:sz="2" w:space="0"/>
            </w:tcBorders>
            <w:vAlign w:val="center"/>
          </w:tcPr>
          <w:p w14:paraId="6261735C">
            <w:pPr>
              <w:spacing w:line="240" w:lineRule="exact"/>
              <w:jc w:val="right"/>
              <w:rPr>
                <w:rFonts w:ascii="宋体" w:hAnsi="宋体" w:eastAsia="宋体" w:cs="宋体"/>
                <w:sz w:val="18"/>
                <w:szCs w:val="18"/>
              </w:rPr>
            </w:pPr>
          </w:p>
        </w:tc>
      </w:tr>
    </w:tbl>
    <w:p w14:paraId="65661DC0">
      <w:pPr>
        <w:spacing w:before="100" w:after="100" w:line="240" w:lineRule="exact"/>
        <w:rPr>
          <w:rFonts w:ascii="宋体" w:hAnsi="宋体" w:eastAsia="宋体" w:cs="宋体"/>
          <w:sz w:val="18"/>
          <w:szCs w:val="18"/>
        </w:rPr>
      </w:pPr>
      <w:r>
        <w:rPr>
          <w:rFonts w:ascii="宋体" w:hAnsi="宋体" w:eastAsia="宋体" w:cs="宋体"/>
          <w:sz w:val="18"/>
          <w:szCs w:val="18"/>
        </w:rPr>
        <w:t>占公司营业收入或营业利润10%以上的行业、产品或地区情况</w:t>
      </w:r>
    </w:p>
    <w:p w14:paraId="19904643">
      <w:pPr>
        <w:spacing w:before="100" w:after="2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4EE44750">
      <w:pPr>
        <w:spacing w:before="120" w:after="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4938"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835"/>
        <w:gridCol w:w="1499"/>
        <w:gridCol w:w="1560"/>
        <w:gridCol w:w="810"/>
        <w:gridCol w:w="1313"/>
        <w:gridCol w:w="1427"/>
        <w:gridCol w:w="1287"/>
      </w:tblGrid>
      <w:tr w14:paraId="08591AAC">
        <w:trPr>
          <w:trHeight w:val="240" w:hRule="atLeast"/>
          <w:jc w:val="center"/>
        </w:trPr>
        <w:tc>
          <w:tcPr>
            <w:tcW w:w="942" w:type="pct"/>
            <w:tcBorders>
              <w:top w:val="single" w:color="auto" w:sz="2" w:space="0"/>
              <w:left w:val="single" w:color="auto" w:sz="2" w:space="0"/>
              <w:bottom w:val="single" w:color="auto" w:sz="2" w:space="0"/>
              <w:right w:val="single" w:color="auto" w:sz="2" w:space="0"/>
            </w:tcBorders>
            <w:shd w:val="clear" w:color="auto" w:fill="D3D3D3"/>
            <w:vAlign w:val="center"/>
          </w:tcPr>
          <w:p w14:paraId="2690B323">
            <w:pPr>
              <w:rPr>
                <w:rFonts w:ascii="宋体" w:hAnsi="宋体" w:eastAsia="宋体" w:cs="宋体"/>
                <w:sz w:val="18"/>
                <w:szCs w:val="18"/>
              </w:rPr>
            </w:pPr>
          </w:p>
        </w:tc>
        <w:tc>
          <w:tcPr>
            <w:tcW w:w="770" w:type="pct"/>
            <w:tcBorders>
              <w:top w:val="single" w:color="auto" w:sz="2" w:space="0"/>
              <w:left w:val="single" w:color="auto" w:sz="2" w:space="0"/>
              <w:bottom w:val="single" w:color="auto" w:sz="2" w:space="0"/>
              <w:right w:val="single" w:color="auto" w:sz="2" w:space="0"/>
            </w:tcBorders>
            <w:shd w:val="clear" w:color="auto" w:fill="D3D3D3"/>
            <w:vAlign w:val="center"/>
          </w:tcPr>
          <w:p w14:paraId="18350ED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801" w:type="pct"/>
            <w:tcBorders>
              <w:top w:val="single" w:color="auto" w:sz="2" w:space="0"/>
              <w:left w:val="single" w:color="auto" w:sz="2" w:space="0"/>
              <w:bottom w:val="single" w:color="auto" w:sz="2" w:space="0"/>
              <w:right w:val="single" w:color="auto" w:sz="2" w:space="0"/>
            </w:tcBorders>
            <w:shd w:val="clear" w:color="auto" w:fill="D3D3D3"/>
            <w:vAlign w:val="center"/>
          </w:tcPr>
          <w:p w14:paraId="46875919">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416" w:type="pct"/>
            <w:tcBorders>
              <w:top w:val="single" w:color="auto" w:sz="2" w:space="0"/>
              <w:left w:val="single" w:color="auto" w:sz="2" w:space="0"/>
              <w:bottom w:val="single" w:color="auto" w:sz="2" w:space="0"/>
              <w:right w:val="single" w:color="auto" w:sz="2" w:space="0"/>
            </w:tcBorders>
            <w:shd w:val="clear" w:color="auto" w:fill="D3D3D3"/>
            <w:vAlign w:val="center"/>
          </w:tcPr>
          <w:p w14:paraId="5171EBBF">
            <w:pPr>
              <w:spacing w:before="40" w:after="40" w:line="240" w:lineRule="exact"/>
              <w:jc w:val="center"/>
              <w:rPr>
                <w:rFonts w:ascii="宋体" w:hAnsi="宋体" w:eastAsia="宋体" w:cs="宋体"/>
                <w:sz w:val="18"/>
                <w:szCs w:val="18"/>
              </w:rPr>
            </w:pPr>
            <w:r>
              <w:rPr>
                <w:rFonts w:ascii="宋体" w:hAnsi="宋体" w:eastAsia="宋体" w:cs="宋体"/>
                <w:sz w:val="18"/>
                <w:szCs w:val="18"/>
              </w:rPr>
              <w:t>毛利率</w:t>
            </w:r>
          </w:p>
        </w:tc>
        <w:tc>
          <w:tcPr>
            <w:tcW w:w="674" w:type="pct"/>
            <w:tcBorders>
              <w:top w:val="single" w:color="auto" w:sz="2" w:space="0"/>
              <w:left w:val="single" w:color="auto" w:sz="2" w:space="0"/>
              <w:bottom w:val="single" w:color="auto" w:sz="2" w:space="0"/>
              <w:right w:val="single" w:color="auto" w:sz="2" w:space="0"/>
            </w:tcBorders>
            <w:shd w:val="clear" w:color="auto" w:fill="D3D3D3"/>
            <w:vAlign w:val="center"/>
          </w:tcPr>
          <w:p w14:paraId="1A6DEC2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营业收入比上年同期增减</w:t>
            </w:r>
          </w:p>
        </w:tc>
        <w:tc>
          <w:tcPr>
            <w:tcW w:w="733" w:type="pct"/>
            <w:tcBorders>
              <w:top w:val="single" w:color="auto" w:sz="2" w:space="0"/>
              <w:left w:val="single" w:color="auto" w:sz="2" w:space="0"/>
              <w:bottom w:val="single" w:color="auto" w:sz="2" w:space="0"/>
              <w:right w:val="single" w:color="auto" w:sz="2" w:space="0"/>
            </w:tcBorders>
            <w:shd w:val="clear" w:color="auto" w:fill="D3D3D3"/>
            <w:vAlign w:val="center"/>
          </w:tcPr>
          <w:p w14:paraId="06099858">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营业成本比上年同期增减</w:t>
            </w:r>
          </w:p>
        </w:tc>
        <w:tc>
          <w:tcPr>
            <w:tcW w:w="661" w:type="pct"/>
            <w:tcBorders>
              <w:top w:val="single" w:color="auto" w:sz="2" w:space="0"/>
              <w:left w:val="single" w:color="auto" w:sz="2" w:space="0"/>
              <w:bottom w:val="single" w:color="auto" w:sz="2" w:space="0"/>
              <w:right w:val="single" w:color="auto" w:sz="2" w:space="0"/>
            </w:tcBorders>
            <w:shd w:val="clear" w:color="auto" w:fill="D3D3D3"/>
            <w:vAlign w:val="center"/>
          </w:tcPr>
          <w:p w14:paraId="39262B54">
            <w:pPr>
              <w:spacing w:before="40" w:after="40" w:line="240" w:lineRule="exact"/>
              <w:jc w:val="center"/>
              <w:rPr>
                <w:rFonts w:ascii="宋体" w:hAnsi="宋体" w:eastAsia="宋体" w:cs="宋体"/>
                <w:sz w:val="18"/>
                <w:szCs w:val="18"/>
              </w:rPr>
            </w:pPr>
            <w:r>
              <w:rPr>
                <w:rFonts w:ascii="宋体" w:hAnsi="宋体" w:eastAsia="宋体" w:cs="宋体"/>
                <w:sz w:val="18"/>
                <w:szCs w:val="18"/>
              </w:rPr>
              <w:t>毛利率比上年同期增减</w:t>
            </w:r>
          </w:p>
        </w:tc>
      </w:tr>
      <w:tr w14:paraId="6B853FD0">
        <w:trPr>
          <w:trHeight w:val="240" w:hRule="atLeast"/>
          <w:jc w:val="center"/>
        </w:trPr>
        <w:tc>
          <w:tcPr>
            <w:tcW w:w="5000" w:type="pct"/>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5D60F433">
            <w:pPr>
              <w:spacing w:before="40" w:after="40" w:line="240" w:lineRule="exact"/>
              <w:rPr>
                <w:rFonts w:ascii="宋体" w:hAnsi="宋体" w:eastAsia="宋体" w:cs="宋体"/>
                <w:sz w:val="18"/>
                <w:szCs w:val="18"/>
              </w:rPr>
            </w:pPr>
            <w:r>
              <w:rPr>
                <w:rFonts w:ascii="宋体" w:hAnsi="宋体" w:eastAsia="宋体" w:cs="宋体"/>
                <w:sz w:val="18"/>
                <w:szCs w:val="18"/>
              </w:rPr>
              <w:t>分行业</w:t>
            </w:r>
          </w:p>
        </w:tc>
      </w:tr>
      <w:tr w14:paraId="608A7B26">
        <w:trPr>
          <w:trHeight w:val="240" w:hRule="atLeast"/>
          <w:jc w:val="center"/>
        </w:trPr>
        <w:tc>
          <w:tcPr>
            <w:tcW w:w="942" w:type="pct"/>
            <w:tcBorders>
              <w:top w:val="single" w:color="auto" w:sz="2" w:space="0"/>
              <w:left w:val="single" w:color="auto" w:sz="2" w:space="0"/>
              <w:bottom w:val="single" w:color="auto" w:sz="2" w:space="0"/>
              <w:right w:val="single" w:color="auto" w:sz="2" w:space="0"/>
            </w:tcBorders>
            <w:vAlign w:val="center"/>
          </w:tcPr>
          <w:p w14:paraId="71EDEEFE">
            <w:pPr>
              <w:spacing w:line="240" w:lineRule="exact"/>
              <w:rPr>
                <w:rFonts w:ascii="宋体" w:hAnsi="宋体" w:eastAsia="宋体" w:cs="宋体"/>
                <w:sz w:val="18"/>
                <w:szCs w:val="18"/>
              </w:rPr>
            </w:pPr>
            <w:r>
              <w:rPr>
                <w:rFonts w:ascii="宋体" w:hAnsi="宋体" w:eastAsia="宋体" w:cs="宋体"/>
                <w:sz w:val="18"/>
                <w:szCs w:val="18"/>
              </w:rPr>
              <w:t>主营啤酒</w:t>
            </w:r>
          </w:p>
        </w:tc>
        <w:tc>
          <w:tcPr>
            <w:tcW w:w="770" w:type="pct"/>
            <w:tcBorders>
              <w:top w:val="single" w:color="auto" w:sz="2" w:space="0"/>
              <w:left w:val="single" w:color="auto" w:sz="2" w:space="0"/>
              <w:bottom w:val="single" w:color="auto" w:sz="2" w:space="0"/>
              <w:right w:val="single" w:color="auto" w:sz="2" w:space="0"/>
            </w:tcBorders>
            <w:vAlign w:val="center"/>
          </w:tcPr>
          <w:p w14:paraId="4FF67DC9">
            <w:pPr>
              <w:spacing w:line="240" w:lineRule="exact"/>
              <w:jc w:val="right"/>
              <w:rPr>
                <w:rFonts w:ascii="宋体" w:hAnsi="宋体" w:eastAsia="宋体" w:cs="宋体"/>
                <w:sz w:val="18"/>
                <w:szCs w:val="18"/>
              </w:rPr>
            </w:pPr>
            <w:r>
              <w:rPr>
                <w:rFonts w:ascii="宋体" w:hAnsi="宋体" w:eastAsia="宋体" w:cs="宋体"/>
                <w:sz w:val="18"/>
                <w:szCs w:val="18"/>
              </w:rPr>
              <w:t>192,572,592.94</w:t>
            </w:r>
          </w:p>
        </w:tc>
        <w:tc>
          <w:tcPr>
            <w:tcW w:w="801" w:type="pct"/>
            <w:tcBorders>
              <w:top w:val="single" w:color="auto" w:sz="2" w:space="0"/>
              <w:left w:val="single" w:color="auto" w:sz="2" w:space="0"/>
              <w:bottom w:val="single" w:color="auto" w:sz="2" w:space="0"/>
              <w:right w:val="single" w:color="auto" w:sz="2" w:space="0"/>
            </w:tcBorders>
            <w:vAlign w:val="center"/>
          </w:tcPr>
          <w:p w14:paraId="3E445712">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416" w:type="pct"/>
            <w:tcBorders>
              <w:top w:val="single" w:color="auto" w:sz="2" w:space="0"/>
              <w:left w:val="single" w:color="auto" w:sz="2" w:space="0"/>
              <w:bottom w:val="single" w:color="auto" w:sz="2" w:space="0"/>
              <w:right w:val="single" w:color="auto" w:sz="2" w:space="0"/>
            </w:tcBorders>
            <w:vAlign w:val="center"/>
          </w:tcPr>
          <w:p w14:paraId="5ECD1937">
            <w:pPr>
              <w:spacing w:line="240" w:lineRule="exact"/>
              <w:jc w:val="right"/>
              <w:rPr>
                <w:rFonts w:ascii="宋体" w:hAnsi="宋体" w:eastAsia="宋体" w:cs="宋体"/>
                <w:sz w:val="18"/>
                <w:szCs w:val="18"/>
              </w:rPr>
            </w:pPr>
            <w:r>
              <w:rPr>
                <w:rFonts w:ascii="宋体" w:hAnsi="宋体" w:eastAsia="宋体" w:cs="宋体"/>
                <w:sz w:val="18"/>
                <w:szCs w:val="18"/>
              </w:rPr>
              <w:t>36.31%</w:t>
            </w:r>
          </w:p>
        </w:tc>
        <w:tc>
          <w:tcPr>
            <w:tcW w:w="674" w:type="pct"/>
            <w:tcBorders>
              <w:top w:val="single" w:color="auto" w:sz="2" w:space="0"/>
              <w:left w:val="single" w:color="auto" w:sz="2" w:space="0"/>
              <w:bottom w:val="single" w:color="auto" w:sz="2" w:space="0"/>
              <w:right w:val="single" w:color="auto" w:sz="2" w:space="0"/>
            </w:tcBorders>
            <w:vAlign w:val="center"/>
          </w:tcPr>
          <w:p w14:paraId="7D4D3E59">
            <w:pPr>
              <w:spacing w:line="240" w:lineRule="exact"/>
              <w:jc w:val="right"/>
              <w:rPr>
                <w:rFonts w:ascii="宋体" w:hAnsi="宋体" w:eastAsia="宋体" w:cs="宋体"/>
                <w:sz w:val="18"/>
                <w:szCs w:val="18"/>
              </w:rPr>
            </w:pPr>
            <w:r>
              <w:rPr>
                <w:rFonts w:ascii="宋体" w:hAnsi="宋体" w:eastAsia="宋体" w:cs="宋体"/>
                <w:sz w:val="18"/>
                <w:szCs w:val="18"/>
              </w:rPr>
              <w:t>30.96%</w:t>
            </w:r>
          </w:p>
        </w:tc>
        <w:tc>
          <w:tcPr>
            <w:tcW w:w="733" w:type="pct"/>
            <w:tcBorders>
              <w:top w:val="single" w:color="auto" w:sz="2" w:space="0"/>
              <w:left w:val="single" w:color="auto" w:sz="2" w:space="0"/>
              <w:bottom w:val="single" w:color="auto" w:sz="2" w:space="0"/>
              <w:right w:val="single" w:color="auto" w:sz="2" w:space="0"/>
            </w:tcBorders>
            <w:vAlign w:val="center"/>
          </w:tcPr>
          <w:p w14:paraId="175DE7B4">
            <w:pPr>
              <w:spacing w:line="240" w:lineRule="exact"/>
              <w:jc w:val="right"/>
              <w:rPr>
                <w:rFonts w:ascii="宋体" w:hAnsi="宋体" w:eastAsia="宋体" w:cs="宋体"/>
                <w:sz w:val="18"/>
                <w:szCs w:val="18"/>
              </w:rPr>
            </w:pPr>
            <w:r>
              <w:rPr>
                <w:rFonts w:ascii="宋体" w:hAnsi="宋体" w:eastAsia="宋体" w:cs="宋体"/>
                <w:sz w:val="18"/>
                <w:szCs w:val="18"/>
              </w:rPr>
              <w:t>18.70%</w:t>
            </w:r>
          </w:p>
        </w:tc>
        <w:tc>
          <w:tcPr>
            <w:tcW w:w="661" w:type="pct"/>
            <w:tcBorders>
              <w:top w:val="single" w:color="auto" w:sz="2" w:space="0"/>
              <w:left w:val="single" w:color="auto" w:sz="2" w:space="0"/>
              <w:bottom w:val="single" w:color="auto" w:sz="2" w:space="0"/>
              <w:right w:val="single" w:color="auto" w:sz="2" w:space="0"/>
            </w:tcBorders>
            <w:vAlign w:val="center"/>
          </w:tcPr>
          <w:p w14:paraId="088E922D">
            <w:pPr>
              <w:spacing w:line="240" w:lineRule="exact"/>
              <w:jc w:val="right"/>
              <w:rPr>
                <w:rFonts w:ascii="宋体" w:hAnsi="宋体" w:eastAsia="宋体" w:cs="宋体"/>
                <w:sz w:val="18"/>
                <w:szCs w:val="18"/>
              </w:rPr>
            </w:pPr>
            <w:r>
              <w:rPr>
                <w:rFonts w:ascii="宋体" w:hAnsi="宋体" w:eastAsia="宋体" w:cs="宋体"/>
                <w:sz w:val="18"/>
                <w:szCs w:val="18"/>
              </w:rPr>
              <w:t>6.58%</w:t>
            </w:r>
          </w:p>
        </w:tc>
      </w:tr>
      <w:tr w14:paraId="00EDD388">
        <w:trPr>
          <w:trHeight w:val="240" w:hRule="atLeast"/>
          <w:jc w:val="center"/>
        </w:trPr>
        <w:tc>
          <w:tcPr>
            <w:tcW w:w="5000" w:type="pct"/>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3BA3407D">
            <w:pPr>
              <w:spacing w:before="40" w:after="40" w:line="240" w:lineRule="exact"/>
              <w:rPr>
                <w:rFonts w:ascii="宋体" w:hAnsi="宋体" w:eastAsia="宋体" w:cs="宋体"/>
                <w:sz w:val="18"/>
                <w:szCs w:val="18"/>
              </w:rPr>
            </w:pPr>
            <w:r>
              <w:rPr>
                <w:rFonts w:ascii="宋体" w:hAnsi="宋体" w:eastAsia="宋体" w:cs="宋体"/>
                <w:sz w:val="18"/>
                <w:szCs w:val="18"/>
              </w:rPr>
              <w:t>分产品</w:t>
            </w:r>
          </w:p>
        </w:tc>
      </w:tr>
      <w:tr w14:paraId="279418E2">
        <w:trPr>
          <w:trHeight w:val="240" w:hRule="atLeast"/>
          <w:jc w:val="center"/>
        </w:trPr>
        <w:tc>
          <w:tcPr>
            <w:tcW w:w="942" w:type="pct"/>
            <w:tcBorders>
              <w:top w:val="single" w:color="auto" w:sz="2" w:space="0"/>
              <w:left w:val="single" w:color="auto" w:sz="2" w:space="0"/>
              <w:bottom w:val="single" w:color="auto" w:sz="2" w:space="0"/>
              <w:right w:val="single" w:color="auto" w:sz="2" w:space="0"/>
            </w:tcBorders>
            <w:vAlign w:val="center"/>
          </w:tcPr>
          <w:p w14:paraId="3ED8ACE6">
            <w:pPr>
              <w:spacing w:line="240" w:lineRule="exact"/>
              <w:rPr>
                <w:rFonts w:ascii="宋体" w:hAnsi="宋体" w:eastAsia="宋体" w:cs="宋体"/>
                <w:sz w:val="18"/>
                <w:szCs w:val="18"/>
              </w:rPr>
            </w:pPr>
            <w:r>
              <w:rPr>
                <w:rFonts w:hint="eastAsia" w:ascii="宋体" w:hAnsi="宋体" w:eastAsia="宋体" w:cs="宋体"/>
                <w:sz w:val="18"/>
                <w:szCs w:val="18"/>
              </w:rPr>
              <w:t>普通瓶装啤酒628m1</w:t>
            </w:r>
          </w:p>
        </w:tc>
        <w:tc>
          <w:tcPr>
            <w:tcW w:w="770" w:type="pct"/>
            <w:tcBorders>
              <w:top w:val="single" w:color="auto" w:sz="2" w:space="0"/>
              <w:left w:val="single" w:color="auto" w:sz="2" w:space="0"/>
              <w:bottom w:val="single" w:color="auto" w:sz="2" w:space="0"/>
              <w:right w:val="single" w:color="auto" w:sz="2" w:space="0"/>
            </w:tcBorders>
            <w:vAlign w:val="center"/>
          </w:tcPr>
          <w:p w14:paraId="196DB8A4">
            <w:pPr>
              <w:spacing w:line="240" w:lineRule="exact"/>
              <w:jc w:val="right"/>
              <w:rPr>
                <w:rFonts w:ascii="宋体" w:hAnsi="宋体" w:eastAsia="宋体" w:cs="宋体"/>
                <w:sz w:val="18"/>
                <w:szCs w:val="18"/>
              </w:rPr>
            </w:pPr>
            <w:r>
              <w:rPr>
                <w:rFonts w:ascii="宋体" w:hAnsi="宋体" w:eastAsia="宋体" w:cs="宋体"/>
                <w:sz w:val="18"/>
                <w:szCs w:val="18"/>
              </w:rPr>
              <w:t>111,942,955.29</w:t>
            </w:r>
          </w:p>
        </w:tc>
        <w:tc>
          <w:tcPr>
            <w:tcW w:w="801" w:type="pct"/>
            <w:tcBorders>
              <w:top w:val="single" w:color="auto" w:sz="2" w:space="0"/>
              <w:left w:val="single" w:color="auto" w:sz="2" w:space="0"/>
              <w:bottom w:val="single" w:color="auto" w:sz="2" w:space="0"/>
              <w:right w:val="single" w:color="auto" w:sz="2" w:space="0"/>
            </w:tcBorders>
            <w:vAlign w:val="center"/>
          </w:tcPr>
          <w:p w14:paraId="21513CA7">
            <w:pPr>
              <w:spacing w:line="240" w:lineRule="exact"/>
              <w:jc w:val="right"/>
              <w:rPr>
                <w:rFonts w:ascii="宋体" w:hAnsi="宋体" w:eastAsia="宋体" w:cs="宋体"/>
                <w:sz w:val="18"/>
                <w:szCs w:val="18"/>
              </w:rPr>
            </w:pPr>
            <w:r>
              <w:rPr>
                <w:rFonts w:ascii="宋体" w:hAnsi="宋体" w:eastAsia="宋体" w:cs="宋体"/>
                <w:sz w:val="18"/>
                <w:szCs w:val="18"/>
              </w:rPr>
              <w:t>77,129,577.90</w:t>
            </w:r>
          </w:p>
        </w:tc>
        <w:tc>
          <w:tcPr>
            <w:tcW w:w="416" w:type="pct"/>
            <w:tcBorders>
              <w:top w:val="single" w:color="auto" w:sz="2" w:space="0"/>
              <w:left w:val="single" w:color="auto" w:sz="2" w:space="0"/>
              <w:bottom w:val="single" w:color="auto" w:sz="2" w:space="0"/>
              <w:right w:val="single" w:color="auto" w:sz="2" w:space="0"/>
            </w:tcBorders>
            <w:vAlign w:val="center"/>
          </w:tcPr>
          <w:p w14:paraId="44909AAD">
            <w:pPr>
              <w:spacing w:line="240" w:lineRule="exact"/>
              <w:jc w:val="right"/>
              <w:rPr>
                <w:rFonts w:ascii="宋体" w:hAnsi="宋体" w:eastAsia="宋体" w:cs="宋体"/>
                <w:sz w:val="18"/>
                <w:szCs w:val="18"/>
              </w:rPr>
            </w:pPr>
            <w:r>
              <w:rPr>
                <w:rFonts w:ascii="宋体" w:hAnsi="宋体" w:eastAsia="宋体" w:cs="宋体"/>
                <w:sz w:val="18"/>
                <w:szCs w:val="18"/>
              </w:rPr>
              <w:t>31.10%</w:t>
            </w:r>
          </w:p>
        </w:tc>
        <w:tc>
          <w:tcPr>
            <w:tcW w:w="674" w:type="pct"/>
            <w:tcBorders>
              <w:top w:val="single" w:color="auto" w:sz="2" w:space="0"/>
              <w:left w:val="single" w:color="auto" w:sz="2" w:space="0"/>
              <w:bottom w:val="single" w:color="auto" w:sz="2" w:space="0"/>
              <w:right w:val="single" w:color="auto" w:sz="2" w:space="0"/>
            </w:tcBorders>
            <w:vAlign w:val="center"/>
          </w:tcPr>
          <w:p w14:paraId="7A8AA7AD">
            <w:pPr>
              <w:spacing w:line="240" w:lineRule="exact"/>
              <w:jc w:val="right"/>
              <w:rPr>
                <w:rFonts w:ascii="宋体" w:hAnsi="宋体" w:eastAsia="宋体" w:cs="宋体"/>
                <w:sz w:val="18"/>
                <w:szCs w:val="18"/>
              </w:rPr>
            </w:pPr>
            <w:r>
              <w:rPr>
                <w:rFonts w:ascii="宋体" w:hAnsi="宋体" w:eastAsia="宋体" w:cs="宋体"/>
                <w:sz w:val="18"/>
                <w:szCs w:val="18"/>
              </w:rPr>
              <w:t>22.63%</w:t>
            </w:r>
          </w:p>
        </w:tc>
        <w:tc>
          <w:tcPr>
            <w:tcW w:w="733" w:type="pct"/>
            <w:tcBorders>
              <w:top w:val="single" w:color="auto" w:sz="2" w:space="0"/>
              <w:left w:val="single" w:color="auto" w:sz="2" w:space="0"/>
              <w:bottom w:val="single" w:color="auto" w:sz="2" w:space="0"/>
              <w:right w:val="single" w:color="auto" w:sz="2" w:space="0"/>
            </w:tcBorders>
            <w:vAlign w:val="center"/>
          </w:tcPr>
          <w:p w14:paraId="344F86F8">
            <w:pPr>
              <w:spacing w:line="240" w:lineRule="exact"/>
              <w:jc w:val="right"/>
              <w:rPr>
                <w:rFonts w:ascii="宋体" w:hAnsi="宋体" w:eastAsia="宋体" w:cs="宋体"/>
                <w:sz w:val="18"/>
                <w:szCs w:val="18"/>
              </w:rPr>
            </w:pPr>
            <w:r>
              <w:rPr>
                <w:rFonts w:ascii="宋体" w:hAnsi="宋体" w:eastAsia="宋体" w:cs="宋体"/>
                <w:sz w:val="18"/>
                <w:szCs w:val="18"/>
              </w:rPr>
              <w:t>13.69%</w:t>
            </w:r>
          </w:p>
        </w:tc>
        <w:tc>
          <w:tcPr>
            <w:tcW w:w="661" w:type="pct"/>
            <w:tcBorders>
              <w:top w:val="single" w:color="auto" w:sz="2" w:space="0"/>
              <w:left w:val="single" w:color="auto" w:sz="2" w:space="0"/>
              <w:bottom w:val="single" w:color="auto" w:sz="2" w:space="0"/>
              <w:right w:val="single" w:color="auto" w:sz="2" w:space="0"/>
            </w:tcBorders>
            <w:vAlign w:val="center"/>
          </w:tcPr>
          <w:p w14:paraId="69F999F4">
            <w:pPr>
              <w:spacing w:line="240" w:lineRule="exact"/>
              <w:jc w:val="right"/>
              <w:rPr>
                <w:rFonts w:ascii="宋体" w:hAnsi="宋体" w:eastAsia="宋体" w:cs="宋体"/>
                <w:sz w:val="18"/>
                <w:szCs w:val="18"/>
              </w:rPr>
            </w:pPr>
            <w:r>
              <w:rPr>
                <w:rFonts w:ascii="宋体" w:hAnsi="宋体" w:eastAsia="宋体" w:cs="宋体"/>
                <w:sz w:val="18"/>
                <w:szCs w:val="18"/>
              </w:rPr>
              <w:t>5.42%</w:t>
            </w:r>
          </w:p>
        </w:tc>
      </w:tr>
      <w:tr w14:paraId="2057706A">
        <w:trPr>
          <w:trHeight w:val="240" w:hRule="atLeast"/>
          <w:jc w:val="center"/>
        </w:trPr>
        <w:tc>
          <w:tcPr>
            <w:tcW w:w="942" w:type="pct"/>
            <w:tcBorders>
              <w:top w:val="single" w:color="auto" w:sz="2" w:space="0"/>
              <w:left w:val="single" w:color="auto" w:sz="2" w:space="0"/>
              <w:bottom w:val="single" w:color="auto" w:sz="2" w:space="0"/>
              <w:right w:val="single" w:color="auto" w:sz="2" w:space="0"/>
            </w:tcBorders>
            <w:vAlign w:val="center"/>
          </w:tcPr>
          <w:p w14:paraId="778B5783">
            <w:pPr>
              <w:spacing w:line="240" w:lineRule="exact"/>
              <w:rPr>
                <w:rFonts w:ascii="宋体" w:hAnsi="宋体" w:eastAsia="宋体" w:cs="宋体"/>
                <w:sz w:val="18"/>
                <w:szCs w:val="18"/>
              </w:rPr>
            </w:pPr>
            <w:r>
              <w:rPr>
                <w:rFonts w:hint="eastAsia" w:ascii="宋体" w:hAnsi="宋体" w:eastAsia="宋体" w:cs="宋体"/>
                <w:sz w:val="18"/>
                <w:szCs w:val="18"/>
              </w:rPr>
              <w:t>绿色听装啤酒355m1</w:t>
            </w:r>
          </w:p>
        </w:tc>
        <w:tc>
          <w:tcPr>
            <w:tcW w:w="770" w:type="pct"/>
            <w:tcBorders>
              <w:top w:val="single" w:color="auto" w:sz="2" w:space="0"/>
              <w:left w:val="single" w:color="auto" w:sz="2" w:space="0"/>
              <w:bottom w:val="single" w:color="auto" w:sz="2" w:space="0"/>
              <w:right w:val="single" w:color="auto" w:sz="2" w:space="0"/>
            </w:tcBorders>
            <w:vAlign w:val="center"/>
          </w:tcPr>
          <w:p w14:paraId="37A92C62">
            <w:pPr>
              <w:spacing w:line="240" w:lineRule="exact"/>
              <w:jc w:val="right"/>
              <w:rPr>
                <w:rFonts w:ascii="宋体" w:hAnsi="宋体" w:eastAsia="宋体" w:cs="宋体"/>
                <w:sz w:val="18"/>
                <w:szCs w:val="18"/>
              </w:rPr>
            </w:pPr>
            <w:r>
              <w:rPr>
                <w:rFonts w:ascii="宋体" w:hAnsi="宋体" w:eastAsia="宋体" w:cs="宋体"/>
                <w:sz w:val="18"/>
                <w:szCs w:val="18"/>
              </w:rPr>
              <w:t>46,980,353.98</w:t>
            </w:r>
          </w:p>
        </w:tc>
        <w:tc>
          <w:tcPr>
            <w:tcW w:w="801" w:type="pct"/>
            <w:tcBorders>
              <w:top w:val="single" w:color="auto" w:sz="2" w:space="0"/>
              <w:left w:val="single" w:color="auto" w:sz="2" w:space="0"/>
              <w:bottom w:val="single" w:color="auto" w:sz="2" w:space="0"/>
              <w:right w:val="single" w:color="auto" w:sz="2" w:space="0"/>
            </w:tcBorders>
            <w:vAlign w:val="center"/>
          </w:tcPr>
          <w:p w14:paraId="701885BD">
            <w:pPr>
              <w:spacing w:line="240" w:lineRule="exact"/>
              <w:jc w:val="right"/>
              <w:rPr>
                <w:rFonts w:ascii="宋体" w:hAnsi="宋体" w:eastAsia="宋体" w:cs="宋体"/>
                <w:sz w:val="18"/>
                <w:szCs w:val="18"/>
              </w:rPr>
            </w:pPr>
            <w:r>
              <w:rPr>
                <w:rFonts w:ascii="宋体" w:hAnsi="宋体" w:eastAsia="宋体" w:cs="宋体"/>
                <w:sz w:val="18"/>
                <w:szCs w:val="18"/>
              </w:rPr>
              <w:t>25,759,624.85</w:t>
            </w:r>
          </w:p>
        </w:tc>
        <w:tc>
          <w:tcPr>
            <w:tcW w:w="416" w:type="pct"/>
            <w:tcBorders>
              <w:top w:val="single" w:color="auto" w:sz="2" w:space="0"/>
              <w:left w:val="single" w:color="auto" w:sz="2" w:space="0"/>
              <w:bottom w:val="single" w:color="auto" w:sz="2" w:space="0"/>
              <w:right w:val="single" w:color="auto" w:sz="2" w:space="0"/>
            </w:tcBorders>
            <w:vAlign w:val="center"/>
          </w:tcPr>
          <w:p w14:paraId="77CF9134">
            <w:pPr>
              <w:spacing w:line="240" w:lineRule="exact"/>
              <w:jc w:val="right"/>
              <w:rPr>
                <w:rFonts w:ascii="宋体" w:hAnsi="宋体" w:eastAsia="宋体" w:cs="宋体"/>
                <w:sz w:val="18"/>
                <w:szCs w:val="18"/>
              </w:rPr>
            </w:pPr>
            <w:r>
              <w:rPr>
                <w:rFonts w:ascii="宋体" w:hAnsi="宋体" w:eastAsia="宋体" w:cs="宋体"/>
                <w:sz w:val="18"/>
                <w:szCs w:val="18"/>
              </w:rPr>
              <w:t>45.17%</w:t>
            </w:r>
          </w:p>
        </w:tc>
        <w:tc>
          <w:tcPr>
            <w:tcW w:w="674" w:type="pct"/>
            <w:tcBorders>
              <w:top w:val="single" w:color="auto" w:sz="2" w:space="0"/>
              <w:left w:val="single" w:color="auto" w:sz="2" w:space="0"/>
              <w:bottom w:val="single" w:color="auto" w:sz="2" w:space="0"/>
              <w:right w:val="single" w:color="auto" w:sz="2" w:space="0"/>
            </w:tcBorders>
            <w:vAlign w:val="center"/>
          </w:tcPr>
          <w:p w14:paraId="7102674E">
            <w:pPr>
              <w:spacing w:line="240" w:lineRule="exact"/>
              <w:jc w:val="right"/>
              <w:rPr>
                <w:rFonts w:ascii="宋体" w:hAnsi="宋体" w:eastAsia="宋体" w:cs="宋体"/>
                <w:sz w:val="18"/>
                <w:szCs w:val="18"/>
              </w:rPr>
            </w:pPr>
            <w:r>
              <w:rPr>
                <w:rFonts w:ascii="宋体" w:hAnsi="宋体" w:eastAsia="宋体" w:cs="宋体"/>
                <w:sz w:val="18"/>
                <w:szCs w:val="18"/>
              </w:rPr>
              <w:t>0.51%</w:t>
            </w:r>
          </w:p>
        </w:tc>
        <w:tc>
          <w:tcPr>
            <w:tcW w:w="733" w:type="pct"/>
            <w:tcBorders>
              <w:top w:val="single" w:color="auto" w:sz="2" w:space="0"/>
              <w:left w:val="single" w:color="auto" w:sz="2" w:space="0"/>
              <w:bottom w:val="single" w:color="auto" w:sz="2" w:space="0"/>
              <w:right w:val="single" w:color="auto" w:sz="2" w:space="0"/>
            </w:tcBorders>
            <w:vAlign w:val="center"/>
          </w:tcPr>
          <w:p w14:paraId="04421F70">
            <w:pPr>
              <w:spacing w:line="240" w:lineRule="exact"/>
              <w:jc w:val="right"/>
              <w:rPr>
                <w:rFonts w:ascii="宋体" w:hAnsi="宋体" w:eastAsia="宋体" w:cs="宋体"/>
                <w:sz w:val="18"/>
                <w:szCs w:val="18"/>
              </w:rPr>
            </w:pPr>
            <w:r>
              <w:rPr>
                <w:rFonts w:ascii="宋体" w:hAnsi="宋体" w:eastAsia="宋体" w:cs="宋体"/>
                <w:sz w:val="18"/>
                <w:szCs w:val="18"/>
              </w:rPr>
              <w:t>-9.60%</w:t>
            </w:r>
          </w:p>
        </w:tc>
        <w:tc>
          <w:tcPr>
            <w:tcW w:w="661" w:type="pct"/>
            <w:tcBorders>
              <w:top w:val="single" w:color="auto" w:sz="2" w:space="0"/>
              <w:left w:val="single" w:color="auto" w:sz="2" w:space="0"/>
              <w:bottom w:val="single" w:color="auto" w:sz="2" w:space="0"/>
              <w:right w:val="single" w:color="auto" w:sz="2" w:space="0"/>
            </w:tcBorders>
            <w:vAlign w:val="center"/>
          </w:tcPr>
          <w:p w14:paraId="77BCC827">
            <w:pPr>
              <w:spacing w:line="240" w:lineRule="exact"/>
              <w:jc w:val="right"/>
              <w:rPr>
                <w:rFonts w:ascii="宋体" w:hAnsi="宋体" w:eastAsia="宋体" w:cs="宋体"/>
                <w:sz w:val="18"/>
                <w:szCs w:val="18"/>
              </w:rPr>
            </w:pPr>
            <w:r>
              <w:rPr>
                <w:rFonts w:ascii="宋体" w:hAnsi="宋体" w:eastAsia="宋体" w:cs="宋体"/>
                <w:sz w:val="18"/>
                <w:szCs w:val="18"/>
              </w:rPr>
              <w:t>6.13%</w:t>
            </w:r>
          </w:p>
        </w:tc>
      </w:tr>
      <w:tr w14:paraId="0C3DCF28">
        <w:trPr>
          <w:trHeight w:val="240" w:hRule="atLeast"/>
          <w:jc w:val="center"/>
        </w:trPr>
        <w:tc>
          <w:tcPr>
            <w:tcW w:w="942" w:type="pct"/>
            <w:tcBorders>
              <w:top w:val="single" w:color="auto" w:sz="2" w:space="0"/>
              <w:left w:val="single" w:color="auto" w:sz="2" w:space="0"/>
              <w:bottom w:val="single" w:color="auto" w:sz="2" w:space="0"/>
              <w:right w:val="single" w:color="auto" w:sz="2" w:space="0"/>
            </w:tcBorders>
            <w:vAlign w:val="center"/>
          </w:tcPr>
          <w:p w14:paraId="558049E1">
            <w:pPr>
              <w:spacing w:line="240" w:lineRule="exact"/>
              <w:rPr>
                <w:rFonts w:ascii="宋体" w:hAnsi="宋体" w:eastAsia="宋体" w:cs="宋体"/>
                <w:sz w:val="18"/>
                <w:szCs w:val="18"/>
              </w:rPr>
            </w:pPr>
            <w:r>
              <w:rPr>
                <w:rFonts w:hint="eastAsia" w:ascii="宋体" w:hAnsi="宋体" w:eastAsia="宋体" w:cs="宋体"/>
                <w:sz w:val="18"/>
                <w:szCs w:val="18"/>
              </w:rPr>
              <w:t>小瓶啤酒“3650”</w:t>
            </w:r>
          </w:p>
        </w:tc>
        <w:tc>
          <w:tcPr>
            <w:tcW w:w="770" w:type="pct"/>
            <w:tcBorders>
              <w:top w:val="single" w:color="auto" w:sz="2" w:space="0"/>
              <w:left w:val="single" w:color="auto" w:sz="2" w:space="0"/>
              <w:bottom w:val="single" w:color="auto" w:sz="2" w:space="0"/>
              <w:right w:val="single" w:color="auto" w:sz="2" w:space="0"/>
            </w:tcBorders>
            <w:vAlign w:val="center"/>
          </w:tcPr>
          <w:p w14:paraId="359F1F7F">
            <w:pPr>
              <w:spacing w:line="240" w:lineRule="exact"/>
              <w:jc w:val="right"/>
              <w:rPr>
                <w:rFonts w:ascii="宋体" w:hAnsi="宋体" w:eastAsia="宋体" w:cs="宋体"/>
                <w:sz w:val="18"/>
                <w:szCs w:val="18"/>
              </w:rPr>
            </w:pPr>
            <w:r>
              <w:rPr>
                <w:rFonts w:ascii="宋体" w:hAnsi="宋体" w:eastAsia="宋体" w:cs="宋体"/>
                <w:sz w:val="18"/>
                <w:szCs w:val="18"/>
              </w:rPr>
              <w:t>30,436,164.20</w:t>
            </w:r>
          </w:p>
        </w:tc>
        <w:tc>
          <w:tcPr>
            <w:tcW w:w="801" w:type="pct"/>
            <w:tcBorders>
              <w:top w:val="single" w:color="auto" w:sz="2" w:space="0"/>
              <w:left w:val="single" w:color="auto" w:sz="2" w:space="0"/>
              <w:bottom w:val="single" w:color="auto" w:sz="2" w:space="0"/>
              <w:right w:val="single" w:color="auto" w:sz="2" w:space="0"/>
            </w:tcBorders>
            <w:vAlign w:val="center"/>
          </w:tcPr>
          <w:p w14:paraId="34880E0C">
            <w:pPr>
              <w:spacing w:line="240" w:lineRule="exact"/>
              <w:jc w:val="right"/>
              <w:rPr>
                <w:rFonts w:ascii="宋体" w:hAnsi="宋体" w:eastAsia="宋体" w:cs="宋体"/>
                <w:sz w:val="18"/>
                <w:szCs w:val="18"/>
              </w:rPr>
            </w:pPr>
            <w:r>
              <w:rPr>
                <w:rFonts w:ascii="宋体" w:hAnsi="宋体" w:eastAsia="宋体" w:cs="宋体"/>
                <w:sz w:val="18"/>
                <w:szCs w:val="18"/>
              </w:rPr>
              <w:t>17,499,009.16</w:t>
            </w:r>
          </w:p>
        </w:tc>
        <w:tc>
          <w:tcPr>
            <w:tcW w:w="416" w:type="pct"/>
            <w:tcBorders>
              <w:top w:val="single" w:color="auto" w:sz="2" w:space="0"/>
              <w:left w:val="single" w:color="auto" w:sz="2" w:space="0"/>
              <w:bottom w:val="single" w:color="auto" w:sz="2" w:space="0"/>
              <w:right w:val="single" w:color="auto" w:sz="2" w:space="0"/>
            </w:tcBorders>
            <w:vAlign w:val="center"/>
          </w:tcPr>
          <w:p w14:paraId="628FC410">
            <w:pPr>
              <w:spacing w:line="240" w:lineRule="exact"/>
              <w:jc w:val="right"/>
              <w:rPr>
                <w:rFonts w:ascii="宋体" w:hAnsi="宋体" w:eastAsia="宋体" w:cs="宋体"/>
                <w:sz w:val="18"/>
                <w:szCs w:val="18"/>
              </w:rPr>
            </w:pPr>
            <w:r>
              <w:rPr>
                <w:rFonts w:ascii="宋体" w:hAnsi="宋体" w:eastAsia="宋体" w:cs="宋体"/>
                <w:sz w:val="18"/>
                <w:szCs w:val="18"/>
              </w:rPr>
              <w:t>42.51%</w:t>
            </w:r>
          </w:p>
        </w:tc>
        <w:tc>
          <w:tcPr>
            <w:tcW w:w="674" w:type="pct"/>
            <w:tcBorders>
              <w:top w:val="single" w:color="auto" w:sz="2" w:space="0"/>
              <w:left w:val="single" w:color="auto" w:sz="2" w:space="0"/>
              <w:bottom w:val="single" w:color="auto" w:sz="2" w:space="0"/>
              <w:right w:val="single" w:color="auto" w:sz="2" w:space="0"/>
            </w:tcBorders>
            <w:vAlign w:val="center"/>
          </w:tcPr>
          <w:p w14:paraId="4061949F">
            <w:pPr>
              <w:spacing w:line="240" w:lineRule="exact"/>
              <w:jc w:val="right"/>
              <w:rPr>
                <w:rFonts w:ascii="宋体" w:hAnsi="宋体" w:eastAsia="宋体" w:cs="宋体"/>
                <w:sz w:val="18"/>
                <w:szCs w:val="18"/>
              </w:rPr>
            </w:pPr>
            <w:r>
              <w:rPr>
                <w:rFonts w:ascii="宋体" w:hAnsi="宋体" w:eastAsia="宋体" w:cs="宋体"/>
                <w:sz w:val="18"/>
                <w:szCs w:val="18"/>
              </w:rPr>
              <w:t>237.38%</w:t>
            </w:r>
          </w:p>
        </w:tc>
        <w:tc>
          <w:tcPr>
            <w:tcW w:w="733" w:type="pct"/>
            <w:tcBorders>
              <w:top w:val="single" w:color="auto" w:sz="2" w:space="0"/>
              <w:left w:val="single" w:color="auto" w:sz="2" w:space="0"/>
              <w:bottom w:val="single" w:color="auto" w:sz="2" w:space="0"/>
              <w:right w:val="single" w:color="auto" w:sz="2" w:space="0"/>
            </w:tcBorders>
            <w:vAlign w:val="center"/>
          </w:tcPr>
          <w:p w14:paraId="7A8F666F">
            <w:pPr>
              <w:spacing w:line="240" w:lineRule="exact"/>
              <w:jc w:val="right"/>
              <w:rPr>
                <w:rFonts w:ascii="宋体" w:hAnsi="宋体" w:eastAsia="宋体" w:cs="宋体"/>
                <w:sz w:val="18"/>
                <w:szCs w:val="18"/>
              </w:rPr>
            </w:pPr>
            <w:r>
              <w:rPr>
                <w:rFonts w:ascii="宋体" w:hAnsi="宋体" w:eastAsia="宋体" w:cs="宋体"/>
                <w:sz w:val="18"/>
                <w:szCs w:val="18"/>
              </w:rPr>
              <w:t>150.66%</w:t>
            </w:r>
          </w:p>
        </w:tc>
        <w:tc>
          <w:tcPr>
            <w:tcW w:w="661" w:type="pct"/>
            <w:tcBorders>
              <w:top w:val="single" w:color="auto" w:sz="2" w:space="0"/>
              <w:left w:val="single" w:color="auto" w:sz="2" w:space="0"/>
              <w:bottom w:val="single" w:color="auto" w:sz="2" w:space="0"/>
              <w:right w:val="single" w:color="auto" w:sz="2" w:space="0"/>
            </w:tcBorders>
            <w:vAlign w:val="center"/>
          </w:tcPr>
          <w:p w14:paraId="6A59A5E2">
            <w:pPr>
              <w:spacing w:line="240" w:lineRule="exact"/>
              <w:jc w:val="right"/>
              <w:rPr>
                <w:rFonts w:ascii="宋体" w:hAnsi="宋体" w:eastAsia="宋体" w:cs="宋体"/>
                <w:sz w:val="18"/>
                <w:szCs w:val="18"/>
              </w:rPr>
            </w:pPr>
            <w:r>
              <w:rPr>
                <w:rFonts w:ascii="宋体" w:hAnsi="宋体" w:eastAsia="宋体" w:cs="宋体"/>
                <w:sz w:val="18"/>
                <w:szCs w:val="18"/>
              </w:rPr>
              <w:t>19.89%</w:t>
            </w:r>
          </w:p>
        </w:tc>
      </w:tr>
      <w:tr w14:paraId="690E1355">
        <w:trPr>
          <w:trHeight w:val="240" w:hRule="atLeast"/>
          <w:jc w:val="center"/>
        </w:trPr>
        <w:tc>
          <w:tcPr>
            <w:tcW w:w="5000" w:type="pct"/>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3A40F544">
            <w:pPr>
              <w:spacing w:before="40" w:after="40" w:line="240" w:lineRule="exact"/>
              <w:rPr>
                <w:rFonts w:ascii="宋体" w:hAnsi="宋体" w:eastAsia="宋体" w:cs="宋体"/>
                <w:sz w:val="18"/>
                <w:szCs w:val="18"/>
              </w:rPr>
            </w:pPr>
            <w:r>
              <w:rPr>
                <w:rFonts w:ascii="宋体" w:hAnsi="宋体" w:eastAsia="宋体" w:cs="宋体"/>
                <w:sz w:val="18"/>
                <w:szCs w:val="18"/>
              </w:rPr>
              <w:t>分地区</w:t>
            </w:r>
          </w:p>
        </w:tc>
      </w:tr>
      <w:tr w14:paraId="743D5D77">
        <w:trPr>
          <w:trHeight w:val="532" w:hRule="atLeast"/>
          <w:jc w:val="center"/>
        </w:trPr>
        <w:tc>
          <w:tcPr>
            <w:tcW w:w="942" w:type="pct"/>
            <w:tcBorders>
              <w:top w:val="single" w:color="auto" w:sz="2" w:space="0"/>
              <w:left w:val="single" w:color="auto" w:sz="2" w:space="0"/>
              <w:bottom w:val="single" w:color="auto" w:sz="2" w:space="0"/>
              <w:right w:val="single" w:color="auto" w:sz="2" w:space="0"/>
            </w:tcBorders>
            <w:vAlign w:val="center"/>
          </w:tcPr>
          <w:p w14:paraId="5C0897B7">
            <w:pPr>
              <w:spacing w:line="240" w:lineRule="exact"/>
              <w:rPr>
                <w:rFonts w:ascii="宋体" w:hAnsi="宋体" w:eastAsia="宋体" w:cs="宋体"/>
                <w:sz w:val="18"/>
                <w:szCs w:val="18"/>
              </w:rPr>
            </w:pPr>
            <w:r>
              <w:rPr>
                <w:rFonts w:ascii="宋体" w:hAnsi="宋体" w:eastAsia="宋体" w:cs="宋体"/>
                <w:sz w:val="18"/>
                <w:szCs w:val="18"/>
              </w:rPr>
              <w:t>西藏自治区</w:t>
            </w:r>
          </w:p>
        </w:tc>
        <w:tc>
          <w:tcPr>
            <w:tcW w:w="770" w:type="pct"/>
            <w:tcBorders>
              <w:top w:val="single" w:color="auto" w:sz="2" w:space="0"/>
              <w:left w:val="single" w:color="auto" w:sz="2" w:space="0"/>
              <w:bottom w:val="single" w:color="auto" w:sz="2" w:space="0"/>
              <w:right w:val="single" w:color="auto" w:sz="2" w:space="0"/>
            </w:tcBorders>
            <w:vAlign w:val="center"/>
          </w:tcPr>
          <w:p w14:paraId="50B140A4">
            <w:pPr>
              <w:spacing w:line="240" w:lineRule="exact"/>
              <w:jc w:val="right"/>
              <w:rPr>
                <w:rFonts w:ascii="宋体" w:hAnsi="宋体" w:eastAsia="宋体" w:cs="宋体"/>
                <w:sz w:val="18"/>
                <w:szCs w:val="18"/>
              </w:rPr>
            </w:pPr>
            <w:r>
              <w:rPr>
                <w:rFonts w:ascii="宋体" w:hAnsi="宋体" w:eastAsia="宋体" w:cs="宋体"/>
                <w:sz w:val="18"/>
                <w:szCs w:val="18"/>
              </w:rPr>
              <w:t>187,474,621.45</w:t>
            </w:r>
          </w:p>
        </w:tc>
        <w:tc>
          <w:tcPr>
            <w:tcW w:w="801" w:type="pct"/>
            <w:tcBorders>
              <w:top w:val="single" w:color="auto" w:sz="2" w:space="0"/>
              <w:left w:val="single" w:color="auto" w:sz="2" w:space="0"/>
              <w:bottom w:val="single" w:color="auto" w:sz="2" w:space="0"/>
              <w:right w:val="single" w:color="auto" w:sz="2" w:space="0"/>
            </w:tcBorders>
            <w:vAlign w:val="center"/>
          </w:tcPr>
          <w:p w14:paraId="3B09A267">
            <w:pPr>
              <w:spacing w:line="240" w:lineRule="exact"/>
              <w:jc w:val="right"/>
              <w:rPr>
                <w:rFonts w:ascii="宋体" w:hAnsi="宋体" w:eastAsia="宋体" w:cs="宋体"/>
                <w:sz w:val="18"/>
                <w:szCs w:val="18"/>
              </w:rPr>
            </w:pPr>
            <w:r>
              <w:rPr>
                <w:rFonts w:ascii="宋体" w:hAnsi="宋体" w:eastAsia="宋体" w:cs="宋体"/>
                <w:sz w:val="18"/>
                <w:szCs w:val="18"/>
              </w:rPr>
              <w:t>119,058,447.19</w:t>
            </w:r>
          </w:p>
        </w:tc>
        <w:tc>
          <w:tcPr>
            <w:tcW w:w="416" w:type="pct"/>
            <w:tcBorders>
              <w:top w:val="single" w:color="auto" w:sz="2" w:space="0"/>
              <w:left w:val="single" w:color="auto" w:sz="2" w:space="0"/>
              <w:bottom w:val="single" w:color="auto" w:sz="2" w:space="0"/>
              <w:right w:val="single" w:color="auto" w:sz="2" w:space="0"/>
            </w:tcBorders>
            <w:vAlign w:val="center"/>
          </w:tcPr>
          <w:p w14:paraId="7BA8268D">
            <w:pPr>
              <w:spacing w:line="240" w:lineRule="exact"/>
              <w:jc w:val="right"/>
              <w:rPr>
                <w:rFonts w:ascii="宋体" w:hAnsi="宋体" w:eastAsia="宋体" w:cs="宋体"/>
                <w:sz w:val="18"/>
                <w:szCs w:val="18"/>
              </w:rPr>
            </w:pPr>
            <w:r>
              <w:rPr>
                <w:rFonts w:ascii="宋体" w:hAnsi="宋体" w:eastAsia="宋体" w:cs="宋体"/>
                <w:sz w:val="18"/>
                <w:szCs w:val="18"/>
              </w:rPr>
              <w:t>36.49%</w:t>
            </w:r>
          </w:p>
        </w:tc>
        <w:tc>
          <w:tcPr>
            <w:tcW w:w="674" w:type="pct"/>
            <w:tcBorders>
              <w:top w:val="single" w:color="auto" w:sz="2" w:space="0"/>
              <w:left w:val="single" w:color="auto" w:sz="2" w:space="0"/>
              <w:bottom w:val="single" w:color="auto" w:sz="2" w:space="0"/>
              <w:right w:val="single" w:color="auto" w:sz="2" w:space="0"/>
            </w:tcBorders>
            <w:vAlign w:val="center"/>
          </w:tcPr>
          <w:p w14:paraId="7CDBE6F4">
            <w:pPr>
              <w:spacing w:line="240" w:lineRule="exact"/>
              <w:jc w:val="right"/>
              <w:rPr>
                <w:rFonts w:ascii="宋体" w:hAnsi="宋体" w:eastAsia="宋体" w:cs="宋体"/>
                <w:sz w:val="18"/>
                <w:szCs w:val="18"/>
              </w:rPr>
            </w:pPr>
            <w:r>
              <w:rPr>
                <w:rFonts w:ascii="宋体" w:hAnsi="宋体" w:eastAsia="宋体" w:cs="宋体"/>
                <w:sz w:val="18"/>
                <w:szCs w:val="18"/>
              </w:rPr>
              <w:t>27.18%</w:t>
            </w:r>
          </w:p>
        </w:tc>
        <w:tc>
          <w:tcPr>
            <w:tcW w:w="733" w:type="pct"/>
            <w:tcBorders>
              <w:top w:val="single" w:color="auto" w:sz="2" w:space="0"/>
              <w:left w:val="single" w:color="auto" w:sz="2" w:space="0"/>
              <w:bottom w:val="single" w:color="auto" w:sz="2" w:space="0"/>
              <w:right w:val="single" w:color="auto" w:sz="2" w:space="0"/>
            </w:tcBorders>
            <w:vAlign w:val="center"/>
          </w:tcPr>
          <w:p w14:paraId="0E20CDE7">
            <w:pPr>
              <w:widowControl/>
              <w:jc w:val="right"/>
              <w:rPr>
                <w:sz w:val="18"/>
                <w:szCs w:val="18"/>
              </w:rPr>
            </w:pPr>
          </w:p>
          <w:p w14:paraId="1B13FB50">
            <w:pPr>
              <w:widowControl/>
              <w:jc w:val="right"/>
              <w:rPr>
                <w:rFonts w:ascii="宋体" w:hAnsi="宋体" w:eastAsia="宋体" w:cs="宋体"/>
                <w:kern w:val="0"/>
                <w:sz w:val="18"/>
                <w:szCs w:val="18"/>
              </w:rPr>
            </w:pPr>
            <w:r>
              <w:rPr>
                <w:rFonts w:hint="eastAsia"/>
                <w:sz w:val="18"/>
                <w:szCs w:val="18"/>
              </w:rPr>
              <w:t>15.23%</w:t>
            </w:r>
          </w:p>
          <w:p w14:paraId="1B382909">
            <w:pPr>
              <w:spacing w:line="240" w:lineRule="exact"/>
              <w:jc w:val="right"/>
              <w:rPr>
                <w:rFonts w:ascii="宋体" w:hAnsi="宋体" w:eastAsia="宋体" w:cs="宋体"/>
                <w:sz w:val="18"/>
                <w:szCs w:val="18"/>
              </w:rPr>
            </w:pPr>
          </w:p>
        </w:tc>
        <w:tc>
          <w:tcPr>
            <w:tcW w:w="661" w:type="pct"/>
            <w:tcBorders>
              <w:top w:val="single" w:color="auto" w:sz="2" w:space="0"/>
              <w:left w:val="single" w:color="auto" w:sz="2" w:space="0"/>
              <w:bottom w:val="single" w:color="auto" w:sz="2" w:space="0"/>
              <w:right w:val="single" w:color="auto" w:sz="2" w:space="0"/>
            </w:tcBorders>
            <w:vAlign w:val="center"/>
          </w:tcPr>
          <w:p w14:paraId="548B04A0">
            <w:pPr>
              <w:spacing w:line="240" w:lineRule="exact"/>
              <w:jc w:val="right"/>
              <w:rPr>
                <w:rFonts w:ascii="宋体" w:hAnsi="宋体" w:eastAsia="宋体" w:cs="宋体"/>
                <w:sz w:val="18"/>
                <w:szCs w:val="18"/>
              </w:rPr>
            </w:pPr>
            <w:r>
              <w:rPr>
                <w:rFonts w:ascii="宋体" w:hAnsi="宋体" w:eastAsia="宋体" w:cs="宋体"/>
                <w:sz w:val="18"/>
                <w:szCs w:val="18"/>
              </w:rPr>
              <w:t>6.58%</w:t>
            </w:r>
          </w:p>
        </w:tc>
      </w:tr>
    </w:tbl>
    <w:p w14:paraId="71379B48">
      <w:pPr>
        <w:spacing w:before="100" w:after="100" w:line="240" w:lineRule="exact"/>
        <w:rPr>
          <w:rFonts w:ascii="宋体" w:hAnsi="宋体" w:eastAsia="宋体" w:cs="宋体"/>
          <w:sz w:val="18"/>
          <w:szCs w:val="18"/>
        </w:rPr>
      </w:pPr>
      <w:r>
        <w:rPr>
          <w:rFonts w:ascii="宋体" w:hAnsi="宋体" w:eastAsia="宋体" w:cs="宋体"/>
          <w:sz w:val="18"/>
          <w:szCs w:val="18"/>
        </w:rPr>
        <w:t>公司主营业务数据统计口径在报告期发生调整的情况下，公司最近1期按报告期末口径调整后的主营业务数据</w:t>
      </w:r>
    </w:p>
    <w:p w14:paraId="7D4D1F80">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2BE6591">
      <w:pPr>
        <w:spacing w:before="100" w:after="100" w:line="240" w:lineRule="exact"/>
        <w:rPr>
          <w:rFonts w:ascii="宋体" w:hAnsi="宋体" w:eastAsia="宋体" w:cs="宋体"/>
          <w:sz w:val="18"/>
          <w:szCs w:val="18"/>
        </w:rPr>
      </w:pPr>
      <w:r>
        <w:rPr>
          <w:rFonts w:ascii="宋体" w:hAnsi="宋体" w:eastAsia="宋体" w:cs="宋体"/>
          <w:sz w:val="18"/>
          <w:szCs w:val="18"/>
        </w:rPr>
        <w:t>公司需遵守《深圳证券交易所上市公司自律监管指引第3号——行业信息披露》中的“食品及酒制造相关业务”的披露要求</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35CD5A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F1367E">
            <w:pPr>
              <w:spacing w:before="40" w:after="40" w:line="240" w:lineRule="exact"/>
              <w:jc w:val="center"/>
              <w:rPr>
                <w:rFonts w:hint="eastAsia"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C45319">
            <w:pPr>
              <w:spacing w:before="40" w:after="40" w:line="240" w:lineRule="exact"/>
              <w:jc w:val="center"/>
              <w:rPr>
                <w:rFonts w:hint="eastAsia"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B498F6">
            <w:pPr>
              <w:spacing w:before="40" w:after="40" w:line="240" w:lineRule="exact"/>
              <w:jc w:val="center"/>
              <w:rPr>
                <w:rFonts w:hint="eastAsia" w:ascii="宋体" w:hAnsi="宋体" w:eastAsia="宋体" w:cs="宋体"/>
                <w:sz w:val="18"/>
                <w:szCs w:val="18"/>
              </w:rPr>
            </w:pPr>
            <w:r>
              <w:rPr>
                <w:rFonts w:ascii="宋体" w:hAnsi="宋体" w:eastAsia="宋体" w:cs="宋体"/>
                <w:sz w:val="18"/>
                <w:szCs w:val="18"/>
              </w:rPr>
              <w:t>上期发生额</w:t>
            </w:r>
          </w:p>
        </w:tc>
      </w:tr>
      <w:tr w14:paraId="18530B2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B7D6208">
            <w:pPr>
              <w:spacing w:line="240" w:lineRule="exact"/>
              <w:rPr>
                <w:rFonts w:hint="eastAsia"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642671C5">
            <w:pPr>
              <w:spacing w:line="240" w:lineRule="exact"/>
              <w:jc w:val="right"/>
              <w:rPr>
                <w:rFonts w:hint="eastAsia" w:ascii="宋体" w:hAnsi="宋体" w:eastAsia="宋体" w:cs="宋体"/>
                <w:sz w:val="18"/>
                <w:szCs w:val="18"/>
              </w:rPr>
            </w:pPr>
            <w:r>
              <w:rPr>
                <w:rFonts w:ascii="宋体" w:hAnsi="宋体" w:eastAsia="宋体" w:cs="宋体"/>
                <w:sz w:val="18"/>
                <w:szCs w:val="18"/>
              </w:rPr>
              <w:t>2,160,040.08</w:t>
            </w:r>
          </w:p>
        </w:tc>
        <w:tc>
          <w:tcPr>
            <w:tcW w:w="3213" w:type="dxa"/>
            <w:tcBorders>
              <w:top w:val="single" w:color="auto" w:sz="2" w:space="0"/>
              <w:left w:val="single" w:color="auto" w:sz="2" w:space="0"/>
              <w:bottom w:val="single" w:color="auto" w:sz="2" w:space="0"/>
              <w:right w:val="single" w:color="auto" w:sz="2" w:space="0"/>
            </w:tcBorders>
            <w:vAlign w:val="center"/>
          </w:tcPr>
          <w:p w14:paraId="31E77A7E">
            <w:pPr>
              <w:spacing w:line="240" w:lineRule="exact"/>
              <w:jc w:val="right"/>
              <w:rPr>
                <w:rFonts w:hint="eastAsia" w:ascii="宋体" w:hAnsi="宋体" w:eastAsia="宋体" w:cs="宋体"/>
                <w:sz w:val="18"/>
                <w:szCs w:val="18"/>
              </w:rPr>
            </w:pPr>
            <w:r>
              <w:rPr>
                <w:rFonts w:ascii="宋体" w:hAnsi="宋体" w:eastAsia="宋体" w:cs="宋体"/>
                <w:sz w:val="18"/>
                <w:szCs w:val="18"/>
              </w:rPr>
              <w:t>2,430,365.35</w:t>
            </w:r>
          </w:p>
        </w:tc>
      </w:tr>
      <w:tr w14:paraId="4600D3B2">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4DF35FA">
            <w:pPr>
              <w:spacing w:line="240" w:lineRule="exact"/>
              <w:rPr>
                <w:rFonts w:hint="eastAsia" w:ascii="宋体" w:hAnsi="宋体" w:eastAsia="宋体" w:cs="宋体"/>
                <w:sz w:val="18"/>
                <w:szCs w:val="18"/>
              </w:rPr>
            </w:pPr>
            <w:r>
              <w:rPr>
                <w:rFonts w:ascii="宋体" w:hAnsi="宋体" w:eastAsia="宋体" w:cs="宋体"/>
                <w:sz w:val="18"/>
                <w:szCs w:val="18"/>
              </w:rPr>
              <w:t>差旅费</w:t>
            </w:r>
          </w:p>
        </w:tc>
        <w:tc>
          <w:tcPr>
            <w:tcW w:w="3213" w:type="dxa"/>
            <w:tcBorders>
              <w:top w:val="single" w:color="auto" w:sz="2" w:space="0"/>
              <w:left w:val="single" w:color="auto" w:sz="2" w:space="0"/>
              <w:bottom w:val="single" w:color="auto" w:sz="2" w:space="0"/>
              <w:right w:val="single" w:color="auto" w:sz="2" w:space="0"/>
            </w:tcBorders>
            <w:vAlign w:val="center"/>
          </w:tcPr>
          <w:p w14:paraId="42267FC0">
            <w:pPr>
              <w:spacing w:line="240" w:lineRule="exact"/>
              <w:jc w:val="right"/>
              <w:rPr>
                <w:rFonts w:hint="eastAsia" w:ascii="宋体" w:hAnsi="宋体" w:eastAsia="宋体" w:cs="宋体"/>
                <w:sz w:val="18"/>
                <w:szCs w:val="18"/>
              </w:rPr>
            </w:pPr>
            <w:r>
              <w:rPr>
                <w:rFonts w:ascii="宋体" w:hAnsi="宋体" w:eastAsia="宋体" w:cs="宋体"/>
                <w:sz w:val="18"/>
                <w:szCs w:val="18"/>
              </w:rPr>
              <w:t>114,445.68</w:t>
            </w:r>
          </w:p>
        </w:tc>
        <w:tc>
          <w:tcPr>
            <w:tcW w:w="3213" w:type="dxa"/>
            <w:tcBorders>
              <w:top w:val="single" w:color="auto" w:sz="2" w:space="0"/>
              <w:left w:val="single" w:color="auto" w:sz="2" w:space="0"/>
              <w:bottom w:val="single" w:color="auto" w:sz="2" w:space="0"/>
              <w:right w:val="single" w:color="auto" w:sz="2" w:space="0"/>
            </w:tcBorders>
            <w:vAlign w:val="center"/>
          </w:tcPr>
          <w:p w14:paraId="59FFD0F9">
            <w:pPr>
              <w:spacing w:line="240" w:lineRule="exact"/>
              <w:jc w:val="right"/>
              <w:rPr>
                <w:rFonts w:hint="eastAsia" w:ascii="宋体" w:hAnsi="宋体" w:eastAsia="宋体" w:cs="宋体"/>
                <w:sz w:val="18"/>
                <w:szCs w:val="18"/>
              </w:rPr>
            </w:pPr>
            <w:r>
              <w:rPr>
                <w:rFonts w:ascii="宋体" w:hAnsi="宋体" w:eastAsia="宋体" w:cs="宋体"/>
                <w:sz w:val="18"/>
                <w:szCs w:val="18"/>
              </w:rPr>
              <w:t>143,041.39</w:t>
            </w:r>
          </w:p>
        </w:tc>
      </w:tr>
      <w:tr w14:paraId="685E2CD5">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8C63B71">
            <w:pPr>
              <w:spacing w:line="240" w:lineRule="exact"/>
              <w:rPr>
                <w:rFonts w:hint="eastAsia" w:ascii="宋体" w:hAnsi="宋体" w:eastAsia="宋体" w:cs="宋体"/>
                <w:sz w:val="18"/>
                <w:szCs w:val="18"/>
              </w:rPr>
            </w:pPr>
            <w:r>
              <w:rPr>
                <w:rFonts w:ascii="宋体" w:hAnsi="宋体" w:eastAsia="宋体" w:cs="宋体"/>
                <w:sz w:val="18"/>
                <w:szCs w:val="18"/>
              </w:rPr>
              <w:t>促销费</w:t>
            </w:r>
          </w:p>
        </w:tc>
        <w:tc>
          <w:tcPr>
            <w:tcW w:w="3213" w:type="dxa"/>
            <w:tcBorders>
              <w:top w:val="single" w:color="auto" w:sz="2" w:space="0"/>
              <w:left w:val="single" w:color="auto" w:sz="2" w:space="0"/>
              <w:bottom w:val="single" w:color="auto" w:sz="2" w:space="0"/>
              <w:right w:val="single" w:color="auto" w:sz="2" w:space="0"/>
            </w:tcBorders>
            <w:vAlign w:val="center"/>
          </w:tcPr>
          <w:p w14:paraId="57E3277B">
            <w:pPr>
              <w:spacing w:line="240" w:lineRule="exact"/>
              <w:jc w:val="right"/>
              <w:rPr>
                <w:rFonts w:hint="eastAsia" w:ascii="宋体" w:hAnsi="宋体" w:eastAsia="宋体" w:cs="宋体"/>
                <w:sz w:val="18"/>
                <w:szCs w:val="18"/>
              </w:rPr>
            </w:pPr>
            <w:r>
              <w:rPr>
                <w:rFonts w:ascii="宋体" w:hAnsi="宋体" w:eastAsia="宋体" w:cs="宋体"/>
                <w:sz w:val="18"/>
                <w:szCs w:val="18"/>
              </w:rPr>
              <w:t>1,088,535.00</w:t>
            </w:r>
          </w:p>
        </w:tc>
        <w:tc>
          <w:tcPr>
            <w:tcW w:w="3213" w:type="dxa"/>
            <w:tcBorders>
              <w:top w:val="single" w:color="auto" w:sz="2" w:space="0"/>
              <w:left w:val="single" w:color="auto" w:sz="2" w:space="0"/>
              <w:bottom w:val="single" w:color="auto" w:sz="2" w:space="0"/>
              <w:right w:val="single" w:color="auto" w:sz="2" w:space="0"/>
            </w:tcBorders>
            <w:vAlign w:val="center"/>
          </w:tcPr>
          <w:p w14:paraId="406E73D3">
            <w:pPr>
              <w:spacing w:line="240" w:lineRule="exact"/>
              <w:jc w:val="right"/>
              <w:rPr>
                <w:rFonts w:hint="eastAsia" w:ascii="宋体" w:hAnsi="宋体" w:eastAsia="宋体" w:cs="宋体"/>
                <w:sz w:val="18"/>
                <w:szCs w:val="18"/>
              </w:rPr>
            </w:pPr>
          </w:p>
        </w:tc>
      </w:tr>
      <w:tr w14:paraId="4D205BC2">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FEAD6A5">
            <w:pPr>
              <w:spacing w:line="240" w:lineRule="exact"/>
              <w:rPr>
                <w:rFonts w:hint="eastAsia" w:ascii="宋体" w:hAnsi="宋体" w:eastAsia="宋体" w:cs="宋体"/>
                <w:sz w:val="18"/>
                <w:szCs w:val="18"/>
              </w:rPr>
            </w:pPr>
            <w:r>
              <w:rPr>
                <w:rFonts w:ascii="宋体" w:hAnsi="宋体" w:eastAsia="宋体" w:cs="宋体"/>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6F396E07">
            <w:pPr>
              <w:spacing w:line="240" w:lineRule="exact"/>
              <w:jc w:val="right"/>
              <w:rPr>
                <w:rFonts w:hint="eastAsia" w:ascii="宋体" w:hAnsi="宋体" w:eastAsia="宋体" w:cs="宋体"/>
                <w:sz w:val="18"/>
                <w:szCs w:val="18"/>
              </w:rPr>
            </w:pPr>
            <w:r>
              <w:rPr>
                <w:rFonts w:ascii="宋体" w:hAnsi="宋体" w:eastAsia="宋体" w:cs="宋体"/>
                <w:sz w:val="18"/>
                <w:szCs w:val="18"/>
              </w:rPr>
              <w:t>83,817.39</w:t>
            </w:r>
          </w:p>
        </w:tc>
        <w:tc>
          <w:tcPr>
            <w:tcW w:w="3213" w:type="dxa"/>
            <w:tcBorders>
              <w:top w:val="single" w:color="auto" w:sz="2" w:space="0"/>
              <w:left w:val="single" w:color="auto" w:sz="2" w:space="0"/>
              <w:bottom w:val="single" w:color="auto" w:sz="2" w:space="0"/>
              <w:right w:val="single" w:color="auto" w:sz="2" w:space="0"/>
            </w:tcBorders>
            <w:vAlign w:val="center"/>
          </w:tcPr>
          <w:p w14:paraId="093EE693">
            <w:pPr>
              <w:spacing w:line="240" w:lineRule="exact"/>
              <w:jc w:val="right"/>
              <w:rPr>
                <w:rFonts w:hint="eastAsia" w:ascii="宋体" w:hAnsi="宋体" w:eastAsia="宋体" w:cs="宋体"/>
                <w:sz w:val="18"/>
                <w:szCs w:val="18"/>
              </w:rPr>
            </w:pPr>
            <w:r>
              <w:rPr>
                <w:rFonts w:ascii="宋体" w:hAnsi="宋体" w:eastAsia="宋体" w:cs="宋体"/>
                <w:sz w:val="18"/>
                <w:szCs w:val="18"/>
              </w:rPr>
              <w:t>63,623.98</w:t>
            </w:r>
          </w:p>
        </w:tc>
      </w:tr>
      <w:tr w14:paraId="3FF9363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D6D10D1">
            <w:pPr>
              <w:spacing w:line="240" w:lineRule="exact"/>
              <w:rPr>
                <w:rFonts w:hint="eastAsia" w:ascii="宋体" w:hAnsi="宋体" w:eastAsia="宋体" w:cs="宋体"/>
                <w:sz w:val="18"/>
                <w:szCs w:val="18"/>
              </w:rPr>
            </w:pPr>
            <w:r>
              <w:rPr>
                <w:rFonts w:ascii="宋体" w:hAnsi="宋体" w:eastAsia="宋体" w:cs="宋体"/>
                <w:sz w:val="18"/>
                <w:szCs w:val="18"/>
              </w:rPr>
              <w:t>折旧费</w:t>
            </w:r>
          </w:p>
        </w:tc>
        <w:tc>
          <w:tcPr>
            <w:tcW w:w="3213" w:type="dxa"/>
            <w:tcBorders>
              <w:top w:val="single" w:color="auto" w:sz="2" w:space="0"/>
              <w:left w:val="single" w:color="auto" w:sz="2" w:space="0"/>
              <w:bottom w:val="single" w:color="auto" w:sz="2" w:space="0"/>
              <w:right w:val="single" w:color="auto" w:sz="2" w:space="0"/>
            </w:tcBorders>
            <w:vAlign w:val="center"/>
          </w:tcPr>
          <w:p w14:paraId="0C2B1EFC">
            <w:pPr>
              <w:spacing w:line="240" w:lineRule="exact"/>
              <w:jc w:val="right"/>
              <w:rPr>
                <w:rFonts w:hint="eastAsia" w:ascii="宋体" w:hAnsi="宋体" w:eastAsia="宋体" w:cs="宋体"/>
                <w:sz w:val="18"/>
                <w:szCs w:val="18"/>
              </w:rPr>
            </w:pPr>
            <w:r>
              <w:rPr>
                <w:rFonts w:ascii="宋体" w:hAnsi="宋体" w:eastAsia="宋体" w:cs="宋体"/>
                <w:sz w:val="18"/>
                <w:szCs w:val="18"/>
              </w:rPr>
              <w:t>164,959.38</w:t>
            </w:r>
          </w:p>
        </w:tc>
        <w:tc>
          <w:tcPr>
            <w:tcW w:w="3213" w:type="dxa"/>
            <w:tcBorders>
              <w:top w:val="single" w:color="auto" w:sz="2" w:space="0"/>
              <w:left w:val="single" w:color="auto" w:sz="2" w:space="0"/>
              <w:bottom w:val="single" w:color="auto" w:sz="2" w:space="0"/>
              <w:right w:val="single" w:color="auto" w:sz="2" w:space="0"/>
            </w:tcBorders>
            <w:vAlign w:val="center"/>
          </w:tcPr>
          <w:p w14:paraId="6D50632A">
            <w:pPr>
              <w:spacing w:line="240" w:lineRule="exact"/>
              <w:jc w:val="right"/>
              <w:rPr>
                <w:rFonts w:hint="eastAsia" w:ascii="宋体" w:hAnsi="宋体" w:eastAsia="宋体" w:cs="宋体"/>
                <w:sz w:val="18"/>
                <w:szCs w:val="18"/>
              </w:rPr>
            </w:pPr>
            <w:r>
              <w:rPr>
                <w:rFonts w:ascii="宋体" w:hAnsi="宋体" w:eastAsia="宋体" w:cs="宋体"/>
                <w:sz w:val="18"/>
                <w:szCs w:val="18"/>
              </w:rPr>
              <w:t>101,048.12</w:t>
            </w:r>
          </w:p>
        </w:tc>
      </w:tr>
      <w:tr w14:paraId="05E7E9E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6A2EF9E">
            <w:pPr>
              <w:spacing w:line="240" w:lineRule="exact"/>
              <w:rPr>
                <w:rFonts w:hint="eastAsia" w:ascii="宋体" w:hAnsi="宋体" w:eastAsia="宋体" w:cs="宋体"/>
                <w:sz w:val="18"/>
                <w:szCs w:val="18"/>
              </w:rPr>
            </w:pPr>
            <w:r>
              <w:rPr>
                <w:rFonts w:ascii="宋体" w:hAnsi="宋体" w:eastAsia="宋体" w:cs="宋体"/>
                <w:sz w:val="18"/>
                <w:szCs w:val="18"/>
              </w:rPr>
              <w:t>运费</w:t>
            </w:r>
          </w:p>
        </w:tc>
        <w:tc>
          <w:tcPr>
            <w:tcW w:w="3213" w:type="dxa"/>
            <w:tcBorders>
              <w:top w:val="single" w:color="auto" w:sz="2" w:space="0"/>
              <w:left w:val="single" w:color="auto" w:sz="2" w:space="0"/>
              <w:bottom w:val="single" w:color="auto" w:sz="2" w:space="0"/>
              <w:right w:val="single" w:color="auto" w:sz="2" w:space="0"/>
            </w:tcBorders>
            <w:vAlign w:val="center"/>
          </w:tcPr>
          <w:p w14:paraId="43CF6D58">
            <w:pPr>
              <w:spacing w:line="240" w:lineRule="exact"/>
              <w:jc w:val="right"/>
              <w:rPr>
                <w:rFonts w:hint="eastAsia" w:ascii="宋体" w:hAnsi="宋体" w:eastAsia="宋体" w:cs="宋体"/>
                <w:sz w:val="18"/>
                <w:szCs w:val="18"/>
              </w:rPr>
            </w:pPr>
            <w:r>
              <w:rPr>
                <w:rFonts w:ascii="宋体" w:hAnsi="宋体" w:eastAsia="宋体" w:cs="宋体"/>
                <w:sz w:val="18"/>
                <w:szCs w:val="18"/>
              </w:rPr>
              <w:t>70,922.17</w:t>
            </w:r>
          </w:p>
        </w:tc>
        <w:tc>
          <w:tcPr>
            <w:tcW w:w="3213" w:type="dxa"/>
            <w:tcBorders>
              <w:top w:val="single" w:color="auto" w:sz="2" w:space="0"/>
              <w:left w:val="single" w:color="auto" w:sz="2" w:space="0"/>
              <w:bottom w:val="single" w:color="auto" w:sz="2" w:space="0"/>
              <w:right w:val="single" w:color="auto" w:sz="2" w:space="0"/>
            </w:tcBorders>
            <w:vAlign w:val="center"/>
          </w:tcPr>
          <w:p w14:paraId="07A2A6DC">
            <w:pPr>
              <w:spacing w:line="240" w:lineRule="exact"/>
              <w:jc w:val="right"/>
              <w:rPr>
                <w:rFonts w:hint="eastAsia" w:ascii="宋体" w:hAnsi="宋体" w:eastAsia="宋体" w:cs="宋体"/>
                <w:sz w:val="18"/>
                <w:szCs w:val="18"/>
              </w:rPr>
            </w:pPr>
            <w:r>
              <w:rPr>
                <w:rFonts w:ascii="宋体" w:hAnsi="宋体" w:eastAsia="宋体" w:cs="宋体"/>
                <w:sz w:val="18"/>
                <w:szCs w:val="18"/>
              </w:rPr>
              <w:t>30,489.12</w:t>
            </w:r>
          </w:p>
        </w:tc>
      </w:tr>
      <w:tr w14:paraId="5BC0CF96">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D048A80">
            <w:pPr>
              <w:spacing w:line="240" w:lineRule="exact"/>
              <w:rPr>
                <w:rFonts w:hint="eastAsia" w:ascii="宋体" w:hAnsi="宋体" w:eastAsia="宋体" w:cs="宋体"/>
                <w:sz w:val="18"/>
                <w:szCs w:val="18"/>
              </w:rPr>
            </w:pPr>
            <w:r>
              <w:rPr>
                <w:rFonts w:ascii="宋体" w:hAnsi="宋体" w:eastAsia="宋体" w:cs="宋体"/>
                <w:sz w:val="18"/>
                <w:szCs w:val="18"/>
              </w:rPr>
              <w:t>商品损毁</w:t>
            </w:r>
          </w:p>
        </w:tc>
        <w:tc>
          <w:tcPr>
            <w:tcW w:w="3213" w:type="dxa"/>
            <w:tcBorders>
              <w:top w:val="single" w:color="auto" w:sz="2" w:space="0"/>
              <w:left w:val="single" w:color="auto" w:sz="2" w:space="0"/>
              <w:bottom w:val="single" w:color="auto" w:sz="2" w:space="0"/>
              <w:right w:val="single" w:color="auto" w:sz="2" w:space="0"/>
            </w:tcBorders>
            <w:vAlign w:val="center"/>
          </w:tcPr>
          <w:p w14:paraId="22420C98">
            <w:pPr>
              <w:spacing w:line="240" w:lineRule="exact"/>
              <w:jc w:val="right"/>
              <w:rPr>
                <w:rFonts w:hint="eastAsia" w:ascii="宋体" w:hAnsi="宋体" w:eastAsia="宋体" w:cs="宋体"/>
                <w:sz w:val="18"/>
                <w:szCs w:val="18"/>
              </w:rPr>
            </w:pPr>
            <w:r>
              <w:rPr>
                <w:rFonts w:ascii="宋体" w:hAnsi="宋体" w:eastAsia="宋体" w:cs="宋体"/>
                <w:sz w:val="18"/>
                <w:szCs w:val="18"/>
              </w:rPr>
              <w:t>290,925.47</w:t>
            </w:r>
          </w:p>
        </w:tc>
        <w:tc>
          <w:tcPr>
            <w:tcW w:w="3213" w:type="dxa"/>
            <w:tcBorders>
              <w:top w:val="single" w:color="auto" w:sz="2" w:space="0"/>
              <w:left w:val="single" w:color="auto" w:sz="2" w:space="0"/>
              <w:bottom w:val="single" w:color="auto" w:sz="2" w:space="0"/>
              <w:right w:val="single" w:color="auto" w:sz="2" w:space="0"/>
            </w:tcBorders>
            <w:vAlign w:val="center"/>
          </w:tcPr>
          <w:p w14:paraId="5AE9F09E">
            <w:pPr>
              <w:spacing w:line="240" w:lineRule="exact"/>
              <w:jc w:val="right"/>
              <w:rPr>
                <w:rFonts w:hint="eastAsia" w:ascii="宋体" w:hAnsi="宋体" w:eastAsia="宋体" w:cs="宋体"/>
                <w:sz w:val="18"/>
                <w:szCs w:val="18"/>
              </w:rPr>
            </w:pPr>
            <w:r>
              <w:rPr>
                <w:rFonts w:ascii="宋体" w:hAnsi="宋体" w:eastAsia="宋体" w:cs="宋体"/>
                <w:sz w:val="18"/>
                <w:szCs w:val="18"/>
              </w:rPr>
              <w:t>339,929.68</w:t>
            </w:r>
          </w:p>
        </w:tc>
      </w:tr>
      <w:tr w14:paraId="3AB4DD6C">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EE8A6CE">
            <w:pPr>
              <w:spacing w:line="240" w:lineRule="exact"/>
              <w:rPr>
                <w:rFonts w:hint="eastAsia" w:ascii="宋体" w:hAnsi="宋体" w:eastAsia="宋体" w:cs="宋体"/>
                <w:sz w:val="18"/>
                <w:szCs w:val="18"/>
              </w:rPr>
            </w:pPr>
            <w:r>
              <w:rPr>
                <w:rFonts w:ascii="宋体" w:hAnsi="宋体" w:eastAsia="宋体" w:cs="宋体"/>
                <w:sz w:val="18"/>
                <w:szCs w:val="18"/>
              </w:rPr>
              <w:t>广告宣传费</w:t>
            </w:r>
          </w:p>
        </w:tc>
        <w:tc>
          <w:tcPr>
            <w:tcW w:w="3213" w:type="dxa"/>
            <w:tcBorders>
              <w:top w:val="single" w:color="auto" w:sz="2" w:space="0"/>
              <w:left w:val="single" w:color="auto" w:sz="2" w:space="0"/>
              <w:bottom w:val="single" w:color="auto" w:sz="2" w:space="0"/>
              <w:right w:val="single" w:color="auto" w:sz="2" w:space="0"/>
            </w:tcBorders>
            <w:vAlign w:val="center"/>
          </w:tcPr>
          <w:p w14:paraId="0E53E33D">
            <w:pPr>
              <w:spacing w:line="240" w:lineRule="exact"/>
              <w:jc w:val="right"/>
              <w:rPr>
                <w:rFonts w:hint="eastAsia" w:ascii="宋体" w:hAnsi="宋体" w:eastAsia="宋体" w:cs="宋体"/>
                <w:sz w:val="18"/>
                <w:szCs w:val="18"/>
              </w:rPr>
            </w:pPr>
            <w:r>
              <w:rPr>
                <w:rFonts w:ascii="宋体" w:hAnsi="宋体" w:eastAsia="宋体" w:cs="宋体"/>
                <w:sz w:val="18"/>
                <w:szCs w:val="18"/>
              </w:rPr>
              <w:t>967,429.42</w:t>
            </w:r>
          </w:p>
        </w:tc>
        <w:tc>
          <w:tcPr>
            <w:tcW w:w="3213" w:type="dxa"/>
            <w:tcBorders>
              <w:top w:val="single" w:color="auto" w:sz="2" w:space="0"/>
              <w:left w:val="single" w:color="auto" w:sz="2" w:space="0"/>
              <w:bottom w:val="single" w:color="auto" w:sz="2" w:space="0"/>
              <w:right w:val="single" w:color="auto" w:sz="2" w:space="0"/>
            </w:tcBorders>
            <w:vAlign w:val="center"/>
          </w:tcPr>
          <w:p w14:paraId="434149B1">
            <w:pPr>
              <w:spacing w:line="240" w:lineRule="exact"/>
              <w:jc w:val="right"/>
              <w:rPr>
                <w:rFonts w:hint="eastAsia" w:ascii="宋体" w:hAnsi="宋体" w:eastAsia="宋体" w:cs="宋体"/>
                <w:sz w:val="18"/>
                <w:szCs w:val="18"/>
              </w:rPr>
            </w:pPr>
            <w:r>
              <w:rPr>
                <w:rFonts w:ascii="宋体" w:hAnsi="宋体" w:eastAsia="宋体" w:cs="宋体"/>
                <w:sz w:val="18"/>
                <w:szCs w:val="18"/>
              </w:rPr>
              <w:t>168,822.00</w:t>
            </w:r>
          </w:p>
        </w:tc>
      </w:tr>
      <w:tr w14:paraId="41FE3615">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79F5512">
            <w:pPr>
              <w:spacing w:line="240" w:lineRule="exact"/>
              <w:rPr>
                <w:rFonts w:hint="eastAsia" w:ascii="宋体" w:hAnsi="宋体" w:eastAsia="宋体" w:cs="宋体"/>
                <w:sz w:val="18"/>
                <w:szCs w:val="18"/>
              </w:rPr>
            </w:pPr>
            <w:r>
              <w:rPr>
                <w:rFonts w:ascii="宋体" w:hAnsi="宋体" w:eastAsia="宋体" w:cs="宋体"/>
                <w:sz w:val="18"/>
                <w:szCs w:val="18"/>
              </w:rPr>
              <w:t>材料及维修费</w:t>
            </w:r>
          </w:p>
        </w:tc>
        <w:tc>
          <w:tcPr>
            <w:tcW w:w="3213" w:type="dxa"/>
            <w:tcBorders>
              <w:top w:val="single" w:color="auto" w:sz="2" w:space="0"/>
              <w:left w:val="single" w:color="auto" w:sz="2" w:space="0"/>
              <w:bottom w:val="single" w:color="auto" w:sz="2" w:space="0"/>
              <w:right w:val="single" w:color="auto" w:sz="2" w:space="0"/>
            </w:tcBorders>
            <w:vAlign w:val="center"/>
          </w:tcPr>
          <w:p w14:paraId="468F6F67">
            <w:pPr>
              <w:spacing w:line="240" w:lineRule="exact"/>
              <w:jc w:val="right"/>
              <w:rPr>
                <w:rFonts w:hint="eastAsia" w:ascii="宋体" w:hAnsi="宋体" w:eastAsia="宋体" w:cs="宋体"/>
                <w:sz w:val="18"/>
                <w:szCs w:val="18"/>
              </w:rPr>
            </w:pPr>
            <w:r>
              <w:rPr>
                <w:rFonts w:ascii="宋体" w:hAnsi="宋体" w:eastAsia="宋体" w:cs="宋体"/>
                <w:sz w:val="18"/>
                <w:szCs w:val="18"/>
              </w:rPr>
              <w:t>110,967.38</w:t>
            </w:r>
          </w:p>
        </w:tc>
        <w:tc>
          <w:tcPr>
            <w:tcW w:w="3213" w:type="dxa"/>
            <w:tcBorders>
              <w:top w:val="single" w:color="auto" w:sz="2" w:space="0"/>
              <w:left w:val="single" w:color="auto" w:sz="2" w:space="0"/>
              <w:bottom w:val="single" w:color="auto" w:sz="2" w:space="0"/>
              <w:right w:val="single" w:color="auto" w:sz="2" w:space="0"/>
            </w:tcBorders>
            <w:vAlign w:val="center"/>
          </w:tcPr>
          <w:p w14:paraId="07B1906C">
            <w:pPr>
              <w:spacing w:line="240" w:lineRule="exact"/>
              <w:jc w:val="right"/>
              <w:rPr>
                <w:rFonts w:hint="eastAsia" w:ascii="宋体" w:hAnsi="宋体" w:eastAsia="宋体" w:cs="宋体"/>
                <w:sz w:val="18"/>
                <w:szCs w:val="18"/>
              </w:rPr>
            </w:pPr>
            <w:r>
              <w:rPr>
                <w:rFonts w:ascii="宋体" w:hAnsi="宋体" w:eastAsia="宋体" w:cs="宋体"/>
                <w:sz w:val="18"/>
                <w:szCs w:val="18"/>
              </w:rPr>
              <w:t>183,900.30</w:t>
            </w:r>
          </w:p>
        </w:tc>
      </w:tr>
      <w:tr w14:paraId="3348CAE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06D9BF8">
            <w:pPr>
              <w:spacing w:line="240" w:lineRule="exact"/>
              <w:rPr>
                <w:rFonts w:hint="eastAsia" w:ascii="宋体" w:hAnsi="宋体" w:eastAsia="宋体" w:cs="宋体"/>
                <w:sz w:val="18"/>
                <w:szCs w:val="18"/>
              </w:rPr>
            </w:pPr>
            <w:r>
              <w:rPr>
                <w:rFonts w:ascii="宋体" w:hAnsi="宋体" w:eastAsia="宋体" w:cs="宋体"/>
                <w:sz w:val="18"/>
                <w:szCs w:val="18"/>
              </w:rPr>
              <w:t>车辆使用费</w:t>
            </w:r>
          </w:p>
        </w:tc>
        <w:tc>
          <w:tcPr>
            <w:tcW w:w="3213" w:type="dxa"/>
            <w:tcBorders>
              <w:top w:val="single" w:color="auto" w:sz="2" w:space="0"/>
              <w:left w:val="single" w:color="auto" w:sz="2" w:space="0"/>
              <w:bottom w:val="single" w:color="auto" w:sz="2" w:space="0"/>
              <w:right w:val="single" w:color="auto" w:sz="2" w:space="0"/>
            </w:tcBorders>
            <w:vAlign w:val="center"/>
          </w:tcPr>
          <w:p w14:paraId="180558DB">
            <w:pPr>
              <w:spacing w:line="240" w:lineRule="exact"/>
              <w:jc w:val="right"/>
              <w:rPr>
                <w:rFonts w:hint="eastAsia" w:ascii="宋体" w:hAnsi="宋体" w:eastAsia="宋体" w:cs="宋体"/>
                <w:sz w:val="18"/>
                <w:szCs w:val="18"/>
              </w:rPr>
            </w:pPr>
            <w:r>
              <w:rPr>
                <w:rFonts w:ascii="宋体" w:hAnsi="宋体" w:eastAsia="宋体" w:cs="宋体"/>
                <w:sz w:val="18"/>
                <w:szCs w:val="18"/>
              </w:rPr>
              <w:t>27,123.74</w:t>
            </w:r>
          </w:p>
        </w:tc>
        <w:tc>
          <w:tcPr>
            <w:tcW w:w="3213" w:type="dxa"/>
            <w:tcBorders>
              <w:top w:val="single" w:color="auto" w:sz="2" w:space="0"/>
              <w:left w:val="single" w:color="auto" w:sz="2" w:space="0"/>
              <w:bottom w:val="single" w:color="auto" w:sz="2" w:space="0"/>
              <w:right w:val="single" w:color="auto" w:sz="2" w:space="0"/>
            </w:tcBorders>
            <w:vAlign w:val="center"/>
          </w:tcPr>
          <w:p w14:paraId="202E8248">
            <w:pPr>
              <w:spacing w:line="240" w:lineRule="exact"/>
              <w:jc w:val="right"/>
              <w:rPr>
                <w:rFonts w:hint="eastAsia" w:ascii="宋体" w:hAnsi="宋体" w:eastAsia="宋体" w:cs="宋体"/>
                <w:sz w:val="18"/>
                <w:szCs w:val="18"/>
              </w:rPr>
            </w:pPr>
            <w:r>
              <w:rPr>
                <w:rFonts w:ascii="宋体" w:hAnsi="宋体" w:eastAsia="宋体" w:cs="宋体"/>
                <w:sz w:val="18"/>
                <w:szCs w:val="18"/>
              </w:rPr>
              <w:t>176,971.16</w:t>
            </w:r>
          </w:p>
        </w:tc>
      </w:tr>
      <w:tr w14:paraId="5D4C9DC9">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A9C524A">
            <w:pPr>
              <w:spacing w:line="240" w:lineRule="exact"/>
              <w:rPr>
                <w:rFonts w:hint="eastAsia" w:ascii="宋体" w:hAnsi="宋体" w:eastAsia="宋体" w:cs="宋体"/>
                <w:sz w:val="18"/>
                <w:szCs w:val="18"/>
              </w:rPr>
            </w:pPr>
            <w:r>
              <w:rPr>
                <w:rFonts w:ascii="宋体" w:hAnsi="宋体" w:eastAsia="宋体" w:cs="宋体"/>
                <w:sz w:val="18"/>
                <w:szCs w:val="18"/>
              </w:rPr>
              <w:t>技术咨询费</w:t>
            </w:r>
          </w:p>
        </w:tc>
        <w:tc>
          <w:tcPr>
            <w:tcW w:w="3213" w:type="dxa"/>
            <w:tcBorders>
              <w:top w:val="single" w:color="auto" w:sz="2" w:space="0"/>
              <w:left w:val="single" w:color="auto" w:sz="2" w:space="0"/>
              <w:bottom w:val="single" w:color="auto" w:sz="2" w:space="0"/>
              <w:right w:val="single" w:color="auto" w:sz="2" w:space="0"/>
            </w:tcBorders>
            <w:vAlign w:val="center"/>
          </w:tcPr>
          <w:p w14:paraId="2A0DA2F9">
            <w:pPr>
              <w:spacing w:line="240" w:lineRule="exact"/>
              <w:jc w:val="right"/>
              <w:rPr>
                <w:rFonts w:hint="eastAsia" w:ascii="宋体" w:hAnsi="宋体" w:eastAsia="宋体" w:cs="宋体"/>
                <w:sz w:val="18"/>
                <w:szCs w:val="18"/>
              </w:rPr>
            </w:pPr>
            <w:r>
              <w:rPr>
                <w:rFonts w:ascii="宋体" w:hAnsi="宋体" w:eastAsia="宋体" w:cs="宋体"/>
                <w:sz w:val="18"/>
                <w:szCs w:val="18"/>
              </w:rPr>
              <w:t>84,905.66</w:t>
            </w:r>
          </w:p>
        </w:tc>
        <w:tc>
          <w:tcPr>
            <w:tcW w:w="3213" w:type="dxa"/>
            <w:tcBorders>
              <w:top w:val="single" w:color="auto" w:sz="2" w:space="0"/>
              <w:left w:val="single" w:color="auto" w:sz="2" w:space="0"/>
              <w:bottom w:val="single" w:color="auto" w:sz="2" w:space="0"/>
              <w:right w:val="single" w:color="auto" w:sz="2" w:space="0"/>
            </w:tcBorders>
            <w:vAlign w:val="center"/>
          </w:tcPr>
          <w:p w14:paraId="6831E5DF">
            <w:pPr>
              <w:spacing w:line="240" w:lineRule="exact"/>
              <w:jc w:val="right"/>
              <w:rPr>
                <w:rFonts w:hint="eastAsia" w:ascii="宋体" w:hAnsi="宋体" w:eastAsia="宋体" w:cs="宋体"/>
                <w:sz w:val="18"/>
                <w:szCs w:val="18"/>
              </w:rPr>
            </w:pPr>
            <w:r>
              <w:rPr>
                <w:rFonts w:ascii="宋体" w:hAnsi="宋体" w:eastAsia="宋体" w:cs="宋体"/>
                <w:sz w:val="18"/>
                <w:szCs w:val="18"/>
              </w:rPr>
              <w:t>8,386.53</w:t>
            </w:r>
          </w:p>
        </w:tc>
      </w:tr>
      <w:tr w14:paraId="744BA359">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F4E18EF">
            <w:pPr>
              <w:spacing w:line="240" w:lineRule="exact"/>
              <w:rPr>
                <w:rFonts w:hint="eastAsia"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521F7EC3">
            <w:pPr>
              <w:spacing w:line="240" w:lineRule="exact"/>
              <w:jc w:val="right"/>
              <w:rPr>
                <w:rFonts w:hint="eastAsia" w:ascii="宋体" w:hAnsi="宋体" w:eastAsia="宋体" w:cs="宋体"/>
                <w:sz w:val="18"/>
                <w:szCs w:val="18"/>
              </w:rPr>
            </w:pPr>
            <w:r>
              <w:rPr>
                <w:rFonts w:ascii="宋体" w:hAnsi="宋体" w:eastAsia="宋体" w:cs="宋体"/>
                <w:sz w:val="18"/>
                <w:szCs w:val="18"/>
              </w:rPr>
              <w:t>433,876.52</w:t>
            </w:r>
          </w:p>
        </w:tc>
        <w:tc>
          <w:tcPr>
            <w:tcW w:w="3213" w:type="dxa"/>
            <w:tcBorders>
              <w:top w:val="single" w:color="auto" w:sz="2" w:space="0"/>
              <w:left w:val="single" w:color="auto" w:sz="2" w:space="0"/>
              <w:bottom w:val="single" w:color="auto" w:sz="2" w:space="0"/>
              <w:right w:val="single" w:color="auto" w:sz="2" w:space="0"/>
            </w:tcBorders>
            <w:vAlign w:val="center"/>
          </w:tcPr>
          <w:p w14:paraId="1D4ED4EF">
            <w:pPr>
              <w:spacing w:line="240" w:lineRule="exact"/>
              <w:jc w:val="right"/>
              <w:rPr>
                <w:rFonts w:hint="eastAsia" w:ascii="宋体" w:hAnsi="宋体" w:eastAsia="宋体" w:cs="宋体"/>
                <w:sz w:val="18"/>
                <w:szCs w:val="18"/>
              </w:rPr>
            </w:pPr>
            <w:r>
              <w:rPr>
                <w:rFonts w:ascii="宋体" w:hAnsi="宋体" w:eastAsia="宋体" w:cs="宋体"/>
                <w:sz w:val="18"/>
                <w:szCs w:val="18"/>
              </w:rPr>
              <w:t>393,981.98</w:t>
            </w:r>
          </w:p>
        </w:tc>
      </w:tr>
      <w:tr w14:paraId="250BAEA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C674F6">
            <w:pPr>
              <w:spacing w:before="40" w:after="40" w:line="240" w:lineRule="exact"/>
              <w:rPr>
                <w:rFonts w:hint="eastAsia"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C81BCF0">
            <w:pPr>
              <w:spacing w:line="240" w:lineRule="exact"/>
              <w:jc w:val="right"/>
              <w:rPr>
                <w:rFonts w:hint="eastAsia" w:ascii="宋体" w:hAnsi="宋体" w:eastAsia="宋体" w:cs="宋体"/>
                <w:sz w:val="18"/>
                <w:szCs w:val="18"/>
              </w:rPr>
            </w:pPr>
            <w:r>
              <w:rPr>
                <w:rFonts w:ascii="宋体" w:hAnsi="宋体" w:eastAsia="宋体" w:cs="宋体"/>
                <w:sz w:val="18"/>
                <w:szCs w:val="18"/>
              </w:rPr>
              <w:t>5,597,947.89</w:t>
            </w:r>
          </w:p>
        </w:tc>
        <w:tc>
          <w:tcPr>
            <w:tcW w:w="3213" w:type="dxa"/>
            <w:tcBorders>
              <w:top w:val="single" w:color="auto" w:sz="2" w:space="0"/>
              <w:left w:val="single" w:color="auto" w:sz="2" w:space="0"/>
              <w:bottom w:val="single" w:color="auto" w:sz="2" w:space="0"/>
              <w:right w:val="single" w:color="auto" w:sz="2" w:space="0"/>
            </w:tcBorders>
            <w:vAlign w:val="center"/>
          </w:tcPr>
          <w:p w14:paraId="383A062D">
            <w:pPr>
              <w:spacing w:line="240" w:lineRule="exact"/>
              <w:jc w:val="right"/>
              <w:rPr>
                <w:rFonts w:hint="eastAsia" w:ascii="宋体" w:hAnsi="宋体" w:eastAsia="宋体" w:cs="宋体"/>
                <w:sz w:val="18"/>
                <w:szCs w:val="18"/>
              </w:rPr>
            </w:pPr>
            <w:r>
              <w:rPr>
                <w:rFonts w:ascii="宋体" w:hAnsi="宋体" w:eastAsia="宋体" w:cs="宋体"/>
                <w:sz w:val="18"/>
                <w:szCs w:val="18"/>
              </w:rPr>
              <w:t>4,040,559.61</w:t>
            </w:r>
          </w:p>
        </w:tc>
      </w:tr>
    </w:tbl>
    <w:p w14:paraId="380D94C9">
      <w:pPr>
        <w:pStyle w:val="2"/>
        <w:spacing w:before="300" w:after="20" w:line="320" w:lineRule="exact"/>
        <w:rPr>
          <w:rFonts w:ascii="宋体" w:hAnsi="宋体" w:eastAsia="宋体" w:cs="宋体"/>
          <w:b/>
          <w:bCs/>
          <w:sz w:val="24"/>
          <w:szCs w:val="24"/>
        </w:rPr>
      </w:pPr>
      <w:bookmarkStart w:id="17" w:name="_Toc988906"/>
      <w:r>
        <w:rPr>
          <w:rFonts w:ascii="宋体" w:hAnsi="宋体" w:eastAsia="宋体" w:cs="宋体"/>
          <w:b/>
          <w:bCs/>
          <w:sz w:val="24"/>
          <w:szCs w:val="24"/>
        </w:rPr>
        <w:t>四、非主营业务分析</w:t>
      </w:r>
      <w:bookmarkEnd w:id="17"/>
    </w:p>
    <w:p w14:paraId="7C11BD28">
      <w:pPr>
        <w:spacing w:before="40" w:after="2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4F929513">
      <w:pPr>
        <w:spacing w:before="120" w:after="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4988"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37"/>
        <w:gridCol w:w="1489"/>
        <w:gridCol w:w="1477"/>
        <w:gridCol w:w="4040"/>
        <w:gridCol w:w="1687"/>
      </w:tblGrid>
      <w:tr w14:paraId="67B7C8F5">
        <w:trPr>
          <w:trHeight w:val="337" w:hRule="atLeast"/>
          <w:jc w:val="center"/>
        </w:trPr>
        <w:tc>
          <w:tcPr>
            <w:tcW w:w="578" w:type="pct"/>
            <w:tcBorders>
              <w:top w:val="single" w:color="auto" w:sz="2" w:space="0"/>
              <w:left w:val="single" w:color="auto" w:sz="2" w:space="0"/>
              <w:bottom w:val="single" w:color="auto" w:sz="2" w:space="0"/>
              <w:right w:val="single" w:color="auto" w:sz="2" w:space="0"/>
            </w:tcBorders>
            <w:shd w:val="clear" w:color="auto" w:fill="D3D3D3"/>
            <w:vAlign w:val="center"/>
          </w:tcPr>
          <w:p w14:paraId="456DE952">
            <w:pPr>
              <w:spacing w:after="20"/>
            </w:pPr>
          </w:p>
        </w:tc>
        <w:tc>
          <w:tcPr>
            <w:tcW w:w="757" w:type="pct"/>
            <w:tcBorders>
              <w:top w:val="single" w:color="auto" w:sz="2" w:space="0"/>
              <w:left w:val="single" w:color="auto" w:sz="2" w:space="0"/>
              <w:bottom w:val="single" w:color="auto" w:sz="2" w:space="0"/>
              <w:right w:val="single" w:color="auto" w:sz="2" w:space="0"/>
            </w:tcBorders>
            <w:shd w:val="clear" w:color="auto" w:fill="D3D3D3"/>
            <w:vAlign w:val="center"/>
          </w:tcPr>
          <w:p w14:paraId="249CCC74">
            <w:pPr>
              <w:spacing w:before="40" w:after="20" w:line="240" w:lineRule="exact"/>
              <w:jc w:val="center"/>
              <w:rPr>
                <w:rFonts w:ascii="宋体" w:hAnsi="宋体" w:eastAsia="宋体" w:cs="宋体"/>
                <w:sz w:val="18"/>
                <w:szCs w:val="18"/>
              </w:rPr>
            </w:pPr>
            <w:r>
              <w:rPr>
                <w:rFonts w:ascii="宋体" w:hAnsi="宋体" w:eastAsia="宋体" w:cs="宋体"/>
                <w:sz w:val="18"/>
                <w:szCs w:val="18"/>
              </w:rPr>
              <w:t>金额</w:t>
            </w:r>
          </w:p>
        </w:tc>
        <w:tc>
          <w:tcPr>
            <w:tcW w:w="751" w:type="pct"/>
            <w:tcBorders>
              <w:top w:val="single" w:color="auto" w:sz="2" w:space="0"/>
              <w:left w:val="single" w:color="auto" w:sz="2" w:space="0"/>
              <w:bottom w:val="single" w:color="auto" w:sz="2" w:space="0"/>
              <w:right w:val="single" w:color="auto" w:sz="2" w:space="0"/>
            </w:tcBorders>
            <w:shd w:val="clear" w:color="auto" w:fill="D3D3D3"/>
            <w:vAlign w:val="center"/>
          </w:tcPr>
          <w:p w14:paraId="2E5C3391">
            <w:pPr>
              <w:spacing w:before="40" w:after="20" w:line="240" w:lineRule="exact"/>
              <w:jc w:val="center"/>
              <w:rPr>
                <w:rFonts w:ascii="宋体" w:hAnsi="宋体" w:eastAsia="宋体" w:cs="宋体"/>
                <w:sz w:val="18"/>
                <w:szCs w:val="18"/>
              </w:rPr>
            </w:pPr>
            <w:r>
              <w:rPr>
                <w:rFonts w:ascii="宋体" w:hAnsi="宋体" w:eastAsia="宋体" w:cs="宋体"/>
                <w:sz w:val="18"/>
                <w:szCs w:val="18"/>
              </w:rPr>
              <w:t>占利润总额比例</w:t>
            </w:r>
          </w:p>
        </w:tc>
        <w:tc>
          <w:tcPr>
            <w:tcW w:w="2055" w:type="pct"/>
            <w:tcBorders>
              <w:top w:val="single" w:color="auto" w:sz="2" w:space="0"/>
              <w:left w:val="single" w:color="auto" w:sz="2" w:space="0"/>
              <w:bottom w:val="single" w:color="auto" w:sz="2" w:space="0"/>
              <w:right w:val="single" w:color="auto" w:sz="2" w:space="0"/>
            </w:tcBorders>
            <w:shd w:val="clear" w:color="auto" w:fill="D3D3D3"/>
            <w:vAlign w:val="center"/>
          </w:tcPr>
          <w:p w14:paraId="223308B6">
            <w:pPr>
              <w:spacing w:before="40" w:after="20" w:line="240" w:lineRule="exact"/>
              <w:jc w:val="center"/>
              <w:rPr>
                <w:rFonts w:ascii="宋体" w:hAnsi="宋体" w:eastAsia="宋体" w:cs="宋体"/>
                <w:sz w:val="18"/>
                <w:szCs w:val="18"/>
              </w:rPr>
            </w:pPr>
            <w:r>
              <w:rPr>
                <w:rFonts w:ascii="宋体" w:hAnsi="宋体" w:eastAsia="宋体" w:cs="宋体"/>
                <w:sz w:val="18"/>
                <w:szCs w:val="18"/>
              </w:rPr>
              <w:t>形成原因说明</w:t>
            </w:r>
          </w:p>
        </w:tc>
        <w:tc>
          <w:tcPr>
            <w:tcW w:w="858" w:type="pct"/>
            <w:tcBorders>
              <w:top w:val="single" w:color="auto" w:sz="2" w:space="0"/>
              <w:left w:val="single" w:color="auto" w:sz="2" w:space="0"/>
              <w:bottom w:val="single" w:color="auto" w:sz="2" w:space="0"/>
              <w:right w:val="single" w:color="auto" w:sz="2" w:space="0"/>
            </w:tcBorders>
            <w:shd w:val="clear" w:color="auto" w:fill="D3D3D3"/>
            <w:vAlign w:val="center"/>
          </w:tcPr>
          <w:p w14:paraId="1AE1E917">
            <w:pPr>
              <w:spacing w:before="40" w:after="20" w:line="240" w:lineRule="exact"/>
              <w:jc w:val="center"/>
              <w:rPr>
                <w:rFonts w:ascii="宋体" w:hAnsi="宋体" w:eastAsia="宋体" w:cs="宋体"/>
                <w:sz w:val="18"/>
                <w:szCs w:val="18"/>
              </w:rPr>
            </w:pPr>
            <w:r>
              <w:rPr>
                <w:rFonts w:ascii="宋体" w:hAnsi="宋体" w:eastAsia="宋体" w:cs="宋体"/>
                <w:sz w:val="18"/>
                <w:szCs w:val="18"/>
              </w:rPr>
              <w:t>是否具有可持续性</w:t>
            </w:r>
          </w:p>
        </w:tc>
      </w:tr>
      <w:tr w14:paraId="39352330">
        <w:trPr>
          <w:trHeight w:val="240" w:hRule="atLeast"/>
          <w:jc w:val="center"/>
        </w:trPr>
        <w:tc>
          <w:tcPr>
            <w:tcW w:w="578" w:type="pct"/>
            <w:tcBorders>
              <w:top w:val="single" w:color="auto" w:sz="2" w:space="0"/>
              <w:left w:val="single" w:color="auto" w:sz="2" w:space="0"/>
              <w:bottom w:val="single" w:color="auto" w:sz="2" w:space="0"/>
              <w:right w:val="single" w:color="auto" w:sz="2" w:space="0"/>
            </w:tcBorders>
            <w:shd w:val="clear" w:color="auto" w:fill="D3D3D3"/>
            <w:vAlign w:val="center"/>
          </w:tcPr>
          <w:p w14:paraId="10A54249">
            <w:pPr>
              <w:spacing w:before="40" w:after="40" w:line="240" w:lineRule="exact"/>
              <w:rPr>
                <w:rFonts w:ascii="宋体" w:hAnsi="宋体" w:eastAsia="宋体" w:cs="宋体"/>
                <w:sz w:val="18"/>
                <w:szCs w:val="18"/>
              </w:rPr>
            </w:pPr>
            <w:r>
              <w:rPr>
                <w:rFonts w:ascii="宋体" w:hAnsi="宋体" w:eastAsia="宋体" w:cs="宋体"/>
                <w:sz w:val="18"/>
                <w:szCs w:val="18"/>
              </w:rPr>
              <w:t>投资收益</w:t>
            </w:r>
          </w:p>
        </w:tc>
        <w:tc>
          <w:tcPr>
            <w:tcW w:w="757" w:type="pct"/>
            <w:tcBorders>
              <w:top w:val="single" w:color="auto" w:sz="2" w:space="0"/>
              <w:left w:val="single" w:color="auto" w:sz="2" w:space="0"/>
              <w:bottom w:val="single" w:color="auto" w:sz="2" w:space="0"/>
              <w:right w:val="single" w:color="auto" w:sz="2" w:space="0"/>
            </w:tcBorders>
            <w:vAlign w:val="center"/>
          </w:tcPr>
          <w:p w14:paraId="2EECB7D9">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51" w:type="pct"/>
            <w:tcBorders>
              <w:top w:val="single" w:color="auto" w:sz="2" w:space="0"/>
              <w:left w:val="single" w:color="auto" w:sz="2" w:space="0"/>
              <w:bottom w:val="single" w:color="auto" w:sz="2" w:space="0"/>
              <w:right w:val="single" w:color="auto" w:sz="2" w:space="0"/>
            </w:tcBorders>
            <w:vAlign w:val="center"/>
          </w:tcPr>
          <w:p w14:paraId="4A55C4B1">
            <w:pPr>
              <w:spacing w:line="240" w:lineRule="exact"/>
              <w:jc w:val="right"/>
              <w:rPr>
                <w:rFonts w:ascii="宋体" w:hAnsi="宋体" w:eastAsia="宋体" w:cs="宋体"/>
                <w:sz w:val="18"/>
                <w:szCs w:val="18"/>
              </w:rPr>
            </w:pPr>
            <w:r>
              <w:rPr>
                <w:rFonts w:ascii="宋体" w:hAnsi="宋体" w:eastAsia="宋体" w:cs="宋体"/>
                <w:sz w:val="18"/>
                <w:szCs w:val="18"/>
              </w:rPr>
              <w:t>-8.82%</w:t>
            </w:r>
          </w:p>
        </w:tc>
        <w:tc>
          <w:tcPr>
            <w:tcW w:w="2055" w:type="pct"/>
            <w:tcBorders>
              <w:top w:val="single" w:color="auto" w:sz="2" w:space="0"/>
              <w:left w:val="single" w:color="auto" w:sz="2" w:space="0"/>
              <w:bottom w:val="single" w:color="auto" w:sz="2" w:space="0"/>
              <w:right w:val="single" w:color="auto" w:sz="2" w:space="0"/>
            </w:tcBorders>
            <w:vAlign w:val="center"/>
          </w:tcPr>
          <w:p w14:paraId="5767915E">
            <w:pPr>
              <w:spacing w:line="240" w:lineRule="exact"/>
              <w:rPr>
                <w:rFonts w:ascii="宋体" w:hAnsi="宋体" w:eastAsia="宋体" w:cs="宋体"/>
                <w:sz w:val="18"/>
                <w:szCs w:val="18"/>
              </w:rPr>
            </w:pPr>
            <w:r>
              <w:rPr>
                <w:rFonts w:ascii="宋体" w:hAnsi="宋体" w:eastAsia="宋体" w:cs="宋体"/>
                <w:sz w:val="18"/>
                <w:szCs w:val="18"/>
              </w:rPr>
              <w:t>联营企业按权益法核算确认的投资收益</w:t>
            </w:r>
          </w:p>
        </w:tc>
        <w:tc>
          <w:tcPr>
            <w:tcW w:w="858" w:type="pct"/>
            <w:tcBorders>
              <w:top w:val="single" w:color="auto" w:sz="2" w:space="0"/>
              <w:left w:val="single" w:color="auto" w:sz="2" w:space="0"/>
              <w:bottom w:val="single" w:color="auto" w:sz="2" w:space="0"/>
              <w:right w:val="single" w:color="auto" w:sz="2" w:space="0"/>
            </w:tcBorders>
            <w:vAlign w:val="center"/>
          </w:tcPr>
          <w:p w14:paraId="3B409F89">
            <w:pPr>
              <w:spacing w:line="240" w:lineRule="exact"/>
              <w:rPr>
                <w:rFonts w:ascii="宋体" w:hAnsi="宋体" w:eastAsia="宋体" w:cs="宋体"/>
                <w:sz w:val="18"/>
                <w:szCs w:val="18"/>
              </w:rPr>
            </w:pPr>
            <w:r>
              <w:rPr>
                <w:rFonts w:ascii="宋体" w:hAnsi="宋体" w:eastAsia="宋体" w:cs="宋体"/>
                <w:sz w:val="18"/>
                <w:szCs w:val="18"/>
              </w:rPr>
              <w:t>否</w:t>
            </w:r>
          </w:p>
        </w:tc>
      </w:tr>
      <w:tr w14:paraId="2244188C">
        <w:trPr>
          <w:trHeight w:val="240" w:hRule="atLeast"/>
          <w:jc w:val="center"/>
        </w:trPr>
        <w:tc>
          <w:tcPr>
            <w:tcW w:w="578" w:type="pct"/>
            <w:tcBorders>
              <w:top w:val="single" w:color="auto" w:sz="2" w:space="0"/>
              <w:left w:val="single" w:color="auto" w:sz="2" w:space="0"/>
              <w:bottom w:val="single" w:color="auto" w:sz="2" w:space="0"/>
              <w:right w:val="single" w:color="auto" w:sz="2" w:space="0"/>
            </w:tcBorders>
            <w:shd w:val="clear" w:color="auto" w:fill="D3D3D3"/>
            <w:vAlign w:val="center"/>
          </w:tcPr>
          <w:p w14:paraId="4693A8CD">
            <w:pPr>
              <w:spacing w:before="40" w:after="40" w:line="240" w:lineRule="exact"/>
              <w:rPr>
                <w:rFonts w:ascii="宋体" w:hAnsi="宋体" w:eastAsia="宋体" w:cs="宋体"/>
                <w:sz w:val="18"/>
                <w:szCs w:val="18"/>
              </w:rPr>
            </w:pPr>
            <w:r>
              <w:rPr>
                <w:rFonts w:ascii="宋体" w:hAnsi="宋体" w:eastAsia="宋体" w:cs="宋体"/>
                <w:sz w:val="18"/>
                <w:szCs w:val="18"/>
              </w:rPr>
              <w:t>资产减值</w:t>
            </w:r>
          </w:p>
        </w:tc>
        <w:tc>
          <w:tcPr>
            <w:tcW w:w="757" w:type="pct"/>
            <w:tcBorders>
              <w:top w:val="single" w:color="auto" w:sz="2" w:space="0"/>
              <w:left w:val="single" w:color="auto" w:sz="2" w:space="0"/>
              <w:bottom w:val="single" w:color="auto" w:sz="2" w:space="0"/>
              <w:right w:val="single" w:color="auto" w:sz="2" w:space="0"/>
            </w:tcBorders>
            <w:vAlign w:val="center"/>
          </w:tcPr>
          <w:p w14:paraId="29BF9B70">
            <w:pPr>
              <w:spacing w:line="240" w:lineRule="exact"/>
              <w:jc w:val="right"/>
              <w:rPr>
                <w:rFonts w:ascii="宋体" w:hAnsi="宋体" w:eastAsia="宋体" w:cs="宋体"/>
                <w:sz w:val="18"/>
                <w:szCs w:val="18"/>
              </w:rPr>
            </w:pPr>
            <w:r>
              <w:rPr>
                <w:rFonts w:ascii="宋体" w:hAnsi="宋体" w:eastAsia="宋体" w:cs="宋体"/>
                <w:sz w:val="18"/>
                <w:szCs w:val="18"/>
              </w:rPr>
              <w:t>-2,278.36</w:t>
            </w:r>
          </w:p>
        </w:tc>
        <w:tc>
          <w:tcPr>
            <w:tcW w:w="751" w:type="pct"/>
            <w:tcBorders>
              <w:top w:val="single" w:color="auto" w:sz="2" w:space="0"/>
              <w:left w:val="single" w:color="auto" w:sz="2" w:space="0"/>
              <w:bottom w:val="single" w:color="auto" w:sz="2" w:space="0"/>
              <w:right w:val="single" w:color="auto" w:sz="2" w:space="0"/>
            </w:tcBorders>
            <w:vAlign w:val="center"/>
          </w:tcPr>
          <w:p w14:paraId="36BADECC">
            <w:pPr>
              <w:spacing w:line="240" w:lineRule="exact"/>
              <w:jc w:val="right"/>
              <w:rPr>
                <w:rFonts w:ascii="宋体" w:hAnsi="宋体" w:eastAsia="宋体" w:cs="宋体"/>
                <w:sz w:val="18"/>
                <w:szCs w:val="18"/>
              </w:rPr>
            </w:pPr>
            <w:r>
              <w:rPr>
                <w:rFonts w:ascii="宋体" w:hAnsi="宋体" w:eastAsia="宋体" w:cs="宋体"/>
                <w:sz w:val="18"/>
                <w:szCs w:val="18"/>
              </w:rPr>
              <w:t>-0.01%</w:t>
            </w:r>
          </w:p>
        </w:tc>
        <w:tc>
          <w:tcPr>
            <w:tcW w:w="2055" w:type="pct"/>
            <w:tcBorders>
              <w:top w:val="single" w:color="auto" w:sz="2" w:space="0"/>
              <w:left w:val="single" w:color="auto" w:sz="2" w:space="0"/>
              <w:bottom w:val="single" w:color="auto" w:sz="2" w:space="0"/>
              <w:right w:val="single" w:color="auto" w:sz="2" w:space="0"/>
            </w:tcBorders>
            <w:vAlign w:val="center"/>
          </w:tcPr>
          <w:p w14:paraId="3A01FA0C">
            <w:pPr>
              <w:spacing w:line="240" w:lineRule="exact"/>
              <w:rPr>
                <w:rFonts w:ascii="宋体" w:hAnsi="宋体" w:eastAsia="宋体" w:cs="宋体"/>
                <w:sz w:val="18"/>
                <w:szCs w:val="18"/>
              </w:rPr>
            </w:pPr>
            <w:r>
              <w:rPr>
                <w:rFonts w:ascii="宋体" w:hAnsi="宋体" w:eastAsia="宋体" w:cs="宋体"/>
                <w:sz w:val="18"/>
                <w:szCs w:val="18"/>
              </w:rPr>
              <w:t>主要系其他应收款计提坏账准备产生的信用减值</w:t>
            </w:r>
          </w:p>
        </w:tc>
        <w:tc>
          <w:tcPr>
            <w:tcW w:w="858" w:type="pct"/>
            <w:tcBorders>
              <w:top w:val="single" w:color="auto" w:sz="2" w:space="0"/>
              <w:left w:val="single" w:color="auto" w:sz="2" w:space="0"/>
              <w:bottom w:val="single" w:color="auto" w:sz="2" w:space="0"/>
              <w:right w:val="single" w:color="auto" w:sz="2" w:space="0"/>
            </w:tcBorders>
            <w:vAlign w:val="center"/>
          </w:tcPr>
          <w:p w14:paraId="78E27233">
            <w:pPr>
              <w:spacing w:line="240" w:lineRule="exact"/>
              <w:rPr>
                <w:rFonts w:ascii="宋体" w:hAnsi="宋体" w:eastAsia="宋体" w:cs="宋体"/>
                <w:sz w:val="18"/>
                <w:szCs w:val="18"/>
              </w:rPr>
            </w:pPr>
            <w:r>
              <w:rPr>
                <w:rFonts w:ascii="宋体" w:hAnsi="宋体" w:eastAsia="宋体" w:cs="宋体"/>
                <w:sz w:val="18"/>
                <w:szCs w:val="18"/>
              </w:rPr>
              <w:t>否</w:t>
            </w:r>
          </w:p>
        </w:tc>
      </w:tr>
      <w:tr w14:paraId="0802428F">
        <w:trPr>
          <w:trHeight w:val="240" w:hRule="atLeast"/>
          <w:jc w:val="center"/>
        </w:trPr>
        <w:tc>
          <w:tcPr>
            <w:tcW w:w="578" w:type="pct"/>
            <w:tcBorders>
              <w:top w:val="single" w:color="auto" w:sz="2" w:space="0"/>
              <w:left w:val="single" w:color="auto" w:sz="2" w:space="0"/>
              <w:bottom w:val="single" w:color="auto" w:sz="2" w:space="0"/>
              <w:right w:val="single" w:color="auto" w:sz="2" w:space="0"/>
            </w:tcBorders>
            <w:shd w:val="clear" w:color="auto" w:fill="D3D3D3"/>
            <w:vAlign w:val="center"/>
          </w:tcPr>
          <w:p w14:paraId="296E7CD1">
            <w:pPr>
              <w:spacing w:before="40" w:after="40" w:line="240" w:lineRule="exact"/>
              <w:rPr>
                <w:rFonts w:ascii="宋体" w:hAnsi="宋体" w:eastAsia="宋体" w:cs="宋体"/>
                <w:sz w:val="18"/>
                <w:szCs w:val="18"/>
              </w:rPr>
            </w:pPr>
            <w:r>
              <w:rPr>
                <w:rFonts w:ascii="宋体" w:hAnsi="宋体" w:eastAsia="宋体" w:cs="宋体"/>
                <w:sz w:val="18"/>
                <w:szCs w:val="18"/>
              </w:rPr>
              <w:t>营业外收入</w:t>
            </w:r>
          </w:p>
        </w:tc>
        <w:tc>
          <w:tcPr>
            <w:tcW w:w="757" w:type="pct"/>
            <w:tcBorders>
              <w:top w:val="single" w:color="auto" w:sz="2" w:space="0"/>
              <w:left w:val="single" w:color="auto" w:sz="2" w:space="0"/>
              <w:bottom w:val="single" w:color="auto" w:sz="2" w:space="0"/>
              <w:right w:val="single" w:color="auto" w:sz="2" w:space="0"/>
            </w:tcBorders>
            <w:vAlign w:val="center"/>
          </w:tcPr>
          <w:p w14:paraId="0EB71C1F">
            <w:pPr>
              <w:spacing w:line="240" w:lineRule="exact"/>
              <w:jc w:val="right"/>
              <w:rPr>
                <w:rFonts w:ascii="宋体" w:hAnsi="宋体" w:eastAsia="宋体" w:cs="宋体"/>
                <w:sz w:val="18"/>
                <w:szCs w:val="18"/>
              </w:rPr>
            </w:pPr>
            <w:r>
              <w:rPr>
                <w:rFonts w:ascii="宋体" w:hAnsi="宋体" w:eastAsia="宋体" w:cs="宋体"/>
                <w:sz w:val="18"/>
                <w:szCs w:val="18"/>
              </w:rPr>
              <w:t>7,378,607.18</w:t>
            </w:r>
          </w:p>
        </w:tc>
        <w:tc>
          <w:tcPr>
            <w:tcW w:w="751" w:type="pct"/>
            <w:tcBorders>
              <w:top w:val="single" w:color="auto" w:sz="2" w:space="0"/>
              <w:left w:val="single" w:color="auto" w:sz="2" w:space="0"/>
              <w:bottom w:val="single" w:color="auto" w:sz="2" w:space="0"/>
              <w:right w:val="single" w:color="auto" w:sz="2" w:space="0"/>
            </w:tcBorders>
            <w:vAlign w:val="center"/>
          </w:tcPr>
          <w:p w14:paraId="21BE7B99">
            <w:pPr>
              <w:spacing w:line="240" w:lineRule="exact"/>
              <w:jc w:val="right"/>
              <w:rPr>
                <w:rFonts w:ascii="宋体" w:hAnsi="宋体" w:eastAsia="宋体" w:cs="宋体"/>
                <w:sz w:val="18"/>
                <w:szCs w:val="18"/>
              </w:rPr>
            </w:pPr>
            <w:r>
              <w:rPr>
                <w:rFonts w:ascii="宋体" w:hAnsi="宋体" w:eastAsia="宋体" w:cs="宋体"/>
                <w:sz w:val="18"/>
                <w:szCs w:val="18"/>
              </w:rPr>
              <w:t>20.05%</w:t>
            </w:r>
          </w:p>
        </w:tc>
        <w:tc>
          <w:tcPr>
            <w:tcW w:w="2055" w:type="pct"/>
            <w:tcBorders>
              <w:top w:val="single" w:color="auto" w:sz="2" w:space="0"/>
              <w:left w:val="single" w:color="auto" w:sz="2" w:space="0"/>
              <w:bottom w:val="single" w:color="auto" w:sz="2" w:space="0"/>
              <w:right w:val="single" w:color="auto" w:sz="2" w:space="0"/>
            </w:tcBorders>
            <w:vAlign w:val="center"/>
          </w:tcPr>
          <w:p w14:paraId="2398681D">
            <w:pPr>
              <w:spacing w:line="240" w:lineRule="exact"/>
              <w:rPr>
                <w:rFonts w:ascii="宋体" w:hAnsi="宋体" w:eastAsia="宋体" w:cs="宋体"/>
                <w:sz w:val="18"/>
                <w:szCs w:val="18"/>
              </w:rPr>
            </w:pPr>
            <w:r>
              <w:rPr>
                <w:rFonts w:ascii="宋体" w:hAnsi="宋体" w:eastAsia="宋体" w:cs="宋体"/>
                <w:sz w:val="18"/>
                <w:szCs w:val="18"/>
              </w:rPr>
              <w:t>主要系日广通远案</w:t>
            </w:r>
            <w:r>
              <w:rPr>
                <w:rFonts w:hint="eastAsia" w:ascii="宋体" w:hAnsi="宋体" w:eastAsia="宋体" w:cs="宋体"/>
                <w:sz w:val="18"/>
                <w:szCs w:val="18"/>
              </w:rPr>
              <w:t>债务豁免</w:t>
            </w:r>
            <w:r>
              <w:rPr>
                <w:rFonts w:ascii="宋体" w:hAnsi="宋体" w:eastAsia="宋体" w:cs="宋体"/>
                <w:sz w:val="18"/>
                <w:szCs w:val="18"/>
              </w:rPr>
              <w:t>产生的损益</w:t>
            </w:r>
          </w:p>
        </w:tc>
        <w:tc>
          <w:tcPr>
            <w:tcW w:w="858" w:type="pct"/>
            <w:tcBorders>
              <w:top w:val="single" w:color="auto" w:sz="2" w:space="0"/>
              <w:left w:val="single" w:color="auto" w:sz="2" w:space="0"/>
              <w:bottom w:val="single" w:color="auto" w:sz="2" w:space="0"/>
              <w:right w:val="single" w:color="auto" w:sz="2" w:space="0"/>
            </w:tcBorders>
            <w:vAlign w:val="center"/>
          </w:tcPr>
          <w:p w14:paraId="28DED79C">
            <w:pPr>
              <w:spacing w:line="240" w:lineRule="exact"/>
              <w:rPr>
                <w:rFonts w:ascii="宋体" w:hAnsi="宋体" w:eastAsia="宋体" w:cs="宋体"/>
                <w:sz w:val="18"/>
                <w:szCs w:val="18"/>
              </w:rPr>
            </w:pPr>
            <w:r>
              <w:rPr>
                <w:rFonts w:ascii="宋体" w:hAnsi="宋体" w:eastAsia="宋体" w:cs="宋体"/>
                <w:sz w:val="18"/>
                <w:szCs w:val="18"/>
              </w:rPr>
              <w:t>否</w:t>
            </w:r>
          </w:p>
        </w:tc>
      </w:tr>
      <w:tr w14:paraId="0714EAF7">
        <w:trPr>
          <w:trHeight w:val="240" w:hRule="atLeast"/>
          <w:jc w:val="center"/>
        </w:trPr>
        <w:tc>
          <w:tcPr>
            <w:tcW w:w="578" w:type="pct"/>
            <w:tcBorders>
              <w:top w:val="single" w:color="auto" w:sz="2" w:space="0"/>
              <w:left w:val="single" w:color="auto" w:sz="2" w:space="0"/>
              <w:bottom w:val="single" w:color="auto" w:sz="2" w:space="0"/>
              <w:right w:val="single" w:color="auto" w:sz="2" w:space="0"/>
            </w:tcBorders>
            <w:shd w:val="clear" w:color="auto" w:fill="D3D3D3"/>
            <w:vAlign w:val="center"/>
          </w:tcPr>
          <w:p w14:paraId="59C014FB">
            <w:pPr>
              <w:spacing w:before="40" w:after="40" w:line="240" w:lineRule="exact"/>
              <w:rPr>
                <w:rFonts w:ascii="宋体" w:hAnsi="宋体" w:eastAsia="宋体" w:cs="宋体"/>
                <w:sz w:val="18"/>
                <w:szCs w:val="18"/>
              </w:rPr>
            </w:pPr>
            <w:r>
              <w:rPr>
                <w:rFonts w:ascii="宋体" w:hAnsi="宋体" w:eastAsia="宋体" w:cs="宋体"/>
                <w:sz w:val="18"/>
                <w:szCs w:val="18"/>
              </w:rPr>
              <w:t>营业外支出</w:t>
            </w:r>
          </w:p>
        </w:tc>
        <w:tc>
          <w:tcPr>
            <w:tcW w:w="757" w:type="pct"/>
            <w:tcBorders>
              <w:top w:val="single" w:color="auto" w:sz="2" w:space="0"/>
              <w:left w:val="single" w:color="auto" w:sz="2" w:space="0"/>
              <w:bottom w:val="single" w:color="auto" w:sz="2" w:space="0"/>
              <w:right w:val="single" w:color="auto" w:sz="2" w:space="0"/>
            </w:tcBorders>
            <w:vAlign w:val="center"/>
          </w:tcPr>
          <w:p w14:paraId="38F1C164">
            <w:pPr>
              <w:spacing w:line="240" w:lineRule="exact"/>
              <w:jc w:val="right"/>
              <w:rPr>
                <w:rFonts w:ascii="宋体" w:hAnsi="宋体" w:eastAsia="宋体" w:cs="宋体"/>
                <w:sz w:val="18"/>
                <w:szCs w:val="18"/>
              </w:rPr>
            </w:pPr>
            <w:r>
              <w:rPr>
                <w:rFonts w:ascii="宋体" w:hAnsi="宋体" w:eastAsia="宋体" w:cs="宋体"/>
                <w:sz w:val="18"/>
                <w:szCs w:val="18"/>
              </w:rPr>
              <w:t>412,777.96</w:t>
            </w:r>
          </w:p>
        </w:tc>
        <w:tc>
          <w:tcPr>
            <w:tcW w:w="751" w:type="pct"/>
            <w:tcBorders>
              <w:top w:val="single" w:color="auto" w:sz="2" w:space="0"/>
              <w:left w:val="single" w:color="auto" w:sz="2" w:space="0"/>
              <w:bottom w:val="single" w:color="auto" w:sz="2" w:space="0"/>
              <w:right w:val="single" w:color="auto" w:sz="2" w:space="0"/>
            </w:tcBorders>
            <w:vAlign w:val="center"/>
          </w:tcPr>
          <w:p w14:paraId="2D94FBDC">
            <w:pPr>
              <w:spacing w:line="240" w:lineRule="exact"/>
              <w:jc w:val="right"/>
              <w:rPr>
                <w:rFonts w:ascii="宋体" w:hAnsi="宋体" w:eastAsia="宋体" w:cs="宋体"/>
                <w:sz w:val="18"/>
                <w:szCs w:val="18"/>
              </w:rPr>
            </w:pPr>
            <w:r>
              <w:rPr>
                <w:rFonts w:ascii="宋体" w:hAnsi="宋体" w:eastAsia="宋体" w:cs="宋体"/>
                <w:sz w:val="18"/>
                <w:szCs w:val="18"/>
              </w:rPr>
              <w:t>1.12%</w:t>
            </w:r>
          </w:p>
        </w:tc>
        <w:tc>
          <w:tcPr>
            <w:tcW w:w="2055" w:type="pct"/>
            <w:tcBorders>
              <w:top w:val="single" w:color="auto" w:sz="2" w:space="0"/>
              <w:left w:val="single" w:color="auto" w:sz="2" w:space="0"/>
              <w:bottom w:val="single" w:color="auto" w:sz="2" w:space="0"/>
              <w:right w:val="single" w:color="auto" w:sz="2" w:space="0"/>
            </w:tcBorders>
            <w:vAlign w:val="center"/>
          </w:tcPr>
          <w:p w14:paraId="478EFB4A">
            <w:pPr>
              <w:spacing w:line="240" w:lineRule="exact"/>
              <w:rPr>
                <w:rFonts w:ascii="宋体" w:hAnsi="宋体" w:eastAsia="宋体" w:cs="宋体"/>
                <w:sz w:val="18"/>
                <w:szCs w:val="18"/>
              </w:rPr>
            </w:pPr>
            <w:r>
              <w:rPr>
                <w:rFonts w:ascii="宋体" w:hAnsi="宋体" w:eastAsia="宋体" w:cs="宋体"/>
                <w:sz w:val="18"/>
                <w:szCs w:val="18"/>
              </w:rPr>
              <w:t>主要系非流动资产处置产生的损益</w:t>
            </w:r>
          </w:p>
        </w:tc>
        <w:tc>
          <w:tcPr>
            <w:tcW w:w="858" w:type="pct"/>
            <w:tcBorders>
              <w:top w:val="single" w:color="auto" w:sz="2" w:space="0"/>
              <w:left w:val="single" w:color="auto" w:sz="2" w:space="0"/>
              <w:bottom w:val="single" w:color="auto" w:sz="2" w:space="0"/>
              <w:right w:val="single" w:color="auto" w:sz="2" w:space="0"/>
            </w:tcBorders>
            <w:vAlign w:val="center"/>
          </w:tcPr>
          <w:p w14:paraId="534B33F4">
            <w:pPr>
              <w:spacing w:line="240" w:lineRule="exact"/>
              <w:rPr>
                <w:rFonts w:ascii="宋体" w:hAnsi="宋体" w:eastAsia="宋体" w:cs="宋体"/>
                <w:sz w:val="18"/>
                <w:szCs w:val="18"/>
              </w:rPr>
            </w:pPr>
            <w:r>
              <w:rPr>
                <w:rFonts w:ascii="宋体" w:hAnsi="宋体" w:eastAsia="宋体" w:cs="宋体"/>
                <w:sz w:val="18"/>
                <w:szCs w:val="18"/>
              </w:rPr>
              <w:t>否</w:t>
            </w:r>
          </w:p>
        </w:tc>
      </w:tr>
    </w:tbl>
    <w:p w14:paraId="4886B89B">
      <w:pPr>
        <w:pStyle w:val="2"/>
        <w:spacing w:before="300" w:after="300" w:line="320" w:lineRule="exact"/>
        <w:rPr>
          <w:rFonts w:ascii="宋体" w:hAnsi="宋体" w:eastAsia="宋体" w:cs="宋体"/>
          <w:b/>
          <w:bCs/>
          <w:sz w:val="24"/>
          <w:szCs w:val="24"/>
        </w:rPr>
      </w:pPr>
      <w:bookmarkStart w:id="18" w:name="_Toc988907"/>
      <w:r>
        <w:rPr>
          <w:rFonts w:ascii="宋体" w:hAnsi="宋体" w:eastAsia="宋体" w:cs="宋体"/>
          <w:b/>
          <w:bCs/>
          <w:sz w:val="24"/>
          <w:szCs w:val="24"/>
        </w:rPr>
        <w:t>五、资产及负债状况分析</w:t>
      </w:r>
      <w:bookmarkEnd w:id="18"/>
    </w:p>
    <w:p w14:paraId="7364F8F5">
      <w:pPr>
        <w:pStyle w:val="3"/>
        <w:spacing w:line="280" w:lineRule="exact"/>
        <w:jc w:val="left"/>
        <w:rPr>
          <w:rFonts w:ascii="宋体" w:hAnsi="宋体" w:cs="宋体"/>
          <w:b/>
          <w:bCs/>
        </w:rPr>
      </w:pPr>
      <w:bookmarkStart w:id="19" w:name="_Toc988908"/>
      <w:r>
        <w:rPr>
          <w:rFonts w:ascii="宋体" w:hAnsi="宋体" w:cs="宋体"/>
          <w:b/>
          <w:bCs/>
        </w:rPr>
        <w:t>1、资产构成重大变动情况</w:t>
      </w:r>
      <w:bookmarkEnd w:id="19"/>
    </w:p>
    <w:p w14:paraId="03AFC95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4996"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68"/>
        <w:gridCol w:w="1486"/>
        <w:gridCol w:w="1419"/>
        <w:gridCol w:w="1679"/>
        <w:gridCol w:w="1487"/>
        <w:gridCol w:w="1199"/>
        <w:gridCol w:w="1209"/>
      </w:tblGrid>
      <w:tr w14:paraId="0AFBCB06">
        <w:trPr>
          <w:trHeight w:val="240" w:hRule="atLeast"/>
          <w:jc w:val="center"/>
        </w:trPr>
        <w:tc>
          <w:tcPr>
            <w:tcW w:w="69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9CCC017"/>
        </w:tc>
        <w:tc>
          <w:tcPr>
            <w:tcW w:w="1475"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EF1FAE4">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本报告期末</w:t>
            </w:r>
          </w:p>
        </w:tc>
        <w:tc>
          <w:tcPr>
            <w:tcW w:w="1607"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432A9B5">
            <w:pPr>
              <w:spacing w:before="40" w:after="40" w:line="240" w:lineRule="exact"/>
              <w:jc w:val="center"/>
              <w:rPr>
                <w:rFonts w:ascii="宋体" w:hAnsi="宋体" w:eastAsia="宋体" w:cs="宋体"/>
                <w:sz w:val="18"/>
                <w:szCs w:val="18"/>
              </w:rPr>
            </w:pPr>
            <w:r>
              <w:rPr>
                <w:rFonts w:ascii="宋体" w:hAnsi="宋体" w:eastAsia="宋体" w:cs="宋体"/>
                <w:sz w:val="18"/>
                <w:szCs w:val="18"/>
              </w:rPr>
              <w:t>上年末</w:t>
            </w:r>
          </w:p>
        </w:tc>
        <w:tc>
          <w:tcPr>
            <w:tcW w:w="608"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6A57D63">
            <w:pPr>
              <w:spacing w:before="40" w:after="40" w:line="240" w:lineRule="exact"/>
              <w:jc w:val="center"/>
              <w:rPr>
                <w:rFonts w:ascii="宋体" w:hAnsi="宋体" w:eastAsia="宋体" w:cs="宋体"/>
                <w:sz w:val="18"/>
                <w:szCs w:val="18"/>
              </w:rPr>
            </w:pPr>
            <w:r>
              <w:rPr>
                <w:rFonts w:ascii="宋体" w:hAnsi="宋体" w:eastAsia="宋体" w:cs="宋体"/>
                <w:sz w:val="18"/>
                <w:szCs w:val="18"/>
              </w:rPr>
              <w:t>比重增减</w:t>
            </w:r>
          </w:p>
        </w:tc>
        <w:tc>
          <w:tcPr>
            <w:tcW w:w="613"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C829E4">
            <w:pPr>
              <w:spacing w:before="40" w:after="40" w:line="240" w:lineRule="exact"/>
              <w:jc w:val="center"/>
              <w:rPr>
                <w:rFonts w:ascii="宋体" w:hAnsi="宋体" w:eastAsia="宋体" w:cs="宋体"/>
                <w:sz w:val="18"/>
                <w:szCs w:val="18"/>
              </w:rPr>
            </w:pPr>
            <w:r>
              <w:rPr>
                <w:rFonts w:ascii="宋体" w:hAnsi="宋体" w:eastAsia="宋体" w:cs="宋体"/>
                <w:sz w:val="18"/>
                <w:szCs w:val="18"/>
              </w:rPr>
              <w:t>重大变动说明</w:t>
            </w:r>
          </w:p>
        </w:tc>
      </w:tr>
      <w:tr w14:paraId="4BD688CE">
        <w:trPr>
          <w:trHeight w:val="240" w:hRule="atLeast"/>
          <w:jc w:val="center"/>
        </w:trPr>
        <w:tc>
          <w:tcPr>
            <w:tcW w:w="694"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8A86BAF"/>
        </w:tc>
        <w:tc>
          <w:tcPr>
            <w:tcW w:w="754" w:type="pct"/>
            <w:tcBorders>
              <w:top w:val="single" w:color="auto" w:sz="2" w:space="0"/>
              <w:left w:val="single" w:color="auto" w:sz="2" w:space="0"/>
              <w:bottom w:val="single" w:color="auto" w:sz="2" w:space="0"/>
              <w:right w:val="single" w:color="auto" w:sz="2" w:space="0"/>
            </w:tcBorders>
            <w:shd w:val="clear" w:color="auto" w:fill="D3D3D3"/>
            <w:vAlign w:val="center"/>
          </w:tcPr>
          <w:p w14:paraId="703815DA">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720" w:type="pct"/>
            <w:tcBorders>
              <w:top w:val="single" w:color="auto" w:sz="2" w:space="0"/>
              <w:left w:val="single" w:color="auto" w:sz="2" w:space="0"/>
              <w:bottom w:val="single" w:color="auto" w:sz="2" w:space="0"/>
              <w:right w:val="single" w:color="auto" w:sz="2" w:space="0"/>
            </w:tcBorders>
            <w:shd w:val="clear" w:color="auto" w:fill="D3D3D3"/>
            <w:vAlign w:val="center"/>
          </w:tcPr>
          <w:p w14:paraId="32AB4102">
            <w:pPr>
              <w:spacing w:before="40" w:after="40" w:line="240" w:lineRule="exact"/>
              <w:jc w:val="center"/>
              <w:rPr>
                <w:rFonts w:ascii="宋体" w:hAnsi="宋体" w:eastAsia="宋体" w:cs="宋体"/>
                <w:sz w:val="18"/>
                <w:szCs w:val="18"/>
              </w:rPr>
            </w:pPr>
            <w:r>
              <w:rPr>
                <w:rFonts w:ascii="宋体" w:hAnsi="宋体" w:eastAsia="宋体" w:cs="宋体"/>
                <w:sz w:val="18"/>
                <w:szCs w:val="18"/>
              </w:rPr>
              <w:t>占总资产比例</w:t>
            </w:r>
          </w:p>
        </w:tc>
        <w:tc>
          <w:tcPr>
            <w:tcW w:w="852" w:type="pct"/>
            <w:tcBorders>
              <w:top w:val="single" w:color="auto" w:sz="2" w:space="0"/>
              <w:left w:val="single" w:color="auto" w:sz="2" w:space="0"/>
              <w:bottom w:val="single" w:color="auto" w:sz="2" w:space="0"/>
              <w:right w:val="single" w:color="auto" w:sz="2" w:space="0"/>
            </w:tcBorders>
            <w:shd w:val="clear" w:color="auto" w:fill="D3D3D3"/>
            <w:vAlign w:val="center"/>
          </w:tcPr>
          <w:p w14:paraId="6EE9CA75">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755" w:type="pct"/>
            <w:tcBorders>
              <w:top w:val="single" w:color="auto" w:sz="2" w:space="0"/>
              <w:left w:val="single" w:color="auto" w:sz="2" w:space="0"/>
              <w:bottom w:val="single" w:color="auto" w:sz="2" w:space="0"/>
              <w:right w:val="single" w:color="auto" w:sz="2" w:space="0"/>
            </w:tcBorders>
            <w:shd w:val="clear" w:color="auto" w:fill="D3D3D3"/>
            <w:vAlign w:val="center"/>
          </w:tcPr>
          <w:p w14:paraId="1A08D774">
            <w:pPr>
              <w:spacing w:before="40" w:after="40" w:line="240" w:lineRule="exact"/>
              <w:jc w:val="center"/>
              <w:rPr>
                <w:rFonts w:ascii="宋体" w:hAnsi="宋体" w:eastAsia="宋体" w:cs="宋体"/>
                <w:sz w:val="18"/>
                <w:szCs w:val="18"/>
              </w:rPr>
            </w:pPr>
            <w:r>
              <w:rPr>
                <w:rFonts w:ascii="宋体" w:hAnsi="宋体" w:eastAsia="宋体" w:cs="宋体"/>
                <w:sz w:val="18"/>
                <w:szCs w:val="18"/>
              </w:rPr>
              <w:t>占总资产比例</w:t>
            </w:r>
          </w:p>
        </w:tc>
        <w:tc>
          <w:tcPr>
            <w:tcW w:w="608"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3E34D0"/>
        </w:tc>
        <w:tc>
          <w:tcPr>
            <w:tcW w:w="613"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7CE7D4"/>
        </w:tc>
      </w:tr>
      <w:tr w14:paraId="39FB14B5">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004B2A0C">
            <w:pPr>
              <w:spacing w:before="40" w:after="40" w:line="240" w:lineRule="exact"/>
              <w:rPr>
                <w:rFonts w:ascii="宋体" w:hAnsi="宋体" w:eastAsia="宋体" w:cs="宋体"/>
                <w:sz w:val="18"/>
                <w:szCs w:val="18"/>
              </w:rPr>
            </w:pPr>
            <w:r>
              <w:rPr>
                <w:rFonts w:ascii="宋体" w:hAnsi="宋体" w:eastAsia="宋体" w:cs="宋体"/>
                <w:sz w:val="18"/>
                <w:szCs w:val="18"/>
              </w:rPr>
              <w:t>货币资金</w:t>
            </w:r>
          </w:p>
        </w:tc>
        <w:tc>
          <w:tcPr>
            <w:tcW w:w="754" w:type="pct"/>
            <w:tcBorders>
              <w:top w:val="single" w:color="auto" w:sz="2" w:space="0"/>
              <w:left w:val="single" w:color="auto" w:sz="2" w:space="0"/>
              <w:bottom w:val="single" w:color="auto" w:sz="2" w:space="0"/>
              <w:right w:val="single" w:color="auto" w:sz="2" w:space="0"/>
            </w:tcBorders>
            <w:vAlign w:val="center"/>
          </w:tcPr>
          <w:p w14:paraId="5E98AE5A">
            <w:pPr>
              <w:spacing w:line="240" w:lineRule="exact"/>
              <w:jc w:val="right"/>
              <w:rPr>
                <w:rFonts w:ascii="宋体" w:hAnsi="宋体" w:eastAsia="宋体" w:cs="宋体"/>
                <w:sz w:val="18"/>
                <w:szCs w:val="18"/>
              </w:rPr>
            </w:pPr>
            <w:r>
              <w:rPr>
                <w:rFonts w:ascii="宋体" w:hAnsi="宋体" w:eastAsia="宋体" w:cs="宋体"/>
                <w:sz w:val="18"/>
                <w:szCs w:val="18"/>
              </w:rPr>
              <w:t>576,281,711.96</w:t>
            </w:r>
          </w:p>
        </w:tc>
        <w:tc>
          <w:tcPr>
            <w:tcW w:w="720" w:type="pct"/>
            <w:tcBorders>
              <w:top w:val="single" w:color="auto" w:sz="2" w:space="0"/>
              <w:left w:val="single" w:color="auto" w:sz="2" w:space="0"/>
              <w:bottom w:val="single" w:color="auto" w:sz="2" w:space="0"/>
              <w:right w:val="single" w:color="auto" w:sz="2" w:space="0"/>
            </w:tcBorders>
            <w:vAlign w:val="center"/>
          </w:tcPr>
          <w:p w14:paraId="2265A20B">
            <w:pPr>
              <w:spacing w:line="240" w:lineRule="exact"/>
              <w:jc w:val="right"/>
              <w:rPr>
                <w:rFonts w:ascii="宋体" w:hAnsi="宋体" w:eastAsia="宋体" w:cs="宋体"/>
                <w:sz w:val="18"/>
                <w:szCs w:val="18"/>
              </w:rPr>
            </w:pPr>
            <w:r>
              <w:rPr>
                <w:rFonts w:ascii="宋体" w:hAnsi="宋体" w:eastAsia="宋体" w:cs="宋体"/>
                <w:sz w:val="18"/>
                <w:szCs w:val="18"/>
              </w:rPr>
              <w:t>60.52%</w:t>
            </w:r>
          </w:p>
        </w:tc>
        <w:tc>
          <w:tcPr>
            <w:tcW w:w="852" w:type="pct"/>
            <w:tcBorders>
              <w:top w:val="single" w:color="auto" w:sz="2" w:space="0"/>
              <w:left w:val="single" w:color="auto" w:sz="2" w:space="0"/>
              <w:bottom w:val="single" w:color="auto" w:sz="2" w:space="0"/>
              <w:right w:val="single" w:color="auto" w:sz="2" w:space="0"/>
            </w:tcBorders>
            <w:vAlign w:val="center"/>
          </w:tcPr>
          <w:p w14:paraId="30063EB6">
            <w:pPr>
              <w:spacing w:line="240" w:lineRule="exact"/>
              <w:jc w:val="right"/>
              <w:rPr>
                <w:rFonts w:ascii="宋体" w:hAnsi="宋体" w:eastAsia="宋体" w:cs="宋体"/>
                <w:sz w:val="18"/>
                <w:szCs w:val="18"/>
              </w:rPr>
            </w:pPr>
            <w:r>
              <w:rPr>
                <w:rFonts w:ascii="宋体" w:hAnsi="宋体" w:eastAsia="宋体" w:cs="宋体"/>
                <w:sz w:val="18"/>
                <w:szCs w:val="18"/>
              </w:rPr>
              <w:t>544,424,723.87</w:t>
            </w:r>
          </w:p>
        </w:tc>
        <w:tc>
          <w:tcPr>
            <w:tcW w:w="755" w:type="pct"/>
            <w:tcBorders>
              <w:top w:val="single" w:color="auto" w:sz="2" w:space="0"/>
              <w:left w:val="single" w:color="auto" w:sz="2" w:space="0"/>
              <w:bottom w:val="single" w:color="auto" w:sz="2" w:space="0"/>
              <w:right w:val="single" w:color="auto" w:sz="2" w:space="0"/>
            </w:tcBorders>
            <w:vAlign w:val="center"/>
          </w:tcPr>
          <w:p w14:paraId="7AA0A73A">
            <w:pPr>
              <w:spacing w:line="240" w:lineRule="exact"/>
              <w:jc w:val="right"/>
              <w:rPr>
                <w:rFonts w:ascii="宋体" w:hAnsi="宋体" w:eastAsia="宋体" w:cs="宋体"/>
                <w:sz w:val="18"/>
                <w:szCs w:val="18"/>
              </w:rPr>
            </w:pPr>
            <w:r>
              <w:rPr>
                <w:rFonts w:ascii="宋体" w:hAnsi="宋体" w:eastAsia="宋体" w:cs="宋体"/>
                <w:sz w:val="18"/>
                <w:szCs w:val="18"/>
              </w:rPr>
              <w:t>58.76%</w:t>
            </w:r>
          </w:p>
        </w:tc>
        <w:tc>
          <w:tcPr>
            <w:tcW w:w="608" w:type="pct"/>
            <w:tcBorders>
              <w:top w:val="single" w:color="auto" w:sz="2" w:space="0"/>
              <w:left w:val="single" w:color="auto" w:sz="2" w:space="0"/>
              <w:bottom w:val="single" w:color="auto" w:sz="2" w:space="0"/>
              <w:right w:val="single" w:color="auto" w:sz="2" w:space="0"/>
            </w:tcBorders>
            <w:vAlign w:val="center"/>
          </w:tcPr>
          <w:p w14:paraId="003C577B">
            <w:pPr>
              <w:spacing w:line="240" w:lineRule="exact"/>
              <w:jc w:val="right"/>
              <w:rPr>
                <w:rFonts w:ascii="宋体" w:hAnsi="宋体" w:eastAsia="宋体" w:cs="宋体"/>
                <w:sz w:val="18"/>
                <w:szCs w:val="18"/>
              </w:rPr>
            </w:pPr>
            <w:r>
              <w:rPr>
                <w:rFonts w:ascii="宋体" w:hAnsi="宋体" w:eastAsia="宋体" w:cs="宋体"/>
                <w:sz w:val="18"/>
                <w:szCs w:val="18"/>
              </w:rPr>
              <w:t>1.76%</w:t>
            </w:r>
          </w:p>
        </w:tc>
        <w:tc>
          <w:tcPr>
            <w:tcW w:w="613" w:type="pct"/>
            <w:tcBorders>
              <w:top w:val="single" w:color="auto" w:sz="2" w:space="0"/>
              <w:left w:val="single" w:color="auto" w:sz="2" w:space="0"/>
              <w:bottom w:val="single" w:color="auto" w:sz="2" w:space="0"/>
              <w:right w:val="single" w:color="auto" w:sz="2" w:space="0"/>
            </w:tcBorders>
            <w:vAlign w:val="center"/>
          </w:tcPr>
          <w:p w14:paraId="25F4C375">
            <w:pPr>
              <w:spacing w:line="240" w:lineRule="exact"/>
              <w:rPr>
                <w:rFonts w:ascii="宋体" w:hAnsi="宋体" w:eastAsia="宋体" w:cs="宋体"/>
                <w:sz w:val="18"/>
                <w:szCs w:val="18"/>
              </w:rPr>
            </w:pPr>
          </w:p>
        </w:tc>
      </w:tr>
      <w:tr w14:paraId="25993CC2">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70562444">
            <w:pPr>
              <w:spacing w:before="40" w:after="40" w:line="240" w:lineRule="exact"/>
              <w:rPr>
                <w:rFonts w:ascii="宋体" w:hAnsi="宋体" w:eastAsia="宋体" w:cs="宋体"/>
                <w:sz w:val="18"/>
                <w:szCs w:val="18"/>
              </w:rPr>
            </w:pPr>
            <w:r>
              <w:rPr>
                <w:rFonts w:ascii="宋体" w:hAnsi="宋体" w:eastAsia="宋体" w:cs="宋体"/>
                <w:sz w:val="18"/>
                <w:szCs w:val="18"/>
              </w:rPr>
              <w:t>应收账款</w:t>
            </w:r>
          </w:p>
        </w:tc>
        <w:tc>
          <w:tcPr>
            <w:tcW w:w="754" w:type="pct"/>
            <w:tcBorders>
              <w:top w:val="single" w:color="auto" w:sz="2" w:space="0"/>
              <w:left w:val="single" w:color="auto" w:sz="2" w:space="0"/>
              <w:bottom w:val="single" w:color="auto" w:sz="2" w:space="0"/>
              <w:right w:val="single" w:color="auto" w:sz="2" w:space="0"/>
            </w:tcBorders>
            <w:vAlign w:val="center"/>
          </w:tcPr>
          <w:p w14:paraId="33BA2D9B">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20" w:type="pct"/>
            <w:tcBorders>
              <w:top w:val="single" w:color="auto" w:sz="2" w:space="0"/>
              <w:left w:val="single" w:color="auto" w:sz="2" w:space="0"/>
              <w:bottom w:val="single" w:color="auto" w:sz="2" w:space="0"/>
              <w:right w:val="single" w:color="auto" w:sz="2" w:space="0"/>
            </w:tcBorders>
            <w:vAlign w:val="center"/>
          </w:tcPr>
          <w:p w14:paraId="0874522D">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52" w:type="pct"/>
            <w:tcBorders>
              <w:top w:val="single" w:color="auto" w:sz="2" w:space="0"/>
              <w:left w:val="single" w:color="auto" w:sz="2" w:space="0"/>
              <w:bottom w:val="single" w:color="auto" w:sz="2" w:space="0"/>
              <w:right w:val="single" w:color="auto" w:sz="2" w:space="0"/>
            </w:tcBorders>
            <w:vAlign w:val="center"/>
          </w:tcPr>
          <w:p w14:paraId="71814B08">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55" w:type="pct"/>
            <w:tcBorders>
              <w:top w:val="single" w:color="auto" w:sz="2" w:space="0"/>
              <w:left w:val="single" w:color="auto" w:sz="2" w:space="0"/>
              <w:bottom w:val="single" w:color="auto" w:sz="2" w:space="0"/>
              <w:right w:val="single" w:color="auto" w:sz="2" w:space="0"/>
            </w:tcBorders>
            <w:vAlign w:val="center"/>
          </w:tcPr>
          <w:p w14:paraId="08286513">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08" w:type="pct"/>
            <w:tcBorders>
              <w:top w:val="single" w:color="auto" w:sz="2" w:space="0"/>
              <w:left w:val="single" w:color="auto" w:sz="2" w:space="0"/>
              <w:bottom w:val="single" w:color="auto" w:sz="2" w:space="0"/>
              <w:right w:val="single" w:color="auto" w:sz="2" w:space="0"/>
            </w:tcBorders>
            <w:vAlign w:val="center"/>
          </w:tcPr>
          <w:p w14:paraId="10BA446D">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13" w:type="pct"/>
            <w:tcBorders>
              <w:top w:val="single" w:color="auto" w:sz="2" w:space="0"/>
              <w:left w:val="single" w:color="auto" w:sz="2" w:space="0"/>
              <w:bottom w:val="single" w:color="auto" w:sz="2" w:space="0"/>
              <w:right w:val="single" w:color="auto" w:sz="2" w:space="0"/>
            </w:tcBorders>
            <w:vAlign w:val="center"/>
          </w:tcPr>
          <w:p w14:paraId="54DFB7C1">
            <w:pPr>
              <w:spacing w:line="240" w:lineRule="exact"/>
              <w:rPr>
                <w:rFonts w:ascii="宋体" w:hAnsi="宋体" w:eastAsia="宋体" w:cs="宋体"/>
                <w:sz w:val="18"/>
                <w:szCs w:val="18"/>
              </w:rPr>
            </w:pPr>
          </w:p>
        </w:tc>
      </w:tr>
      <w:tr w14:paraId="23592B91">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02BCA98F">
            <w:pPr>
              <w:spacing w:before="40" w:after="40" w:line="240" w:lineRule="exact"/>
              <w:rPr>
                <w:rFonts w:ascii="宋体" w:hAnsi="宋体" w:eastAsia="宋体" w:cs="宋体"/>
                <w:sz w:val="18"/>
                <w:szCs w:val="18"/>
              </w:rPr>
            </w:pPr>
            <w:r>
              <w:rPr>
                <w:rFonts w:ascii="宋体" w:hAnsi="宋体" w:eastAsia="宋体" w:cs="宋体"/>
                <w:sz w:val="18"/>
                <w:szCs w:val="18"/>
              </w:rPr>
              <w:t>合同资产</w:t>
            </w:r>
          </w:p>
        </w:tc>
        <w:tc>
          <w:tcPr>
            <w:tcW w:w="754" w:type="pct"/>
            <w:tcBorders>
              <w:top w:val="single" w:color="auto" w:sz="2" w:space="0"/>
              <w:left w:val="single" w:color="auto" w:sz="2" w:space="0"/>
              <w:bottom w:val="single" w:color="auto" w:sz="2" w:space="0"/>
              <w:right w:val="single" w:color="auto" w:sz="2" w:space="0"/>
            </w:tcBorders>
            <w:vAlign w:val="center"/>
          </w:tcPr>
          <w:p w14:paraId="1AC18694">
            <w:pPr>
              <w:spacing w:line="240" w:lineRule="exact"/>
              <w:jc w:val="right"/>
              <w:rPr>
                <w:rFonts w:ascii="宋体" w:hAnsi="宋体" w:eastAsia="宋体" w:cs="宋体"/>
                <w:sz w:val="18"/>
                <w:szCs w:val="18"/>
              </w:rPr>
            </w:pPr>
          </w:p>
        </w:tc>
        <w:tc>
          <w:tcPr>
            <w:tcW w:w="720" w:type="pct"/>
            <w:tcBorders>
              <w:top w:val="single" w:color="auto" w:sz="2" w:space="0"/>
              <w:left w:val="single" w:color="auto" w:sz="2" w:space="0"/>
              <w:bottom w:val="single" w:color="auto" w:sz="2" w:space="0"/>
              <w:right w:val="single" w:color="auto" w:sz="2" w:space="0"/>
            </w:tcBorders>
            <w:vAlign w:val="center"/>
          </w:tcPr>
          <w:p w14:paraId="0D549504">
            <w:pPr>
              <w:spacing w:line="240" w:lineRule="exact"/>
              <w:jc w:val="right"/>
              <w:rPr>
                <w:rFonts w:ascii="宋体" w:hAnsi="宋体" w:eastAsia="宋体" w:cs="宋体"/>
                <w:sz w:val="18"/>
                <w:szCs w:val="18"/>
              </w:rPr>
            </w:pPr>
          </w:p>
        </w:tc>
        <w:tc>
          <w:tcPr>
            <w:tcW w:w="852" w:type="pct"/>
            <w:tcBorders>
              <w:top w:val="single" w:color="auto" w:sz="2" w:space="0"/>
              <w:left w:val="single" w:color="auto" w:sz="2" w:space="0"/>
              <w:bottom w:val="single" w:color="auto" w:sz="2" w:space="0"/>
              <w:right w:val="single" w:color="auto" w:sz="2" w:space="0"/>
            </w:tcBorders>
            <w:vAlign w:val="center"/>
          </w:tcPr>
          <w:p w14:paraId="00E57C3F">
            <w:pPr>
              <w:spacing w:line="240" w:lineRule="exact"/>
              <w:jc w:val="right"/>
              <w:rPr>
                <w:rFonts w:ascii="宋体" w:hAnsi="宋体" w:eastAsia="宋体" w:cs="宋体"/>
                <w:sz w:val="18"/>
                <w:szCs w:val="18"/>
              </w:rPr>
            </w:pPr>
          </w:p>
        </w:tc>
        <w:tc>
          <w:tcPr>
            <w:tcW w:w="755" w:type="pct"/>
            <w:tcBorders>
              <w:top w:val="single" w:color="auto" w:sz="2" w:space="0"/>
              <w:left w:val="single" w:color="auto" w:sz="2" w:space="0"/>
              <w:bottom w:val="single" w:color="auto" w:sz="2" w:space="0"/>
              <w:right w:val="single" w:color="auto" w:sz="2" w:space="0"/>
            </w:tcBorders>
            <w:vAlign w:val="center"/>
          </w:tcPr>
          <w:p w14:paraId="7EDC1C6E">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08" w:type="pct"/>
            <w:tcBorders>
              <w:top w:val="single" w:color="auto" w:sz="2" w:space="0"/>
              <w:left w:val="single" w:color="auto" w:sz="2" w:space="0"/>
              <w:bottom w:val="single" w:color="auto" w:sz="2" w:space="0"/>
              <w:right w:val="single" w:color="auto" w:sz="2" w:space="0"/>
            </w:tcBorders>
            <w:vAlign w:val="center"/>
          </w:tcPr>
          <w:p w14:paraId="5D3B93DB">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13" w:type="pct"/>
            <w:tcBorders>
              <w:top w:val="single" w:color="auto" w:sz="2" w:space="0"/>
              <w:left w:val="single" w:color="auto" w:sz="2" w:space="0"/>
              <w:bottom w:val="single" w:color="auto" w:sz="2" w:space="0"/>
              <w:right w:val="single" w:color="auto" w:sz="2" w:space="0"/>
            </w:tcBorders>
            <w:vAlign w:val="center"/>
          </w:tcPr>
          <w:p w14:paraId="51A43384">
            <w:pPr>
              <w:spacing w:line="240" w:lineRule="exact"/>
              <w:rPr>
                <w:rFonts w:ascii="宋体" w:hAnsi="宋体" w:eastAsia="宋体" w:cs="宋体"/>
                <w:sz w:val="18"/>
                <w:szCs w:val="18"/>
              </w:rPr>
            </w:pPr>
          </w:p>
        </w:tc>
      </w:tr>
      <w:tr w14:paraId="2C88EA9D">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2EE920A2">
            <w:pPr>
              <w:spacing w:before="40" w:after="40" w:line="240" w:lineRule="exact"/>
              <w:rPr>
                <w:rFonts w:ascii="宋体" w:hAnsi="宋体" w:eastAsia="宋体" w:cs="宋体"/>
                <w:sz w:val="18"/>
                <w:szCs w:val="18"/>
              </w:rPr>
            </w:pPr>
            <w:r>
              <w:rPr>
                <w:rFonts w:ascii="宋体" w:hAnsi="宋体" w:eastAsia="宋体" w:cs="宋体"/>
                <w:sz w:val="18"/>
                <w:szCs w:val="18"/>
              </w:rPr>
              <w:t>存货</w:t>
            </w:r>
          </w:p>
        </w:tc>
        <w:tc>
          <w:tcPr>
            <w:tcW w:w="754" w:type="pct"/>
            <w:tcBorders>
              <w:top w:val="single" w:color="auto" w:sz="2" w:space="0"/>
              <w:left w:val="single" w:color="auto" w:sz="2" w:space="0"/>
              <w:bottom w:val="single" w:color="auto" w:sz="2" w:space="0"/>
              <w:right w:val="single" w:color="auto" w:sz="2" w:space="0"/>
            </w:tcBorders>
            <w:vAlign w:val="center"/>
          </w:tcPr>
          <w:p w14:paraId="4095C137">
            <w:pPr>
              <w:spacing w:line="240" w:lineRule="exact"/>
              <w:jc w:val="right"/>
              <w:rPr>
                <w:rFonts w:ascii="宋体" w:hAnsi="宋体" w:eastAsia="宋体" w:cs="宋体"/>
                <w:sz w:val="18"/>
                <w:szCs w:val="18"/>
              </w:rPr>
            </w:pPr>
            <w:r>
              <w:rPr>
                <w:rFonts w:ascii="宋体" w:hAnsi="宋体" w:eastAsia="宋体" w:cs="宋体"/>
                <w:sz w:val="18"/>
                <w:szCs w:val="18"/>
              </w:rPr>
              <w:t>24,691,178.18</w:t>
            </w:r>
          </w:p>
        </w:tc>
        <w:tc>
          <w:tcPr>
            <w:tcW w:w="720" w:type="pct"/>
            <w:tcBorders>
              <w:top w:val="single" w:color="auto" w:sz="2" w:space="0"/>
              <w:left w:val="single" w:color="auto" w:sz="2" w:space="0"/>
              <w:bottom w:val="single" w:color="auto" w:sz="2" w:space="0"/>
              <w:right w:val="single" w:color="auto" w:sz="2" w:space="0"/>
            </w:tcBorders>
            <w:vAlign w:val="center"/>
          </w:tcPr>
          <w:p w14:paraId="4C223711">
            <w:pPr>
              <w:spacing w:line="240" w:lineRule="exact"/>
              <w:jc w:val="right"/>
              <w:rPr>
                <w:rFonts w:ascii="宋体" w:hAnsi="宋体" w:eastAsia="宋体" w:cs="宋体"/>
                <w:sz w:val="18"/>
                <w:szCs w:val="18"/>
              </w:rPr>
            </w:pPr>
            <w:r>
              <w:rPr>
                <w:rFonts w:ascii="宋体" w:hAnsi="宋体" w:eastAsia="宋体" w:cs="宋体"/>
                <w:sz w:val="18"/>
                <w:szCs w:val="18"/>
              </w:rPr>
              <w:t>2.59%</w:t>
            </w:r>
          </w:p>
        </w:tc>
        <w:tc>
          <w:tcPr>
            <w:tcW w:w="852" w:type="pct"/>
            <w:tcBorders>
              <w:top w:val="single" w:color="auto" w:sz="2" w:space="0"/>
              <w:left w:val="single" w:color="auto" w:sz="2" w:space="0"/>
              <w:bottom w:val="single" w:color="auto" w:sz="2" w:space="0"/>
              <w:right w:val="single" w:color="auto" w:sz="2" w:space="0"/>
            </w:tcBorders>
            <w:vAlign w:val="center"/>
          </w:tcPr>
          <w:p w14:paraId="57A76A14">
            <w:pPr>
              <w:spacing w:line="240" w:lineRule="exact"/>
              <w:jc w:val="right"/>
              <w:rPr>
                <w:rFonts w:ascii="宋体" w:hAnsi="宋体" w:eastAsia="宋体" w:cs="宋体"/>
                <w:sz w:val="18"/>
                <w:szCs w:val="18"/>
              </w:rPr>
            </w:pPr>
            <w:r>
              <w:rPr>
                <w:rFonts w:ascii="宋体" w:hAnsi="宋体" w:eastAsia="宋体" w:cs="宋体"/>
                <w:sz w:val="18"/>
                <w:szCs w:val="18"/>
              </w:rPr>
              <w:t>30,386,849.98</w:t>
            </w:r>
          </w:p>
        </w:tc>
        <w:tc>
          <w:tcPr>
            <w:tcW w:w="755" w:type="pct"/>
            <w:tcBorders>
              <w:top w:val="single" w:color="auto" w:sz="2" w:space="0"/>
              <w:left w:val="single" w:color="auto" w:sz="2" w:space="0"/>
              <w:bottom w:val="single" w:color="auto" w:sz="2" w:space="0"/>
              <w:right w:val="single" w:color="auto" w:sz="2" w:space="0"/>
            </w:tcBorders>
            <w:vAlign w:val="center"/>
          </w:tcPr>
          <w:p w14:paraId="4C9D787A">
            <w:pPr>
              <w:spacing w:line="240" w:lineRule="exact"/>
              <w:jc w:val="right"/>
              <w:rPr>
                <w:rFonts w:ascii="宋体" w:hAnsi="宋体" w:eastAsia="宋体" w:cs="宋体"/>
                <w:sz w:val="18"/>
                <w:szCs w:val="18"/>
              </w:rPr>
            </w:pPr>
            <w:r>
              <w:rPr>
                <w:rFonts w:ascii="宋体" w:hAnsi="宋体" w:eastAsia="宋体" w:cs="宋体"/>
                <w:sz w:val="18"/>
                <w:szCs w:val="18"/>
              </w:rPr>
              <w:t>3.28%</w:t>
            </w:r>
          </w:p>
        </w:tc>
        <w:tc>
          <w:tcPr>
            <w:tcW w:w="608" w:type="pct"/>
            <w:tcBorders>
              <w:top w:val="single" w:color="auto" w:sz="2" w:space="0"/>
              <w:left w:val="single" w:color="auto" w:sz="2" w:space="0"/>
              <w:bottom w:val="single" w:color="auto" w:sz="2" w:space="0"/>
              <w:right w:val="single" w:color="auto" w:sz="2" w:space="0"/>
            </w:tcBorders>
            <w:vAlign w:val="center"/>
          </w:tcPr>
          <w:p w14:paraId="5023B9C9">
            <w:pPr>
              <w:spacing w:line="240" w:lineRule="exact"/>
              <w:jc w:val="right"/>
              <w:rPr>
                <w:rFonts w:ascii="宋体" w:hAnsi="宋体" w:eastAsia="宋体" w:cs="宋体"/>
                <w:sz w:val="18"/>
                <w:szCs w:val="18"/>
              </w:rPr>
            </w:pPr>
            <w:r>
              <w:rPr>
                <w:rFonts w:ascii="宋体" w:hAnsi="宋体" w:eastAsia="宋体" w:cs="宋体"/>
                <w:sz w:val="18"/>
                <w:szCs w:val="18"/>
              </w:rPr>
              <w:t>-0.69%</w:t>
            </w:r>
          </w:p>
        </w:tc>
        <w:tc>
          <w:tcPr>
            <w:tcW w:w="613" w:type="pct"/>
            <w:tcBorders>
              <w:top w:val="single" w:color="auto" w:sz="2" w:space="0"/>
              <w:left w:val="single" w:color="auto" w:sz="2" w:space="0"/>
              <w:bottom w:val="single" w:color="auto" w:sz="2" w:space="0"/>
              <w:right w:val="single" w:color="auto" w:sz="2" w:space="0"/>
            </w:tcBorders>
            <w:vAlign w:val="center"/>
          </w:tcPr>
          <w:p w14:paraId="059B2938">
            <w:pPr>
              <w:spacing w:line="240" w:lineRule="exact"/>
              <w:rPr>
                <w:rFonts w:ascii="宋体" w:hAnsi="宋体" w:eastAsia="宋体" w:cs="宋体"/>
                <w:sz w:val="18"/>
                <w:szCs w:val="18"/>
              </w:rPr>
            </w:pPr>
          </w:p>
        </w:tc>
      </w:tr>
      <w:tr w14:paraId="426A234A">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1B9D5564">
            <w:pPr>
              <w:spacing w:before="40" w:after="40" w:line="240" w:lineRule="exact"/>
              <w:rPr>
                <w:rFonts w:ascii="宋体" w:hAnsi="宋体" w:eastAsia="宋体" w:cs="宋体"/>
                <w:sz w:val="18"/>
                <w:szCs w:val="18"/>
              </w:rPr>
            </w:pPr>
            <w:r>
              <w:rPr>
                <w:rFonts w:ascii="宋体" w:hAnsi="宋体" w:eastAsia="宋体" w:cs="宋体"/>
                <w:sz w:val="18"/>
                <w:szCs w:val="18"/>
              </w:rPr>
              <w:t>投资性房地产</w:t>
            </w:r>
          </w:p>
        </w:tc>
        <w:tc>
          <w:tcPr>
            <w:tcW w:w="754" w:type="pct"/>
            <w:tcBorders>
              <w:top w:val="single" w:color="auto" w:sz="2" w:space="0"/>
              <w:left w:val="single" w:color="auto" w:sz="2" w:space="0"/>
              <w:bottom w:val="single" w:color="auto" w:sz="2" w:space="0"/>
              <w:right w:val="single" w:color="auto" w:sz="2" w:space="0"/>
            </w:tcBorders>
            <w:vAlign w:val="center"/>
          </w:tcPr>
          <w:p w14:paraId="7DE19452">
            <w:pPr>
              <w:spacing w:line="240" w:lineRule="exact"/>
              <w:jc w:val="right"/>
              <w:rPr>
                <w:rFonts w:ascii="宋体" w:hAnsi="宋体" w:eastAsia="宋体" w:cs="宋体"/>
                <w:sz w:val="18"/>
                <w:szCs w:val="18"/>
              </w:rPr>
            </w:pPr>
          </w:p>
        </w:tc>
        <w:tc>
          <w:tcPr>
            <w:tcW w:w="720" w:type="pct"/>
            <w:tcBorders>
              <w:top w:val="single" w:color="auto" w:sz="2" w:space="0"/>
              <w:left w:val="single" w:color="auto" w:sz="2" w:space="0"/>
              <w:bottom w:val="single" w:color="auto" w:sz="2" w:space="0"/>
              <w:right w:val="single" w:color="auto" w:sz="2" w:space="0"/>
            </w:tcBorders>
            <w:vAlign w:val="center"/>
          </w:tcPr>
          <w:p w14:paraId="52041A6E">
            <w:pPr>
              <w:spacing w:line="240" w:lineRule="exact"/>
              <w:jc w:val="right"/>
              <w:rPr>
                <w:rFonts w:ascii="宋体" w:hAnsi="宋体" w:eastAsia="宋体" w:cs="宋体"/>
                <w:sz w:val="18"/>
                <w:szCs w:val="18"/>
              </w:rPr>
            </w:pPr>
          </w:p>
        </w:tc>
        <w:tc>
          <w:tcPr>
            <w:tcW w:w="852" w:type="pct"/>
            <w:tcBorders>
              <w:top w:val="single" w:color="auto" w:sz="2" w:space="0"/>
              <w:left w:val="single" w:color="auto" w:sz="2" w:space="0"/>
              <w:bottom w:val="single" w:color="auto" w:sz="2" w:space="0"/>
              <w:right w:val="single" w:color="auto" w:sz="2" w:space="0"/>
            </w:tcBorders>
            <w:vAlign w:val="center"/>
          </w:tcPr>
          <w:p w14:paraId="0276C58E">
            <w:pPr>
              <w:spacing w:line="240" w:lineRule="exact"/>
              <w:jc w:val="right"/>
              <w:rPr>
                <w:rFonts w:ascii="宋体" w:hAnsi="宋体" w:eastAsia="宋体" w:cs="宋体"/>
                <w:sz w:val="18"/>
                <w:szCs w:val="18"/>
              </w:rPr>
            </w:pPr>
          </w:p>
        </w:tc>
        <w:tc>
          <w:tcPr>
            <w:tcW w:w="755" w:type="pct"/>
            <w:tcBorders>
              <w:top w:val="single" w:color="auto" w:sz="2" w:space="0"/>
              <w:left w:val="single" w:color="auto" w:sz="2" w:space="0"/>
              <w:bottom w:val="single" w:color="auto" w:sz="2" w:space="0"/>
              <w:right w:val="single" w:color="auto" w:sz="2" w:space="0"/>
            </w:tcBorders>
            <w:vAlign w:val="center"/>
          </w:tcPr>
          <w:p w14:paraId="21859907">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08" w:type="pct"/>
            <w:tcBorders>
              <w:top w:val="single" w:color="auto" w:sz="2" w:space="0"/>
              <w:left w:val="single" w:color="auto" w:sz="2" w:space="0"/>
              <w:bottom w:val="single" w:color="auto" w:sz="2" w:space="0"/>
              <w:right w:val="single" w:color="auto" w:sz="2" w:space="0"/>
            </w:tcBorders>
            <w:vAlign w:val="center"/>
          </w:tcPr>
          <w:p w14:paraId="1D4C5D1E">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13" w:type="pct"/>
            <w:tcBorders>
              <w:top w:val="single" w:color="auto" w:sz="2" w:space="0"/>
              <w:left w:val="single" w:color="auto" w:sz="2" w:space="0"/>
              <w:bottom w:val="single" w:color="auto" w:sz="2" w:space="0"/>
              <w:right w:val="single" w:color="auto" w:sz="2" w:space="0"/>
            </w:tcBorders>
            <w:vAlign w:val="center"/>
          </w:tcPr>
          <w:p w14:paraId="159CFB87">
            <w:pPr>
              <w:spacing w:line="240" w:lineRule="exact"/>
              <w:rPr>
                <w:rFonts w:ascii="宋体" w:hAnsi="宋体" w:eastAsia="宋体" w:cs="宋体"/>
                <w:sz w:val="18"/>
                <w:szCs w:val="18"/>
              </w:rPr>
            </w:pPr>
          </w:p>
        </w:tc>
      </w:tr>
      <w:tr w14:paraId="6CF09B34">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7CD89F07">
            <w:pPr>
              <w:spacing w:before="40" w:after="40" w:line="240" w:lineRule="exact"/>
              <w:rPr>
                <w:rFonts w:ascii="宋体" w:hAnsi="宋体" w:eastAsia="宋体" w:cs="宋体"/>
                <w:sz w:val="18"/>
                <w:szCs w:val="18"/>
              </w:rPr>
            </w:pPr>
            <w:r>
              <w:rPr>
                <w:rFonts w:ascii="宋体" w:hAnsi="宋体" w:eastAsia="宋体" w:cs="宋体"/>
                <w:sz w:val="18"/>
                <w:szCs w:val="18"/>
              </w:rPr>
              <w:t>长期股权投资</w:t>
            </w:r>
          </w:p>
        </w:tc>
        <w:tc>
          <w:tcPr>
            <w:tcW w:w="754" w:type="pct"/>
            <w:tcBorders>
              <w:top w:val="single" w:color="auto" w:sz="2" w:space="0"/>
              <w:left w:val="single" w:color="auto" w:sz="2" w:space="0"/>
              <w:bottom w:val="single" w:color="auto" w:sz="2" w:space="0"/>
              <w:right w:val="single" w:color="auto" w:sz="2" w:space="0"/>
            </w:tcBorders>
            <w:vAlign w:val="center"/>
          </w:tcPr>
          <w:p w14:paraId="1D59C4E2">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20" w:type="pct"/>
            <w:tcBorders>
              <w:top w:val="single" w:color="auto" w:sz="2" w:space="0"/>
              <w:left w:val="single" w:color="auto" w:sz="2" w:space="0"/>
              <w:bottom w:val="single" w:color="auto" w:sz="2" w:space="0"/>
              <w:right w:val="single" w:color="auto" w:sz="2" w:space="0"/>
            </w:tcBorders>
            <w:vAlign w:val="center"/>
          </w:tcPr>
          <w:p w14:paraId="17E2D6F7">
            <w:pPr>
              <w:spacing w:line="240" w:lineRule="exact"/>
              <w:jc w:val="right"/>
              <w:rPr>
                <w:rFonts w:ascii="宋体" w:hAnsi="宋体" w:eastAsia="宋体" w:cs="宋体"/>
                <w:sz w:val="18"/>
                <w:szCs w:val="18"/>
              </w:rPr>
            </w:pPr>
            <w:r>
              <w:rPr>
                <w:rFonts w:ascii="宋体" w:hAnsi="宋体" w:eastAsia="宋体" w:cs="宋体"/>
                <w:sz w:val="18"/>
                <w:szCs w:val="18"/>
              </w:rPr>
              <w:t>19.59%</w:t>
            </w:r>
          </w:p>
        </w:tc>
        <w:tc>
          <w:tcPr>
            <w:tcW w:w="852" w:type="pct"/>
            <w:tcBorders>
              <w:top w:val="single" w:color="auto" w:sz="2" w:space="0"/>
              <w:left w:val="single" w:color="auto" w:sz="2" w:space="0"/>
              <w:bottom w:val="single" w:color="auto" w:sz="2" w:space="0"/>
              <w:right w:val="single" w:color="auto" w:sz="2" w:space="0"/>
            </w:tcBorders>
            <w:vAlign w:val="center"/>
          </w:tcPr>
          <w:p w14:paraId="745D726E">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55" w:type="pct"/>
            <w:tcBorders>
              <w:top w:val="single" w:color="auto" w:sz="2" w:space="0"/>
              <w:left w:val="single" w:color="auto" w:sz="2" w:space="0"/>
              <w:bottom w:val="single" w:color="auto" w:sz="2" w:space="0"/>
              <w:right w:val="single" w:color="auto" w:sz="2" w:space="0"/>
            </w:tcBorders>
            <w:vAlign w:val="center"/>
          </w:tcPr>
          <w:p w14:paraId="3FFBE8B6">
            <w:pPr>
              <w:spacing w:line="240" w:lineRule="exact"/>
              <w:jc w:val="right"/>
              <w:rPr>
                <w:rFonts w:ascii="宋体" w:hAnsi="宋体" w:eastAsia="宋体" w:cs="宋体"/>
                <w:sz w:val="18"/>
                <w:szCs w:val="18"/>
              </w:rPr>
            </w:pPr>
            <w:r>
              <w:rPr>
                <w:rFonts w:ascii="宋体" w:hAnsi="宋体" w:eastAsia="宋体" w:cs="宋体"/>
                <w:sz w:val="18"/>
                <w:szCs w:val="18"/>
              </w:rPr>
              <w:t>20.49%</w:t>
            </w:r>
          </w:p>
        </w:tc>
        <w:tc>
          <w:tcPr>
            <w:tcW w:w="608" w:type="pct"/>
            <w:tcBorders>
              <w:top w:val="single" w:color="auto" w:sz="2" w:space="0"/>
              <w:left w:val="single" w:color="auto" w:sz="2" w:space="0"/>
              <w:bottom w:val="single" w:color="auto" w:sz="2" w:space="0"/>
              <w:right w:val="single" w:color="auto" w:sz="2" w:space="0"/>
            </w:tcBorders>
            <w:vAlign w:val="center"/>
          </w:tcPr>
          <w:p w14:paraId="3E1B669C">
            <w:pPr>
              <w:spacing w:line="240" w:lineRule="exact"/>
              <w:jc w:val="right"/>
              <w:rPr>
                <w:rFonts w:ascii="宋体" w:hAnsi="宋体" w:eastAsia="宋体" w:cs="宋体"/>
                <w:sz w:val="18"/>
                <w:szCs w:val="18"/>
              </w:rPr>
            </w:pPr>
            <w:r>
              <w:rPr>
                <w:rFonts w:ascii="宋体" w:hAnsi="宋体" w:eastAsia="宋体" w:cs="宋体"/>
                <w:sz w:val="18"/>
                <w:szCs w:val="18"/>
              </w:rPr>
              <w:t>-0.90%</w:t>
            </w:r>
          </w:p>
        </w:tc>
        <w:tc>
          <w:tcPr>
            <w:tcW w:w="613" w:type="pct"/>
            <w:tcBorders>
              <w:top w:val="single" w:color="auto" w:sz="2" w:space="0"/>
              <w:left w:val="single" w:color="auto" w:sz="2" w:space="0"/>
              <w:bottom w:val="single" w:color="auto" w:sz="2" w:space="0"/>
              <w:right w:val="single" w:color="auto" w:sz="2" w:space="0"/>
            </w:tcBorders>
            <w:vAlign w:val="center"/>
          </w:tcPr>
          <w:p w14:paraId="3C3C3601">
            <w:pPr>
              <w:spacing w:line="240" w:lineRule="exact"/>
              <w:rPr>
                <w:rFonts w:ascii="宋体" w:hAnsi="宋体" w:eastAsia="宋体" w:cs="宋体"/>
                <w:sz w:val="18"/>
                <w:szCs w:val="18"/>
              </w:rPr>
            </w:pPr>
          </w:p>
        </w:tc>
      </w:tr>
      <w:tr w14:paraId="6A93BB85">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657F07BC">
            <w:pPr>
              <w:spacing w:before="40" w:after="40" w:line="240" w:lineRule="exact"/>
              <w:rPr>
                <w:rFonts w:ascii="宋体" w:hAnsi="宋体" w:eastAsia="宋体" w:cs="宋体"/>
                <w:sz w:val="18"/>
                <w:szCs w:val="18"/>
              </w:rPr>
            </w:pPr>
            <w:r>
              <w:rPr>
                <w:rFonts w:ascii="宋体" w:hAnsi="宋体" w:eastAsia="宋体" w:cs="宋体"/>
                <w:sz w:val="18"/>
                <w:szCs w:val="18"/>
              </w:rPr>
              <w:t>固定资产</w:t>
            </w:r>
          </w:p>
        </w:tc>
        <w:tc>
          <w:tcPr>
            <w:tcW w:w="754" w:type="pct"/>
            <w:tcBorders>
              <w:top w:val="single" w:color="auto" w:sz="2" w:space="0"/>
              <w:left w:val="single" w:color="auto" w:sz="2" w:space="0"/>
              <w:bottom w:val="single" w:color="auto" w:sz="2" w:space="0"/>
              <w:right w:val="single" w:color="auto" w:sz="2" w:space="0"/>
            </w:tcBorders>
            <w:vAlign w:val="center"/>
          </w:tcPr>
          <w:p w14:paraId="55589C39">
            <w:pPr>
              <w:spacing w:line="240" w:lineRule="exact"/>
              <w:jc w:val="right"/>
              <w:rPr>
                <w:rFonts w:ascii="宋体" w:hAnsi="宋体" w:eastAsia="宋体" w:cs="宋体"/>
                <w:sz w:val="18"/>
                <w:szCs w:val="18"/>
              </w:rPr>
            </w:pPr>
            <w:r>
              <w:rPr>
                <w:rFonts w:ascii="宋体" w:hAnsi="宋体" w:eastAsia="宋体" w:cs="宋体"/>
                <w:sz w:val="18"/>
                <w:szCs w:val="18"/>
              </w:rPr>
              <w:t>134,210,525.42</w:t>
            </w:r>
          </w:p>
        </w:tc>
        <w:tc>
          <w:tcPr>
            <w:tcW w:w="720" w:type="pct"/>
            <w:tcBorders>
              <w:top w:val="single" w:color="auto" w:sz="2" w:space="0"/>
              <w:left w:val="single" w:color="auto" w:sz="2" w:space="0"/>
              <w:bottom w:val="single" w:color="auto" w:sz="2" w:space="0"/>
              <w:right w:val="single" w:color="auto" w:sz="2" w:space="0"/>
            </w:tcBorders>
            <w:vAlign w:val="center"/>
          </w:tcPr>
          <w:p w14:paraId="436E2A3F">
            <w:pPr>
              <w:spacing w:line="240" w:lineRule="exact"/>
              <w:jc w:val="right"/>
              <w:rPr>
                <w:rFonts w:ascii="宋体" w:hAnsi="宋体" w:eastAsia="宋体" w:cs="宋体"/>
                <w:sz w:val="18"/>
                <w:szCs w:val="18"/>
              </w:rPr>
            </w:pPr>
            <w:r>
              <w:rPr>
                <w:rFonts w:ascii="宋体" w:hAnsi="宋体" w:eastAsia="宋体" w:cs="宋体"/>
                <w:sz w:val="18"/>
                <w:szCs w:val="18"/>
              </w:rPr>
              <w:t>14.09%</w:t>
            </w:r>
          </w:p>
        </w:tc>
        <w:tc>
          <w:tcPr>
            <w:tcW w:w="852" w:type="pct"/>
            <w:tcBorders>
              <w:top w:val="single" w:color="auto" w:sz="2" w:space="0"/>
              <w:left w:val="single" w:color="auto" w:sz="2" w:space="0"/>
              <w:bottom w:val="single" w:color="auto" w:sz="2" w:space="0"/>
              <w:right w:val="single" w:color="auto" w:sz="2" w:space="0"/>
            </w:tcBorders>
            <w:vAlign w:val="center"/>
          </w:tcPr>
          <w:p w14:paraId="7457902B">
            <w:pPr>
              <w:spacing w:line="240" w:lineRule="exact"/>
              <w:jc w:val="right"/>
              <w:rPr>
                <w:rFonts w:ascii="宋体" w:hAnsi="宋体" w:eastAsia="宋体" w:cs="宋体"/>
                <w:sz w:val="18"/>
                <w:szCs w:val="18"/>
              </w:rPr>
            </w:pPr>
            <w:r>
              <w:rPr>
                <w:rFonts w:ascii="宋体" w:hAnsi="宋体" w:eastAsia="宋体" w:cs="宋体"/>
                <w:sz w:val="18"/>
                <w:szCs w:val="18"/>
              </w:rPr>
              <w:t>127,094,361.54</w:t>
            </w:r>
          </w:p>
        </w:tc>
        <w:tc>
          <w:tcPr>
            <w:tcW w:w="755" w:type="pct"/>
            <w:tcBorders>
              <w:top w:val="single" w:color="auto" w:sz="2" w:space="0"/>
              <w:left w:val="single" w:color="auto" w:sz="2" w:space="0"/>
              <w:bottom w:val="single" w:color="auto" w:sz="2" w:space="0"/>
              <w:right w:val="single" w:color="auto" w:sz="2" w:space="0"/>
            </w:tcBorders>
            <w:vAlign w:val="center"/>
          </w:tcPr>
          <w:p w14:paraId="5E42C74B">
            <w:pPr>
              <w:spacing w:line="240" w:lineRule="exact"/>
              <w:jc w:val="right"/>
              <w:rPr>
                <w:rFonts w:ascii="宋体" w:hAnsi="宋体" w:eastAsia="宋体" w:cs="宋体"/>
                <w:sz w:val="18"/>
                <w:szCs w:val="18"/>
              </w:rPr>
            </w:pPr>
            <w:r>
              <w:rPr>
                <w:rFonts w:ascii="宋体" w:hAnsi="宋体" w:eastAsia="宋体" w:cs="宋体"/>
                <w:sz w:val="18"/>
                <w:szCs w:val="18"/>
              </w:rPr>
              <w:t>13.72%</w:t>
            </w:r>
          </w:p>
        </w:tc>
        <w:tc>
          <w:tcPr>
            <w:tcW w:w="608" w:type="pct"/>
            <w:tcBorders>
              <w:top w:val="single" w:color="auto" w:sz="2" w:space="0"/>
              <w:left w:val="single" w:color="auto" w:sz="2" w:space="0"/>
              <w:bottom w:val="single" w:color="auto" w:sz="2" w:space="0"/>
              <w:right w:val="single" w:color="auto" w:sz="2" w:space="0"/>
            </w:tcBorders>
            <w:vAlign w:val="center"/>
          </w:tcPr>
          <w:p w14:paraId="42E463E2">
            <w:pPr>
              <w:spacing w:line="240" w:lineRule="exact"/>
              <w:jc w:val="right"/>
              <w:rPr>
                <w:rFonts w:ascii="宋体" w:hAnsi="宋体" w:eastAsia="宋体" w:cs="宋体"/>
                <w:sz w:val="18"/>
                <w:szCs w:val="18"/>
              </w:rPr>
            </w:pPr>
            <w:r>
              <w:rPr>
                <w:rFonts w:ascii="宋体" w:hAnsi="宋体" w:eastAsia="宋体" w:cs="宋体"/>
                <w:sz w:val="18"/>
                <w:szCs w:val="18"/>
              </w:rPr>
              <w:t>0.37%</w:t>
            </w:r>
          </w:p>
        </w:tc>
        <w:tc>
          <w:tcPr>
            <w:tcW w:w="613" w:type="pct"/>
            <w:tcBorders>
              <w:top w:val="single" w:color="auto" w:sz="2" w:space="0"/>
              <w:left w:val="single" w:color="auto" w:sz="2" w:space="0"/>
              <w:bottom w:val="single" w:color="auto" w:sz="2" w:space="0"/>
              <w:right w:val="single" w:color="auto" w:sz="2" w:space="0"/>
            </w:tcBorders>
            <w:vAlign w:val="center"/>
          </w:tcPr>
          <w:p w14:paraId="4ED8B48F">
            <w:pPr>
              <w:spacing w:line="240" w:lineRule="exact"/>
              <w:rPr>
                <w:rFonts w:ascii="宋体" w:hAnsi="宋体" w:eastAsia="宋体" w:cs="宋体"/>
                <w:sz w:val="18"/>
                <w:szCs w:val="18"/>
              </w:rPr>
            </w:pPr>
          </w:p>
        </w:tc>
      </w:tr>
      <w:tr w14:paraId="394D9FE1">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408DDAE6">
            <w:pPr>
              <w:spacing w:before="40" w:after="40" w:line="240" w:lineRule="exact"/>
              <w:rPr>
                <w:rFonts w:ascii="宋体" w:hAnsi="宋体" w:eastAsia="宋体" w:cs="宋体"/>
                <w:sz w:val="18"/>
                <w:szCs w:val="18"/>
              </w:rPr>
            </w:pPr>
            <w:r>
              <w:rPr>
                <w:rFonts w:ascii="宋体" w:hAnsi="宋体" w:eastAsia="宋体" w:cs="宋体"/>
                <w:sz w:val="18"/>
                <w:szCs w:val="18"/>
              </w:rPr>
              <w:t>在建工程</w:t>
            </w:r>
          </w:p>
        </w:tc>
        <w:tc>
          <w:tcPr>
            <w:tcW w:w="754" w:type="pct"/>
            <w:tcBorders>
              <w:top w:val="single" w:color="auto" w:sz="2" w:space="0"/>
              <w:left w:val="single" w:color="auto" w:sz="2" w:space="0"/>
              <w:bottom w:val="single" w:color="auto" w:sz="2" w:space="0"/>
              <w:right w:val="single" w:color="auto" w:sz="2" w:space="0"/>
            </w:tcBorders>
            <w:vAlign w:val="center"/>
          </w:tcPr>
          <w:p w14:paraId="1D136D84">
            <w:pPr>
              <w:spacing w:line="240" w:lineRule="exact"/>
              <w:jc w:val="right"/>
              <w:rPr>
                <w:rFonts w:ascii="宋体" w:hAnsi="宋体" w:eastAsia="宋体" w:cs="宋体"/>
                <w:sz w:val="18"/>
                <w:szCs w:val="18"/>
              </w:rPr>
            </w:pPr>
            <w:r>
              <w:rPr>
                <w:rFonts w:ascii="宋体" w:hAnsi="宋体" w:eastAsia="宋体" w:cs="宋体"/>
                <w:sz w:val="18"/>
                <w:szCs w:val="18"/>
              </w:rPr>
              <w:t>2,843,351.03</w:t>
            </w:r>
          </w:p>
        </w:tc>
        <w:tc>
          <w:tcPr>
            <w:tcW w:w="720" w:type="pct"/>
            <w:tcBorders>
              <w:top w:val="single" w:color="auto" w:sz="2" w:space="0"/>
              <w:left w:val="single" w:color="auto" w:sz="2" w:space="0"/>
              <w:bottom w:val="single" w:color="auto" w:sz="2" w:space="0"/>
              <w:right w:val="single" w:color="auto" w:sz="2" w:space="0"/>
            </w:tcBorders>
            <w:vAlign w:val="center"/>
          </w:tcPr>
          <w:p w14:paraId="0D5D3121">
            <w:pPr>
              <w:spacing w:line="240" w:lineRule="exact"/>
              <w:jc w:val="right"/>
              <w:rPr>
                <w:rFonts w:ascii="宋体" w:hAnsi="宋体" w:eastAsia="宋体" w:cs="宋体"/>
                <w:sz w:val="18"/>
                <w:szCs w:val="18"/>
              </w:rPr>
            </w:pPr>
            <w:r>
              <w:rPr>
                <w:rFonts w:ascii="宋体" w:hAnsi="宋体" w:eastAsia="宋体" w:cs="宋体"/>
                <w:sz w:val="18"/>
                <w:szCs w:val="18"/>
              </w:rPr>
              <w:t>0.30%</w:t>
            </w:r>
          </w:p>
        </w:tc>
        <w:tc>
          <w:tcPr>
            <w:tcW w:w="852" w:type="pct"/>
            <w:tcBorders>
              <w:top w:val="single" w:color="auto" w:sz="2" w:space="0"/>
              <w:left w:val="single" w:color="auto" w:sz="2" w:space="0"/>
              <w:bottom w:val="single" w:color="auto" w:sz="2" w:space="0"/>
              <w:right w:val="single" w:color="auto" w:sz="2" w:space="0"/>
            </w:tcBorders>
            <w:vAlign w:val="center"/>
          </w:tcPr>
          <w:p w14:paraId="4B32801A">
            <w:pPr>
              <w:spacing w:line="240" w:lineRule="exact"/>
              <w:jc w:val="right"/>
              <w:rPr>
                <w:rFonts w:ascii="宋体" w:hAnsi="宋体" w:eastAsia="宋体" w:cs="宋体"/>
                <w:sz w:val="18"/>
                <w:szCs w:val="18"/>
              </w:rPr>
            </w:pPr>
            <w:r>
              <w:rPr>
                <w:rFonts w:ascii="宋体" w:hAnsi="宋体" w:eastAsia="宋体" w:cs="宋体"/>
                <w:sz w:val="18"/>
                <w:szCs w:val="18"/>
              </w:rPr>
              <w:t>10,320,297.72</w:t>
            </w:r>
          </w:p>
        </w:tc>
        <w:tc>
          <w:tcPr>
            <w:tcW w:w="755" w:type="pct"/>
            <w:tcBorders>
              <w:top w:val="single" w:color="auto" w:sz="2" w:space="0"/>
              <w:left w:val="single" w:color="auto" w:sz="2" w:space="0"/>
              <w:bottom w:val="single" w:color="auto" w:sz="2" w:space="0"/>
              <w:right w:val="single" w:color="auto" w:sz="2" w:space="0"/>
            </w:tcBorders>
            <w:vAlign w:val="center"/>
          </w:tcPr>
          <w:p w14:paraId="6B69395D">
            <w:pPr>
              <w:spacing w:line="240" w:lineRule="exact"/>
              <w:jc w:val="right"/>
              <w:rPr>
                <w:rFonts w:ascii="宋体" w:hAnsi="宋体" w:eastAsia="宋体" w:cs="宋体"/>
                <w:sz w:val="18"/>
                <w:szCs w:val="18"/>
              </w:rPr>
            </w:pPr>
            <w:r>
              <w:rPr>
                <w:rFonts w:ascii="宋体" w:hAnsi="宋体" w:eastAsia="宋体" w:cs="宋体"/>
                <w:sz w:val="18"/>
                <w:szCs w:val="18"/>
              </w:rPr>
              <w:t>1.11%</w:t>
            </w:r>
          </w:p>
        </w:tc>
        <w:tc>
          <w:tcPr>
            <w:tcW w:w="608" w:type="pct"/>
            <w:tcBorders>
              <w:top w:val="single" w:color="auto" w:sz="2" w:space="0"/>
              <w:left w:val="single" w:color="auto" w:sz="2" w:space="0"/>
              <w:bottom w:val="single" w:color="auto" w:sz="2" w:space="0"/>
              <w:right w:val="single" w:color="auto" w:sz="2" w:space="0"/>
            </w:tcBorders>
            <w:vAlign w:val="center"/>
          </w:tcPr>
          <w:p w14:paraId="3ECA8F69">
            <w:pPr>
              <w:spacing w:line="240" w:lineRule="exact"/>
              <w:jc w:val="right"/>
              <w:rPr>
                <w:rFonts w:ascii="宋体" w:hAnsi="宋体" w:eastAsia="宋体" w:cs="宋体"/>
                <w:sz w:val="18"/>
                <w:szCs w:val="18"/>
              </w:rPr>
            </w:pPr>
            <w:r>
              <w:rPr>
                <w:rFonts w:ascii="宋体" w:hAnsi="宋体" w:eastAsia="宋体" w:cs="宋体"/>
                <w:sz w:val="18"/>
                <w:szCs w:val="18"/>
              </w:rPr>
              <w:t>-0.81%</w:t>
            </w:r>
          </w:p>
        </w:tc>
        <w:tc>
          <w:tcPr>
            <w:tcW w:w="613" w:type="pct"/>
            <w:tcBorders>
              <w:top w:val="single" w:color="auto" w:sz="2" w:space="0"/>
              <w:left w:val="single" w:color="auto" w:sz="2" w:space="0"/>
              <w:bottom w:val="single" w:color="auto" w:sz="2" w:space="0"/>
              <w:right w:val="single" w:color="auto" w:sz="2" w:space="0"/>
            </w:tcBorders>
            <w:vAlign w:val="center"/>
          </w:tcPr>
          <w:p w14:paraId="7BEC74E6">
            <w:pPr>
              <w:spacing w:line="240" w:lineRule="exact"/>
              <w:rPr>
                <w:rFonts w:ascii="宋体" w:hAnsi="宋体" w:eastAsia="宋体" w:cs="宋体"/>
                <w:sz w:val="18"/>
                <w:szCs w:val="18"/>
              </w:rPr>
            </w:pPr>
          </w:p>
        </w:tc>
      </w:tr>
      <w:tr w14:paraId="7A98B65B">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71FB4C2F">
            <w:pPr>
              <w:spacing w:before="40" w:after="40" w:line="240" w:lineRule="exact"/>
              <w:rPr>
                <w:rFonts w:ascii="宋体" w:hAnsi="宋体" w:eastAsia="宋体" w:cs="宋体"/>
                <w:sz w:val="18"/>
                <w:szCs w:val="18"/>
              </w:rPr>
            </w:pPr>
            <w:r>
              <w:rPr>
                <w:rFonts w:ascii="宋体" w:hAnsi="宋体" w:eastAsia="宋体" w:cs="宋体"/>
                <w:sz w:val="18"/>
                <w:szCs w:val="18"/>
              </w:rPr>
              <w:t>使用权资产</w:t>
            </w:r>
          </w:p>
        </w:tc>
        <w:tc>
          <w:tcPr>
            <w:tcW w:w="754" w:type="pct"/>
            <w:tcBorders>
              <w:top w:val="single" w:color="auto" w:sz="2" w:space="0"/>
              <w:left w:val="single" w:color="auto" w:sz="2" w:space="0"/>
              <w:bottom w:val="single" w:color="auto" w:sz="2" w:space="0"/>
              <w:right w:val="single" w:color="auto" w:sz="2" w:space="0"/>
            </w:tcBorders>
            <w:vAlign w:val="center"/>
          </w:tcPr>
          <w:p w14:paraId="50A691EC">
            <w:pPr>
              <w:spacing w:line="240" w:lineRule="exact"/>
              <w:jc w:val="right"/>
              <w:rPr>
                <w:rFonts w:ascii="宋体" w:hAnsi="宋体" w:eastAsia="宋体" w:cs="宋体"/>
                <w:sz w:val="18"/>
                <w:szCs w:val="18"/>
              </w:rPr>
            </w:pPr>
          </w:p>
        </w:tc>
        <w:tc>
          <w:tcPr>
            <w:tcW w:w="720" w:type="pct"/>
            <w:tcBorders>
              <w:top w:val="single" w:color="auto" w:sz="2" w:space="0"/>
              <w:left w:val="single" w:color="auto" w:sz="2" w:space="0"/>
              <w:bottom w:val="single" w:color="auto" w:sz="2" w:space="0"/>
              <w:right w:val="single" w:color="auto" w:sz="2" w:space="0"/>
            </w:tcBorders>
            <w:vAlign w:val="center"/>
          </w:tcPr>
          <w:p w14:paraId="2138E57A">
            <w:pPr>
              <w:spacing w:line="240" w:lineRule="exact"/>
              <w:jc w:val="right"/>
              <w:rPr>
                <w:rFonts w:ascii="宋体" w:hAnsi="宋体" w:eastAsia="宋体" w:cs="宋体"/>
                <w:sz w:val="18"/>
                <w:szCs w:val="18"/>
              </w:rPr>
            </w:pPr>
          </w:p>
        </w:tc>
        <w:tc>
          <w:tcPr>
            <w:tcW w:w="852" w:type="pct"/>
            <w:tcBorders>
              <w:top w:val="single" w:color="auto" w:sz="2" w:space="0"/>
              <w:left w:val="single" w:color="auto" w:sz="2" w:space="0"/>
              <w:bottom w:val="single" w:color="auto" w:sz="2" w:space="0"/>
              <w:right w:val="single" w:color="auto" w:sz="2" w:space="0"/>
            </w:tcBorders>
            <w:vAlign w:val="center"/>
          </w:tcPr>
          <w:p w14:paraId="1EC82B86">
            <w:pPr>
              <w:spacing w:line="240" w:lineRule="exact"/>
              <w:jc w:val="right"/>
              <w:rPr>
                <w:rFonts w:ascii="宋体" w:hAnsi="宋体" w:eastAsia="宋体" w:cs="宋体"/>
                <w:sz w:val="18"/>
                <w:szCs w:val="18"/>
              </w:rPr>
            </w:pPr>
          </w:p>
        </w:tc>
        <w:tc>
          <w:tcPr>
            <w:tcW w:w="755" w:type="pct"/>
            <w:tcBorders>
              <w:top w:val="single" w:color="auto" w:sz="2" w:space="0"/>
              <w:left w:val="single" w:color="auto" w:sz="2" w:space="0"/>
              <w:bottom w:val="single" w:color="auto" w:sz="2" w:space="0"/>
              <w:right w:val="single" w:color="auto" w:sz="2" w:space="0"/>
            </w:tcBorders>
            <w:vAlign w:val="center"/>
          </w:tcPr>
          <w:p w14:paraId="003A81FC">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08" w:type="pct"/>
            <w:tcBorders>
              <w:top w:val="single" w:color="auto" w:sz="2" w:space="0"/>
              <w:left w:val="single" w:color="auto" w:sz="2" w:space="0"/>
              <w:bottom w:val="single" w:color="auto" w:sz="2" w:space="0"/>
              <w:right w:val="single" w:color="auto" w:sz="2" w:space="0"/>
            </w:tcBorders>
            <w:vAlign w:val="center"/>
          </w:tcPr>
          <w:p w14:paraId="5F994CE7">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13" w:type="pct"/>
            <w:tcBorders>
              <w:top w:val="single" w:color="auto" w:sz="2" w:space="0"/>
              <w:left w:val="single" w:color="auto" w:sz="2" w:space="0"/>
              <w:bottom w:val="single" w:color="auto" w:sz="2" w:space="0"/>
              <w:right w:val="single" w:color="auto" w:sz="2" w:space="0"/>
            </w:tcBorders>
            <w:vAlign w:val="center"/>
          </w:tcPr>
          <w:p w14:paraId="17282824">
            <w:pPr>
              <w:spacing w:line="240" w:lineRule="exact"/>
              <w:rPr>
                <w:rFonts w:ascii="宋体" w:hAnsi="宋体" w:eastAsia="宋体" w:cs="宋体"/>
                <w:sz w:val="18"/>
                <w:szCs w:val="18"/>
              </w:rPr>
            </w:pPr>
          </w:p>
        </w:tc>
      </w:tr>
      <w:tr w14:paraId="7F8E64EB">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4F98B3A0">
            <w:pPr>
              <w:spacing w:before="40" w:after="40" w:line="240" w:lineRule="exact"/>
              <w:rPr>
                <w:rFonts w:ascii="宋体" w:hAnsi="宋体" w:eastAsia="宋体" w:cs="宋体"/>
                <w:sz w:val="18"/>
                <w:szCs w:val="18"/>
              </w:rPr>
            </w:pPr>
            <w:r>
              <w:rPr>
                <w:rFonts w:ascii="宋体" w:hAnsi="宋体" w:eastAsia="宋体" w:cs="宋体"/>
                <w:sz w:val="18"/>
                <w:szCs w:val="18"/>
              </w:rPr>
              <w:t>短期借款</w:t>
            </w:r>
          </w:p>
        </w:tc>
        <w:tc>
          <w:tcPr>
            <w:tcW w:w="754" w:type="pct"/>
            <w:tcBorders>
              <w:top w:val="single" w:color="auto" w:sz="2" w:space="0"/>
              <w:left w:val="single" w:color="auto" w:sz="2" w:space="0"/>
              <w:bottom w:val="single" w:color="auto" w:sz="2" w:space="0"/>
              <w:right w:val="single" w:color="auto" w:sz="2" w:space="0"/>
            </w:tcBorders>
            <w:vAlign w:val="center"/>
          </w:tcPr>
          <w:p w14:paraId="302FD0A0">
            <w:pPr>
              <w:spacing w:line="240" w:lineRule="exact"/>
              <w:jc w:val="right"/>
              <w:rPr>
                <w:rFonts w:ascii="宋体" w:hAnsi="宋体" w:eastAsia="宋体" w:cs="宋体"/>
                <w:sz w:val="18"/>
                <w:szCs w:val="18"/>
              </w:rPr>
            </w:pPr>
          </w:p>
        </w:tc>
        <w:tc>
          <w:tcPr>
            <w:tcW w:w="720" w:type="pct"/>
            <w:tcBorders>
              <w:top w:val="single" w:color="auto" w:sz="2" w:space="0"/>
              <w:left w:val="single" w:color="auto" w:sz="2" w:space="0"/>
              <w:bottom w:val="single" w:color="auto" w:sz="2" w:space="0"/>
              <w:right w:val="single" w:color="auto" w:sz="2" w:space="0"/>
            </w:tcBorders>
            <w:vAlign w:val="center"/>
          </w:tcPr>
          <w:p w14:paraId="35635940">
            <w:pPr>
              <w:spacing w:line="240" w:lineRule="exact"/>
              <w:jc w:val="right"/>
              <w:rPr>
                <w:rFonts w:ascii="宋体" w:hAnsi="宋体" w:eastAsia="宋体" w:cs="宋体"/>
                <w:sz w:val="18"/>
                <w:szCs w:val="18"/>
              </w:rPr>
            </w:pPr>
          </w:p>
        </w:tc>
        <w:tc>
          <w:tcPr>
            <w:tcW w:w="852" w:type="pct"/>
            <w:tcBorders>
              <w:top w:val="single" w:color="auto" w:sz="2" w:space="0"/>
              <w:left w:val="single" w:color="auto" w:sz="2" w:space="0"/>
              <w:bottom w:val="single" w:color="auto" w:sz="2" w:space="0"/>
              <w:right w:val="single" w:color="auto" w:sz="2" w:space="0"/>
            </w:tcBorders>
            <w:vAlign w:val="center"/>
          </w:tcPr>
          <w:p w14:paraId="3F63BEE5">
            <w:pPr>
              <w:spacing w:line="240" w:lineRule="exact"/>
              <w:jc w:val="right"/>
              <w:rPr>
                <w:rFonts w:ascii="宋体" w:hAnsi="宋体" w:eastAsia="宋体" w:cs="宋体"/>
                <w:sz w:val="18"/>
                <w:szCs w:val="18"/>
              </w:rPr>
            </w:pPr>
          </w:p>
        </w:tc>
        <w:tc>
          <w:tcPr>
            <w:tcW w:w="755" w:type="pct"/>
            <w:tcBorders>
              <w:top w:val="single" w:color="auto" w:sz="2" w:space="0"/>
              <w:left w:val="single" w:color="auto" w:sz="2" w:space="0"/>
              <w:bottom w:val="single" w:color="auto" w:sz="2" w:space="0"/>
              <w:right w:val="single" w:color="auto" w:sz="2" w:space="0"/>
            </w:tcBorders>
            <w:vAlign w:val="center"/>
          </w:tcPr>
          <w:p w14:paraId="709F3E71">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08" w:type="pct"/>
            <w:tcBorders>
              <w:top w:val="single" w:color="auto" w:sz="2" w:space="0"/>
              <w:left w:val="single" w:color="auto" w:sz="2" w:space="0"/>
              <w:bottom w:val="single" w:color="auto" w:sz="2" w:space="0"/>
              <w:right w:val="single" w:color="auto" w:sz="2" w:space="0"/>
            </w:tcBorders>
            <w:vAlign w:val="center"/>
          </w:tcPr>
          <w:p w14:paraId="282B5A6E">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613" w:type="pct"/>
            <w:tcBorders>
              <w:top w:val="single" w:color="auto" w:sz="2" w:space="0"/>
              <w:left w:val="single" w:color="auto" w:sz="2" w:space="0"/>
              <w:bottom w:val="single" w:color="auto" w:sz="2" w:space="0"/>
              <w:right w:val="single" w:color="auto" w:sz="2" w:space="0"/>
            </w:tcBorders>
            <w:vAlign w:val="center"/>
          </w:tcPr>
          <w:p w14:paraId="2238FEA9">
            <w:pPr>
              <w:spacing w:line="240" w:lineRule="exact"/>
              <w:rPr>
                <w:rFonts w:ascii="宋体" w:hAnsi="宋体" w:eastAsia="宋体" w:cs="宋体"/>
                <w:sz w:val="18"/>
                <w:szCs w:val="18"/>
              </w:rPr>
            </w:pPr>
          </w:p>
        </w:tc>
      </w:tr>
      <w:tr w14:paraId="7CC97A21">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14C28F2C">
            <w:pPr>
              <w:spacing w:before="40" w:after="40" w:line="240" w:lineRule="exact"/>
              <w:rPr>
                <w:rFonts w:ascii="宋体" w:hAnsi="宋体" w:eastAsia="宋体" w:cs="宋体"/>
                <w:sz w:val="18"/>
                <w:szCs w:val="18"/>
              </w:rPr>
            </w:pPr>
            <w:r>
              <w:rPr>
                <w:rFonts w:ascii="宋体" w:hAnsi="宋体" w:eastAsia="宋体" w:cs="宋体"/>
                <w:sz w:val="18"/>
                <w:szCs w:val="18"/>
              </w:rPr>
              <w:t>合同负债</w:t>
            </w:r>
          </w:p>
        </w:tc>
        <w:tc>
          <w:tcPr>
            <w:tcW w:w="754" w:type="pct"/>
            <w:tcBorders>
              <w:top w:val="single" w:color="auto" w:sz="2" w:space="0"/>
              <w:left w:val="single" w:color="auto" w:sz="2" w:space="0"/>
              <w:bottom w:val="single" w:color="auto" w:sz="2" w:space="0"/>
              <w:right w:val="single" w:color="auto" w:sz="2" w:space="0"/>
            </w:tcBorders>
            <w:vAlign w:val="center"/>
          </w:tcPr>
          <w:p w14:paraId="06FB51F2">
            <w:pPr>
              <w:spacing w:line="240" w:lineRule="exact"/>
              <w:jc w:val="right"/>
              <w:rPr>
                <w:rFonts w:ascii="宋体" w:hAnsi="宋体" w:eastAsia="宋体" w:cs="宋体"/>
                <w:sz w:val="18"/>
                <w:szCs w:val="18"/>
              </w:rPr>
            </w:pPr>
            <w:r>
              <w:rPr>
                <w:rFonts w:ascii="宋体" w:hAnsi="宋体" w:eastAsia="宋体" w:cs="宋体"/>
                <w:sz w:val="18"/>
                <w:szCs w:val="18"/>
              </w:rPr>
              <w:t>653,075.17</w:t>
            </w:r>
          </w:p>
        </w:tc>
        <w:tc>
          <w:tcPr>
            <w:tcW w:w="720" w:type="pct"/>
            <w:tcBorders>
              <w:top w:val="single" w:color="auto" w:sz="2" w:space="0"/>
              <w:left w:val="single" w:color="auto" w:sz="2" w:space="0"/>
              <w:bottom w:val="single" w:color="auto" w:sz="2" w:space="0"/>
              <w:right w:val="single" w:color="auto" w:sz="2" w:space="0"/>
            </w:tcBorders>
            <w:vAlign w:val="center"/>
          </w:tcPr>
          <w:p w14:paraId="728364E9">
            <w:pPr>
              <w:spacing w:line="240" w:lineRule="exact"/>
              <w:jc w:val="right"/>
              <w:rPr>
                <w:rFonts w:ascii="宋体" w:hAnsi="宋体" w:eastAsia="宋体" w:cs="宋体"/>
                <w:sz w:val="18"/>
                <w:szCs w:val="18"/>
              </w:rPr>
            </w:pPr>
            <w:r>
              <w:rPr>
                <w:rFonts w:ascii="宋体" w:hAnsi="宋体" w:eastAsia="宋体" w:cs="宋体"/>
                <w:sz w:val="18"/>
                <w:szCs w:val="18"/>
              </w:rPr>
              <w:t>0.07%</w:t>
            </w:r>
          </w:p>
        </w:tc>
        <w:tc>
          <w:tcPr>
            <w:tcW w:w="852" w:type="pct"/>
            <w:tcBorders>
              <w:top w:val="single" w:color="auto" w:sz="2" w:space="0"/>
              <w:left w:val="single" w:color="auto" w:sz="2" w:space="0"/>
              <w:bottom w:val="single" w:color="auto" w:sz="2" w:space="0"/>
              <w:right w:val="single" w:color="auto" w:sz="2" w:space="0"/>
            </w:tcBorders>
            <w:vAlign w:val="center"/>
          </w:tcPr>
          <w:p w14:paraId="35C34118">
            <w:pPr>
              <w:spacing w:line="240" w:lineRule="exact"/>
              <w:jc w:val="right"/>
              <w:rPr>
                <w:rFonts w:ascii="宋体" w:hAnsi="宋体" w:eastAsia="宋体" w:cs="宋体"/>
                <w:sz w:val="18"/>
                <w:szCs w:val="18"/>
              </w:rPr>
            </w:pPr>
            <w:r>
              <w:rPr>
                <w:rFonts w:ascii="宋体" w:hAnsi="宋体" w:eastAsia="宋体" w:cs="宋体"/>
                <w:sz w:val="18"/>
                <w:szCs w:val="18"/>
              </w:rPr>
              <w:t>3,129,333.37</w:t>
            </w:r>
          </w:p>
        </w:tc>
        <w:tc>
          <w:tcPr>
            <w:tcW w:w="755" w:type="pct"/>
            <w:tcBorders>
              <w:top w:val="single" w:color="auto" w:sz="2" w:space="0"/>
              <w:left w:val="single" w:color="auto" w:sz="2" w:space="0"/>
              <w:bottom w:val="single" w:color="auto" w:sz="2" w:space="0"/>
              <w:right w:val="single" w:color="auto" w:sz="2" w:space="0"/>
            </w:tcBorders>
            <w:vAlign w:val="center"/>
          </w:tcPr>
          <w:p w14:paraId="1EA518B4">
            <w:pPr>
              <w:spacing w:line="240" w:lineRule="exact"/>
              <w:jc w:val="right"/>
              <w:rPr>
                <w:rFonts w:ascii="宋体" w:hAnsi="宋体" w:eastAsia="宋体" w:cs="宋体"/>
                <w:sz w:val="18"/>
                <w:szCs w:val="18"/>
              </w:rPr>
            </w:pPr>
            <w:r>
              <w:rPr>
                <w:rFonts w:ascii="宋体" w:hAnsi="宋体" w:eastAsia="宋体" w:cs="宋体"/>
                <w:sz w:val="18"/>
                <w:szCs w:val="18"/>
              </w:rPr>
              <w:t>0.34%</w:t>
            </w:r>
          </w:p>
        </w:tc>
        <w:tc>
          <w:tcPr>
            <w:tcW w:w="608" w:type="pct"/>
            <w:tcBorders>
              <w:top w:val="single" w:color="auto" w:sz="2" w:space="0"/>
              <w:left w:val="single" w:color="auto" w:sz="2" w:space="0"/>
              <w:bottom w:val="single" w:color="auto" w:sz="2" w:space="0"/>
              <w:right w:val="single" w:color="auto" w:sz="2" w:space="0"/>
            </w:tcBorders>
            <w:vAlign w:val="center"/>
          </w:tcPr>
          <w:p w14:paraId="3EB162D8">
            <w:pPr>
              <w:spacing w:line="240" w:lineRule="exact"/>
              <w:jc w:val="right"/>
              <w:rPr>
                <w:rFonts w:ascii="宋体" w:hAnsi="宋体" w:eastAsia="宋体" w:cs="宋体"/>
                <w:sz w:val="18"/>
                <w:szCs w:val="18"/>
              </w:rPr>
            </w:pPr>
            <w:r>
              <w:rPr>
                <w:rFonts w:ascii="宋体" w:hAnsi="宋体" w:eastAsia="宋体" w:cs="宋体"/>
                <w:sz w:val="18"/>
                <w:szCs w:val="18"/>
              </w:rPr>
              <w:t>-0.27%</w:t>
            </w:r>
          </w:p>
        </w:tc>
        <w:tc>
          <w:tcPr>
            <w:tcW w:w="613" w:type="pct"/>
            <w:tcBorders>
              <w:top w:val="single" w:color="auto" w:sz="2" w:space="0"/>
              <w:left w:val="single" w:color="auto" w:sz="2" w:space="0"/>
              <w:bottom w:val="single" w:color="auto" w:sz="2" w:space="0"/>
              <w:right w:val="single" w:color="auto" w:sz="2" w:space="0"/>
            </w:tcBorders>
            <w:vAlign w:val="center"/>
          </w:tcPr>
          <w:p w14:paraId="3629CDD0">
            <w:pPr>
              <w:spacing w:line="240" w:lineRule="exact"/>
              <w:rPr>
                <w:rFonts w:ascii="宋体" w:hAnsi="宋体" w:eastAsia="宋体" w:cs="宋体"/>
                <w:sz w:val="18"/>
                <w:szCs w:val="18"/>
              </w:rPr>
            </w:pPr>
          </w:p>
        </w:tc>
      </w:tr>
      <w:tr w14:paraId="67EB1128">
        <w:trPr>
          <w:trHeight w:val="240" w:hRule="atLeast"/>
          <w:jc w:val="center"/>
        </w:trPr>
        <w:tc>
          <w:tcPr>
            <w:tcW w:w="694" w:type="pct"/>
            <w:tcBorders>
              <w:top w:val="single" w:color="auto" w:sz="2" w:space="0"/>
              <w:left w:val="single" w:color="auto" w:sz="2" w:space="0"/>
              <w:bottom w:val="single" w:color="auto" w:sz="2" w:space="0"/>
              <w:right w:val="single" w:color="auto" w:sz="2" w:space="0"/>
            </w:tcBorders>
            <w:shd w:val="clear" w:color="auto" w:fill="D3D3D3"/>
            <w:vAlign w:val="center"/>
          </w:tcPr>
          <w:p w14:paraId="585F2E76">
            <w:pPr>
              <w:spacing w:before="40" w:after="40" w:line="240" w:lineRule="exact"/>
              <w:rPr>
                <w:rFonts w:ascii="宋体" w:hAnsi="宋体" w:eastAsia="宋体" w:cs="宋体"/>
                <w:sz w:val="18"/>
                <w:szCs w:val="18"/>
              </w:rPr>
            </w:pPr>
            <w:r>
              <w:rPr>
                <w:rFonts w:ascii="宋体" w:hAnsi="宋体" w:eastAsia="宋体" w:cs="宋体"/>
                <w:sz w:val="18"/>
                <w:szCs w:val="18"/>
              </w:rPr>
              <w:t>长期借款</w:t>
            </w:r>
          </w:p>
        </w:tc>
        <w:tc>
          <w:tcPr>
            <w:tcW w:w="754" w:type="pct"/>
            <w:tcBorders>
              <w:top w:val="single" w:color="auto" w:sz="2" w:space="0"/>
              <w:left w:val="single" w:color="auto" w:sz="2" w:space="0"/>
              <w:bottom w:val="single" w:color="auto" w:sz="2" w:space="0"/>
              <w:right w:val="single" w:color="auto" w:sz="2" w:space="0"/>
            </w:tcBorders>
            <w:vAlign w:val="center"/>
          </w:tcPr>
          <w:p w14:paraId="5686430D">
            <w:pPr>
              <w:spacing w:line="240" w:lineRule="exact"/>
              <w:jc w:val="right"/>
              <w:rPr>
                <w:rFonts w:ascii="宋体" w:hAnsi="宋体" w:eastAsia="宋体" w:cs="宋体"/>
                <w:sz w:val="18"/>
                <w:szCs w:val="18"/>
              </w:rPr>
            </w:pPr>
            <w:r>
              <w:rPr>
                <w:rFonts w:ascii="宋体" w:hAnsi="宋体" w:eastAsia="宋体" w:cs="宋体"/>
                <w:sz w:val="18"/>
                <w:szCs w:val="18"/>
              </w:rPr>
              <w:t>4,300,000.00</w:t>
            </w:r>
          </w:p>
        </w:tc>
        <w:tc>
          <w:tcPr>
            <w:tcW w:w="720" w:type="pct"/>
            <w:tcBorders>
              <w:top w:val="single" w:color="auto" w:sz="2" w:space="0"/>
              <w:left w:val="single" w:color="auto" w:sz="2" w:space="0"/>
              <w:bottom w:val="single" w:color="auto" w:sz="2" w:space="0"/>
              <w:right w:val="single" w:color="auto" w:sz="2" w:space="0"/>
            </w:tcBorders>
            <w:vAlign w:val="center"/>
          </w:tcPr>
          <w:p w14:paraId="77C72FEC">
            <w:pPr>
              <w:spacing w:line="240" w:lineRule="exact"/>
              <w:jc w:val="right"/>
              <w:rPr>
                <w:rFonts w:ascii="宋体" w:hAnsi="宋体" w:eastAsia="宋体" w:cs="宋体"/>
                <w:sz w:val="18"/>
                <w:szCs w:val="18"/>
              </w:rPr>
            </w:pPr>
            <w:r>
              <w:rPr>
                <w:rFonts w:ascii="宋体" w:hAnsi="宋体" w:eastAsia="宋体" w:cs="宋体"/>
                <w:sz w:val="18"/>
                <w:szCs w:val="18"/>
              </w:rPr>
              <w:t>0.45%</w:t>
            </w:r>
          </w:p>
        </w:tc>
        <w:tc>
          <w:tcPr>
            <w:tcW w:w="852" w:type="pct"/>
            <w:tcBorders>
              <w:top w:val="single" w:color="auto" w:sz="2" w:space="0"/>
              <w:left w:val="single" w:color="auto" w:sz="2" w:space="0"/>
              <w:bottom w:val="single" w:color="auto" w:sz="2" w:space="0"/>
              <w:right w:val="single" w:color="auto" w:sz="2" w:space="0"/>
            </w:tcBorders>
            <w:vAlign w:val="center"/>
          </w:tcPr>
          <w:p w14:paraId="2F8667A6">
            <w:pPr>
              <w:spacing w:line="240" w:lineRule="exact"/>
              <w:jc w:val="right"/>
              <w:rPr>
                <w:rFonts w:ascii="宋体" w:hAnsi="宋体" w:eastAsia="宋体" w:cs="宋体"/>
                <w:sz w:val="18"/>
                <w:szCs w:val="18"/>
              </w:rPr>
            </w:pPr>
            <w:r>
              <w:rPr>
                <w:rFonts w:ascii="宋体" w:hAnsi="宋体" w:eastAsia="宋体" w:cs="宋体"/>
                <w:sz w:val="18"/>
                <w:szCs w:val="18"/>
              </w:rPr>
              <w:t>4,300,000.00</w:t>
            </w:r>
          </w:p>
        </w:tc>
        <w:tc>
          <w:tcPr>
            <w:tcW w:w="755" w:type="pct"/>
            <w:tcBorders>
              <w:top w:val="single" w:color="auto" w:sz="2" w:space="0"/>
              <w:left w:val="single" w:color="auto" w:sz="2" w:space="0"/>
              <w:bottom w:val="single" w:color="auto" w:sz="2" w:space="0"/>
              <w:right w:val="single" w:color="auto" w:sz="2" w:space="0"/>
            </w:tcBorders>
            <w:vAlign w:val="center"/>
          </w:tcPr>
          <w:p w14:paraId="524308F8">
            <w:pPr>
              <w:spacing w:line="240" w:lineRule="exact"/>
              <w:jc w:val="right"/>
              <w:rPr>
                <w:rFonts w:ascii="宋体" w:hAnsi="宋体" w:eastAsia="宋体" w:cs="宋体"/>
                <w:sz w:val="18"/>
                <w:szCs w:val="18"/>
              </w:rPr>
            </w:pPr>
            <w:r>
              <w:rPr>
                <w:rFonts w:ascii="宋体" w:hAnsi="宋体" w:eastAsia="宋体" w:cs="宋体"/>
                <w:sz w:val="18"/>
                <w:szCs w:val="18"/>
              </w:rPr>
              <w:t>0.46%</w:t>
            </w:r>
          </w:p>
        </w:tc>
        <w:tc>
          <w:tcPr>
            <w:tcW w:w="608" w:type="pct"/>
            <w:tcBorders>
              <w:top w:val="single" w:color="auto" w:sz="2" w:space="0"/>
              <w:left w:val="single" w:color="auto" w:sz="2" w:space="0"/>
              <w:bottom w:val="single" w:color="auto" w:sz="2" w:space="0"/>
              <w:right w:val="single" w:color="auto" w:sz="2" w:space="0"/>
            </w:tcBorders>
            <w:vAlign w:val="center"/>
          </w:tcPr>
          <w:p w14:paraId="70BBFEBD">
            <w:pPr>
              <w:spacing w:line="240" w:lineRule="exact"/>
              <w:jc w:val="right"/>
              <w:rPr>
                <w:rFonts w:ascii="宋体" w:hAnsi="宋体" w:eastAsia="宋体" w:cs="宋体"/>
                <w:sz w:val="18"/>
                <w:szCs w:val="18"/>
              </w:rPr>
            </w:pPr>
            <w:r>
              <w:rPr>
                <w:rFonts w:ascii="宋体" w:hAnsi="宋体" w:eastAsia="宋体" w:cs="宋体"/>
                <w:sz w:val="18"/>
                <w:szCs w:val="18"/>
              </w:rPr>
              <w:t>-0.01%</w:t>
            </w:r>
          </w:p>
        </w:tc>
        <w:tc>
          <w:tcPr>
            <w:tcW w:w="613" w:type="pct"/>
            <w:tcBorders>
              <w:top w:val="single" w:color="auto" w:sz="2" w:space="0"/>
              <w:left w:val="single" w:color="auto" w:sz="2" w:space="0"/>
              <w:bottom w:val="single" w:color="auto" w:sz="2" w:space="0"/>
              <w:right w:val="single" w:color="auto" w:sz="2" w:space="0"/>
            </w:tcBorders>
            <w:vAlign w:val="center"/>
          </w:tcPr>
          <w:p w14:paraId="77288108">
            <w:pPr>
              <w:spacing w:line="240" w:lineRule="exact"/>
              <w:rPr>
                <w:rFonts w:ascii="宋体" w:hAnsi="宋体" w:eastAsia="宋体" w:cs="宋体"/>
                <w:sz w:val="18"/>
                <w:szCs w:val="18"/>
              </w:rPr>
            </w:pPr>
          </w:p>
        </w:tc>
      </w:tr>
    </w:tbl>
    <w:p w14:paraId="3FFE121C">
      <w:pPr>
        <w:pStyle w:val="3"/>
        <w:spacing w:after="100" w:line="280" w:lineRule="exact"/>
        <w:jc w:val="left"/>
        <w:rPr>
          <w:rFonts w:ascii="宋体" w:hAnsi="宋体" w:cs="宋体"/>
          <w:b/>
          <w:bCs/>
        </w:rPr>
      </w:pPr>
      <w:bookmarkStart w:id="20" w:name="_Toc988909"/>
      <w:r>
        <w:rPr>
          <w:rFonts w:ascii="宋体" w:hAnsi="宋体" w:cs="宋体"/>
          <w:b/>
          <w:bCs/>
        </w:rPr>
        <w:t>2、主要境外资产情况</w:t>
      </w:r>
      <w:bookmarkEnd w:id="20"/>
    </w:p>
    <w:p w14:paraId="11098934">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5E138E1">
      <w:pPr>
        <w:pStyle w:val="3"/>
        <w:spacing w:after="100" w:line="280" w:lineRule="exact"/>
        <w:jc w:val="left"/>
        <w:rPr>
          <w:rFonts w:ascii="宋体" w:hAnsi="宋体" w:cs="宋体"/>
          <w:b/>
          <w:bCs/>
        </w:rPr>
      </w:pPr>
      <w:bookmarkStart w:id="21" w:name="_Toc988910"/>
      <w:r>
        <w:rPr>
          <w:rFonts w:ascii="宋体" w:hAnsi="宋体" w:cs="宋体"/>
          <w:b/>
          <w:bCs/>
        </w:rPr>
        <w:t>3、以公允价值计量的资产和负债</w:t>
      </w:r>
      <w:bookmarkEnd w:id="21"/>
    </w:p>
    <w:p w14:paraId="1C4FD0EE">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D0EEEFC">
      <w:pPr>
        <w:pStyle w:val="3"/>
        <w:spacing w:after="100" w:line="280" w:lineRule="exact"/>
        <w:jc w:val="left"/>
        <w:rPr>
          <w:rFonts w:ascii="宋体" w:hAnsi="宋体" w:cs="宋体"/>
          <w:b/>
          <w:bCs/>
        </w:rPr>
      </w:pPr>
      <w:bookmarkStart w:id="22" w:name="_Toc988911"/>
      <w:r>
        <w:rPr>
          <w:rFonts w:ascii="宋体" w:hAnsi="宋体" w:cs="宋体"/>
          <w:b/>
          <w:bCs/>
        </w:rPr>
        <w:t>4、截至报告期末的资产权利受限情况</w:t>
      </w:r>
      <w:bookmarkEnd w:id="22"/>
    </w:p>
    <w:p w14:paraId="00F3200E">
      <w:pPr>
        <w:pStyle w:val="9"/>
        <w:spacing w:beforeAutospacing="0" w:afterAutospacing="0"/>
        <w:ind w:firstLine="360"/>
        <w:rPr>
          <w:rFonts w:ascii="Times New Roman" w:hAnsi="Times New Roman" w:cs="Times New Roman"/>
        </w:rPr>
      </w:pPr>
      <w:r>
        <w:rPr>
          <w:rFonts w:hint="eastAsia" w:cs="Times New Roman"/>
          <w:color w:val="000000"/>
          <w:sz w:val="18"/>
          <w:szCs w:val="18"/>
        </w:rPr>
        <w:t>截至公告披露日，公司5个银行账户被冻结（上述被冻结账户为母公司账户，公司为控股型公司，所涉账户冻结情况未影响公司业务的正常生产经营），母公司被冻结额度为29,087.79万元，实际被冻结金额4.17元；公司持有的西藏拉萨啤酒有限公司、西藏银河商贸有限公司、苏州华信善达力创投资企业（有限合伙）、四川恒生科技发展有限公司、中诚善达（苏州）资产管理有限公司的股权状态为冻结或者轮候冻结。</w:t>
      </w:r>
    </w:p>
    <w:p w14:paraId="0A2158C9">
      <w:pPr>
        <w:pStyle w:val="2"/>
        <w:spacing w:before="300" w:after="300" w:line="320" w:lineRule="exact"/>
        <w:rPr>
          <w:rFonts w:ascii="宋体" w:hAnsi="宋体" w:eastAsia="宋体" w:cs="宋体"/>
          <w:b/>
          <w:bCs/>
          <w:sz w:val="24"/>
          <w:szCs w:val="24"/>
        </w:rPr>
      </w:pPr>
      <w:bookmarkStart w:id="23" w:name="_Toc988912"/>
      <w:r>
        <w:rPr>
          <w:rFonts w:ascii="宋体" w:hAnsi="宋体" w:eastAsia="宋体" w:cs="宋体"/>
          <w:b/>
          <w:bCs/>
          <w:sz w:val="24"/>
          <w:szCs w:val="24"/>
        </w:rPr>
        <w:t>六、投资状况分析</w:t>
      </w:r>
      <w:bookmarkEnd w:id="23"/>
    </w:p>
    <w:p w14:paraId="3C57C421">
      <w:pPr>
        <w:pStyle w:val="3"/>
        <w:spacing w:after="100" w:line="280" w:lineRule="exact"/>
        <w:jc w:val="left"/>
        <w:rPr>
          <w:rFonts w:ascii="宋体" w:hAnsi="宋体" w:cs="宋体"/>
          <w:b/>
          <w:bCs/>
        </w:rPr>
      </w:pPr>
      <w:bookmarkStart w:id="24" w:name="_Toc988913"/>
      <w:r>
        <w:rPr>
          <w:rFonts w:ascii="宋体" w:hAnsi="宋体" w:cs="宋体"/>
          <w:b/>
          <w:bCs/>
        </w:rPr>
        <w:t>1、总体情况</w:t>
      </w:r>
      <w:bookmarkEnd w:id="24"/>
    </w:p>
    <w:p w14:paraId="0E0BF24E">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B5B6111">
      <w:pPr>
        <w:pStyle w:val="3"/>
        <w:spacing w:after="100" w:line="280" w:lineRule="exact"/>
        <w:jc w:val="left"/>
        <w:rPr>
          <w:rFonts w:ascii="宋体" w:hAnsi="宋体" w:cs="宋体"/>
          <w:b/>
          <w:bCs/>
        </w:rPr>
      </w:pPr>
      <w:bookmarkStart w:id="25" w:name="_Toc988914"/>
      <w:r>
        <w:rPr>
          <w:rFonts w:ascii="宋体" w:hAnsi="宋体" w:cs="宋体"/>
          <w:b/>
          <w:bCs/>
        </w:rPr>
        <w:t>2、报告期内获取的重大的股权投资情况</w:t>
      </w:r>
      <w:bookmarkEnd w:id="25"/>
    </w:p>
    <w:p w14:paraId="7BA7B4FF">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BD78329">
      <w:pPr>
        <w:pStyle w:val="3"/>
        <w:spacing w:after="100" w:line="280" w:lineRule="exact"/>
        <w:jc w:val="left"/>
        <w:rPr>
          <w:rFonts w:ascii="宋体" w:hAnsi="宋体" w:cs="宋体"/>
          <w:b/>
          <w:bCs/>
        </w:rPr>
      </w:pPr>
      <w:bookmarkStart w:id="26" w:name="_Toc988915"/>
      <w:r>
        <w:rPr>
          <w:rFonts w:ascii="宋体" w:hAnsi="宋体" w:cs="宋体"/>
          <w:b/>
          <w:bCs/>
        </w:rPr>
        <w:t>3、报告期内正在进行的重大的非股权投资情况</w:t>
      </w:r>
      <w:bookmarkEnd w:id="26"/>
    </w:p>
    <w:p w14:paraId="45CFA4B8">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9EF052E">
      <w:pPr>
        <w:pStyle w:val="3"/>
        <w:spacing w:after="100" w:line="280" w:lineRule="exact"/>
        <w:jc w:val="left"/>
        <w:rPr>
          <w:rFonts w:ascii="宋体" w:hAnsi="宋体" w:cs="宋体"/>
          <w:b/>
          <w:bCs/>
        </w:rPr>
      </w:pPr>
      <w:bookmarkStart w:id="27" w:name="_Toc988916"/>
      <w:r>
        <w:rPr>
          <w:rFonts w:ascii="宋体" w:hAnsi="宋体" w:cs="宋体"/>
          <w:b/>
          <w:bCs/>
        </w:rPr>
        <w:t>4、金融资产投资</w:t>
      </w:r>
      <w:bookmarkEnd w:id="27"/>
    </w:p>
    <w:p w14:paraId="71A6837C">
      <w:pPr>
        <w:keepNext/>
        <w:keepLines/>
        <w:spacing w:before="300" w:after="100" w:line="280" w:lineRule="exact"/>
        <w:outlineLvl w:val="3"/>
        <w:rPr>
          <w:rFonts w:ascii="宋体" w:hAnsi="宋体" w:eastAsia="宋体" w:cs="宋体"/>
          <w:b/>
          <w:bCs/>
          <w:sz w:val="18"/>
          <w:szCs w:val="18"/>
        </w:rPr>
      </w:pPr>
      <w:bookmarkStart w:id="28" w:name="_Toc988917"/>
      <w:r>
        <w:rPr>
          <w:rFonts w:ascii="宋体" w:hAnsi="宋体" w:eastAsia="宋体" w:cs="宋体"/>
          <w:b/>
          <w:bCs/>
          <w:sz w:val="18"/>
          <w:szCs w:val="18"/>
        </w:rPr>
        <w:t>（1） 证券投资情况</w:t>
      </w:r>
      <w:bookmarkEnd w:id="28"/>
    </w:p>
    <w:p w14:paraId="1C0F1AB8">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A80C343">
      <w:pPr>
        <w:spacing w:before="40" w:after="100" w:line="240" w:lineRule="exact"/>
        <w:rPr>
          <w:rFonts w:ascii="宋体" w:hAnsi="宋体" w:eastAsia="宋体" w:cs="宋体"/>
          <w:sz w:val="18"/>
          <w:szCs w:val="18"/>
        </w:rPr>
      </w:pPr>
      <w:r>
        <w:rPr>
          <w:rFonts w:ascii="宋体" w:hAnsi="宋体" w:eastAsia="宋体" w:cs="宋体"/>
          <w:sz w:val="18"/>
          <w:szCs w:val="18"/>
        </w:rPr>
        <w:t>公司报告期不存在证券投资。</w:t>
      </w:r>
    </w:p>
    <w:p w14:paraId="08CFA095">
      <w:pPr>
        <w:keepNext/>
        <w:keepLines/>
        <w:spacing w:before="300" w:after="100" w:line="280" w:lineRule="exact"/>
        <w:outlineLvl w:val="3"/>
        <w:rPr>
          <w:rFonts w:ascii="宋体" w:hAnsi="宋体" w:eastAsia="宋体" w:cs="宋体"/>
          <w:b/>
          <w:bCs/>
          <w:sz w:val="18"/>
          <w:szCs w:val="18"/>
        </w:rPr>
      </w:pPr>
      <w:bookmarkStart w:id="29" w:name="_Toc988918"/>
      <w:r>
        <w:rPr>
          <w:rFonts w:ascii="宋体" w:hAnsi="宋体" w:eastAsia="宋体" w:cs="宋体"/>
          <w:b/>
          <w:bCs/>
          <w:sz w:val="18"/>
          <w:szCs w:val="18"/>
        </w:rPr>
        <w:t>（2） 衍生品投资情况</w:t>
      </w:r>
      <w:bookmarkEnd w:id="29"/>
    </w:p>
    <w:p w14:paraId="2050334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FCCA2CE">
      <w:pPr>
        <w:spacing w:before="40" w:after="100" w:line="240" w:lineRule="exact"/>
        <w:rPr>
          <w:rFonts w:ascii="宋体" w:hAnsi="宋体" w:eastAsia="宋体" w:cs="宋体"/>
          <w:sz w:val="18"/>
          <w:szCs w:val="18"/>
        </w:rPr>
      </w:pPr>
      <w:r>
        <w:rPr>
          <w:rFonts w:ascii="宋体" w:hAnsi="宋体" w:eastAsia="宋体" w:cs="宋体"/>
          <w:sz w:val="18"/>
          <w:szCs w:val="18"/>
        </w:rPr>
        <w:t>公司报告期不存在衍生品投资。</w:t>
      </w:r>
    </w:p>
    <w:p w14:paraId="288E9B85">
      <w:pPr>
        <w:pStyle w:val="3"/>
        <w:spacing w:after="100" w:line="280" w:lineRule="exact"/>
        <w:jc w:val="left"/>
        <w:rPr>
          <w:rFonts w:ascii="宋体" w:hAnsi="宋体" w:cs="宋体"/>
          <w:b/>
          <w:bCs/>
        </w:rPr>
      </w:pPr>
      <w:bookmarkStart w:id="30" w:name="_Toc988919"/>
      <w:r>
        <w:rPr>
          <w:rFonts w:ascii="宋体" w:hAnsi="宋体" w:cs="宋体"/>
          <w:b/>
          <w:bCs/>
        </w:rPr>
        <w:t>5、募集资金使用情况</w:t>
      </w:r>
      <w:bookmarkEnd w:id="30"/>
    </w:p>
    <w:p w14:paraId="01F0F943">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4973ECF">
      <w:pPr>
        <w:spacing w:before="40" w:after="100" w:line="240" w:lineRule="exact"/>
        <w:rPr>
          <w:rFonts w:ascii="宋体" w:hAnsi="宋体" w:eastAsia="宋体" w:cs="宋体"/>
          <w:sz w:val="18"/>
          <w:szCs w:val="18"/>
        </w:rPr>
      </w:pPr>
      <w:r>
        <w:rPr>
          <w:rFonts w:ascii="宋体" w:hAnsi="宋体" w:eastAsia="宋体" w:cs="宋体"/>
          <w:sz w:val="18"/>
          <w:szCs w:val="18"/>
        </w:rPr>
        <w:t>公司报告期无募集资金使用情况。</w:t>
      </w:r>
    </w:p>
    <w:p w14:paraId="095138E9">
      <w:pPr>
        <w:pStyle w:val="2"/>
        <w:spacing w:before="300" w:after="100" w:line="320" w:lineRule="exact"/>
        <w:rPr>
          <w:rFonts w:ascii="宋体" w:hAnsi="宋体" w:eastAsia="宋体" w:cs="宋体"/>
          <w:b/>
          <w:bCs/>
          <w:sz w:val="24"/>
          <w:szCs w:val="24"/>
        </w:rPr>
      </w:pPr>
      <w:bookmarkStart w:id="31" w:name="_Toc988920"/>
      <w:r>
        <w:rPr>
          <w:rFonts w:ascii="宋体" w:hAnsi="宋体" w:eastAsia="宋体" w:cs="宋体"/>
          <w:b/>
          <w:bCs/>
          <w:sz w:val="24"/>
          <w:szCs w:val="24"/>
        </w:rPr>
        <w:t>七、重大资产和股权出售</w:t>
      </w:r>
      <w:bookmarkEnd w:id="31"/>
    </w:p>
    <w:p w14:paraId="0C01057C">
      <w:pPr>
        <w:pStyle w:val="3"/>
        <w:spacing w:after="100" w:line="280" w:lineRule="exact"/>
        <w:jc w:val="left"/>
        <w:rPr>
          <w:rFonts w:ascii="宋体" w:hAnsi="宋体" w:cs="宋体"/>
          <w:b/>
          <w:bCs/>
        </w:rPr>
      </w:pPr>
      <w:bookmarkStart w:id="32" w:name="_Toc988921"/>
      <w:r>
        <w:rPr>
          <w:rFonts w:ascii="宋体" w:hAnsi="宋体" w:cs="宋体"/>
          <w:b/>
          <w:bCs/>
        </w:rPr>
        <w:t>1、出售重大资产情况</w:t>
      </w:r>
      <w:bookmarkEnd w:id="32"/>
    </w:p>
    <w:p w14:paraId="1E3C1A6D">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2CE79CE">
      <w:pPr>
        <w:spacing w:before="40" w:after="100" w:line="240" w:lineRule="exact"/>
        <w:rPr>
          <w:rFonts w:ascii="宋体" w:hAnsi="宋体" w:eastAsia="宋体" w:cs="宋体"/>
          <w:sz w:val="18"/>
          <w:szCs w:val="18"/>
        </w:rPr>
      </w:pPr>
      <w:r>
        <w:rPr>
          <w:rFonts w:ascii="宋体" w:hAnsi="宋体" w:eastAsia="宋体" w:cs="宋体"/>
          <w:sz w:val="18"/>
          <w:szCs w:val="18"/>
        </w:rPr>
        <w:t>公司报告期未出售重大资产。</w:t>
      </w:r>
    </w:p>
    <w:p w14:paraId="46237BC6">
      <w:pPr>
        <w:pStyle w:val="3"/>
        <w:spacing w:after="100" w:line="280" w:lineRule="exact"/>
        <w:jc w:val="left"/>
        <w:rPr>
          <w:rFonts w:ascii="宋体" w:hAnsi="宋体" w:cs="宋体"/>
          <w:b/>
          <w:bCs/>
        </w:rPr>
      </w:pPr>
      <w:bookmarkStart w:id="33" w:name="_Toc988922"/>
      <w:r>
        <w:rPr>
          <w:rFonts w:ascii="宋体" w:hAnsi="宋体" w:cs="宋体"/>
          <w:b/>
          <w:bCs/>
        </w:rPr>
        <w:t>2、出售重大股权情况</w:t>
      </w:r>
      <w:bookmarkEnd w:id="33"/>
    </w:p>
    <w:p w14:paraId="5A502DA7">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0F43E87">
      <w:pPr>
        <w:pStyle w:val="2"/>
        <w:spacing w:before="300" w:after="300" w:line="320" w:lineRule="exact"/>
        <w:rPr>
          <w:rFonts w:ascii="宋体" w:hAnsi="宋体" w:eastAsia="宋体" w:cs="宋体"/>
          <w:b/>
          <w:bCs/>
          <w:sz w:val="24"/>
          <w:szCs w:val="24"/>
        </w:rPr>
      </w:pPr>
      <w:bookmarkStart w:id="34" w:name="_Toc988923"/>
      <w:r>
        <w:rPr>
          <w:rFonts w:ascii="宋体" w:hAnsi="宋体" w:eastAsia="宋体" w:cs="宋体"/>
          <w:b/>
          <w:bCs/>
          <w:sz w:val="24"/>
          <w:szCs w:val="24"/>
        </w:rPr>
        <w:t>八、主要控股参股公司分析</w:t>
      </w:r>
      <w:bookmarkEnd w:id="34"/>
    </w:p>
    <w:p w14:paraId="450F993C">
      <w:pPr>
        <w:spacing w:before="40" w:after="4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276649F">
      <w:pPr>
        <w:spacing w:before="40" w:after="40" w:line="240" w:lineRule="exact"/>
        <w:rPr>
          <w:rFonts w:ascii="宋体" w:hAnsi="宋体" w:eastAsia="宋体" w:cs="宋体"/>
          <w:sz w:val="18"/>
          <w:szCs w:val="18"/>
        </w:rPr>
      </w:pPr>
      <w:r>
        <w:rPr>
          <w:rFonts w:ascii="宋体" w:hAnsi="宋体" w:eastAsia="宋体" w:cs="宋体"/>
          <w:sz w:val="18"/>
          <w:szCs w:val="18"/>
        </w:rPr>
        <w:t>主要子公司及对公司净利润影响达10%以上的参股公司情况</w:t>
      </w:r>
    </w:p>
    <w:p w14:paraId="12FEE8B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10184"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25"/>
        <w:gridCol w:w="347"/>
        <w:gridCol w:w="600"/>
        <w:gridCol w:w="668"/>
        <w:gridCol w:w="1538"/>
        <w:gridCol w:w="1487"/>
        <w:gridCol w:w="1513"/>
        <w:gridCol w:w="1408"/>
        <w:gridCol w:w="1498"/>
      </w:tblGrid>
      <w:tr w14:paraId="200046E6">
        <w:trPr>
          <w:trHeight w:val="240" w:hRule="atLeast"/>
          <w:jc w:val="center"/>
        </w:trPr>
        <w:tc>
          <w:tcPr>
            <w:tcW w:w="1125" w:type="dxa"/>
            <w:tcBorders>
              <w:top w:val="single" w:color="auto" w:sz="2" w:space="0"/>
              <w:left w:val="single" w:color="auto" w:sz="2" w:space="0"/>
              <w:bottom w:val="single" w:color="auto" w:sz="2" w:space="0"/>
              <w:right w:val="single" w:color="auto" w:sz="2" w:space="0"/>
            </w:tcBorders>
            <w:shd w:val="clear" w:color="auto" w:fill="D3D3D3"/>
            <w:vAlign w:val="center"/>
          </w:tcPr>
          <w:p w14:paraId="5832ED8E">
            <w:pPr>
              <w:spacing w:before="40" w:after="40" w:line="240" w:lineRule="exact"/>
              <w:jc w:val="center"/>
              <w:rPr>
                <w:rFonts w:ascii="宋体" w:hAnsi="宋体" w:eastAsia="宋体" w:cs="宋体"/>
                <w:sz w:val="18"/>
                <w:szCs w:val="18"/>
              </w:rPr>
            </w:pPr>
            <w:r>
              <w:rPr>
                <w:rFonts w:ascii="宋体" w:hAnsi="宋体" w:eastAsia="宋体" w:cs="宋体"/>
                <w:sz w:val="18"/>
                <w:szCs w:val="18"/>
              </w:rPr>
              <w:t>公司名称</w:t>
            </w:r>
          </w:p>
        </w:tc>
        <w:tc>
          <w:tcPr>
            <w:tcW w:w="347" w:type="dxa"/>
            <w:tcBorders>
              <w:top w:val="single" w:color="auto" w:sz="2" w:space="0"/>
              <w:left w:val="single" w:color="auto" w:sz="2" w:space="0"/>
              <w:bottom w:val="single" w:color="auto" w:sz="2" w:space="0"/>
              <w:right w:val="single" w:color="auto" w:sz="2" w:space="0"/>
            </w:tcBorders>
            <w:shd w:val="clear" w:color="auto" w:fill="D3D3D3"/>
            <w:vAlign w:val="center"/>
          </w:tcPr>
          <w:p w14:paraId="34D04417">
            <w:pPr>
              <w:spacing w:before="40" w:after="40" w:line="240" w:lineRule="exact"/>
              <w:jc w:val="center"/>
              <w:rPr>
                <w:rFonts w:ascii="宋体" w:hAnsi="宋体" w:eastAsia="宋体" w:cs="宋体"/>
                <w:sz w:val="18"/>
                <w:szCs w:val="18"/>
              </w:rPr>
            </w:pPr>
            <w:r>
              <w:rPr>
                <w:rFonts w:ascii="宋体" w:hAnsi="宋体" w:eastAsia="宋体" w:cs="宋体"/>
                <w:sz w:val="18"/>
                <w:szCs w:val="18"/>
              </w:rPr>
              <w:t>公司类型</w:t>
            </w:r>
          </w:p>
        </w:tc>
        <w:tc>
          <w:tcPr>
            <w:tcW w:w="600" w:type="dxa"/>
            <w:tcBorders>
              <w:top w:val="single" w:color="auto" w:sz="2" w:space="0"/>
              <w:left w:val="single" w:color="auto" w:sz="2" w:space="0"/>
              <w:bottom w:val="single" w:color="auto" w:sz="2" w:space="0"/>
              <w:right w:val="single" w:color="auto" w:sz="2" w:space="0"/>
            </w:tcBorders>
            <w:shd w:val="clear" w:color="auto" w:fill="D3D3D3"/>
            <w:vAlign w:val="center"/>
          </w:tcPr>
          <w:p w14:paraId="34D10896">
            <w:pPr>
              <w:spacing w:before="40" w:after="40" w:line="240" w:lineRule="exact"/>
              <w:jc w:val="center"/>
              <w:rPr>
                <w:rFonts w:ascii="宋体" w:hAnsi="宋体" w:eastAsia="宋体" w:cs="宋体"/>
                <w:sz w:val="18"/>
                <w:szCs w:val="18"/>
              </w:rPr>
            </w:pPr>
            <w:r>
              <w:rPr>
                <w:rFonts w:ascii="宋体" w:hAnsi="宋体" w:eastAsia="宋体" w:cs="宋体"/>
                <w:sz w:val="18"/>
                <w:szCs w:val="18"/>
              </w:rPr>
              <w:t>主要业务</w:t>
            </w:r>
          </w:p>
        </w:tc>
        <w:tc>
          <w:tcPr>
            <w:tcW w:w="668" w:type="dxa"/>
            <w:tcBorders>
              <w:top w:val="single" w:color="auto" w:sz="2" w:space="0"/>
              <w:left w:val="single" w:color="auto" w:sz="2" w:space="0"/>
              <w:bottom w:val="single" w:color="auto" w:sz="2" w:space="0"/>
              <w:right w:val="single" w:color="auto" w:sz="2" w:space="0"/>
            </w:tcBorders>
            <w:shd w:val="clear" w:color="auto" w:fill="D3D3D3"/>
            <w:vAlign w:val="center"/>
          </w:tcPr>
          <w:p w14:paraId="5243415A">
            <w:pPr>
              <w:spacing w:before="40" w:after="40" w:line="240" w:lineRule="exact"/>
              <w:jc w:val="center"/>
              <w:rPr>
                <w:rFonts w:ascii="宋体" w:hAnsi="宋体" w:eastAsia="宋体" w:cs="宋体"/>
                <w:sz w:val="18"/>
                <w:szCs w:val="18"/>
              </w:rPr>
            </w:pPr>
            <w:r>
              <w:rPr>
                <w:rFonts w:ascii="宋体" w:hAnsi="宋体" w:eastAsia="宋体" w:cs="宋体"/>
                <w:sz w:val="18"/>
                <w:szCs w:val="18"/>
              </w:rPr>
              <w:t>注册资本</w:t>
            </w:r>
          </w:p>
        </w:tc>
        <w:tc>
          <w:tcPr>
            <w:tcW w:w="1538" w:type="dxa"/>
            <w:tcBorders>
              <w:top w:val="single" w:color="auto" w:sz="2" w:space="0"/>
              <w:left w:val="single" w:color="auto" w:sz="2" w:space="0"/>
              <w:bottom w:val="single" w:color="auto" w:sz="2" w:space="0"/>
              <w:right w:val="single" w:color="auto" w:sz="2" w:space="0"/>
            </w:tcBorders>
            <w:shd w:val="clear" w:color="auto" w:fill="D3D3D3"/>
            <w:vAlign w:val="center"/>
          </w:tcPr>
          <w:p w14:paraId="792EF1E2">
            <w:pPr>
              <w:spacing w:before="40" w:after="40" w:line="240" w:lineRule="exact"/>
              <w:jc w:val="center"/>
              <w:rPr>
                <w:rFonts w:ascii="宋体" w:hAnsi="宋体" w:eastAsia="宋体" w:cs="宋体"/>
                <w:sz w:val="18"/>
                <w:szCs w:val="18"/>
              </w:rPr>
            </w:pPr>
            <w:r>
              <w:rPr>
                <w:rFonts w:ascii="宋体" w:hAnsi="宋体" w:eastAsia="宋体" w:cs="宋体"/>
                <w:sz w:val="18"/>
                <w:szCs w:val="18"/>
              </w:rPr>
              <w:t>总资产</w:t>
            </w:r>
          </w:p>
        </w:tc>
        <w:tc>
          <w:tcPr>
            <w:tcW w:w="1487" w:type="dxa"/>
            <w:tcBorders>
              <w:top w:val="single" w:color="auto" w:sz="2" w:space="0"/>
              <w:left w:val="single" w:color="auto" w:sz="2" w:space="0"/>
              <w:bottom w:val="single" w:color="auto" w:sz="2" w:space="0"/>
              <w:right w:val="single" w:color="auto" w:sz="2" w:space="0"/>
            </w:tcBorders>
            <w:shd w:val="clear" w:color="auto" w:fill="D3D3D3"/>
            <w:vAlign w:val="center"/>
          </w:tcPr>
          <w:p w14:paraId="1902634A">
            <w:pPr>
              <w:spacing w:before="40" w:after="40" w:line="240" w:lineRule="exact"/>
              <w:jc w:val="center"/>
              <w:rPr>
                <w:rFonts w:ascii="宋体" w:hAnsi="宋体" w:eastAsia="宋体" w:cs="宋体"/>
                <w:sz w:val="18"/>
                <w:szCs w:val="18"/>
              </w:rPr>
            </w:pPr>
            <w:r>
              <w:rPr>
                <w:rFonts w:ascii="宋体" w:hAnsi="宋体" w:eastAsia="宋体" w:cs="宋体"/>
                <w:sz w:val="18"/>
                <w:szCs w:val="18"/>
              </w:rPr>
              <w:t>净资产</w:t>
            </w:r>
          </w:p>
        </w:tc>
        <w:tc>
          <w:tcPr>
            <w:tcW w:w="1513" w:type="dxa"/>
            <w:tcBorders>
              <w:top w:val="single" w:color="auto" w:sz="2" w:space="0"/>
              <w:left w:val="single" w:color="auto" w:sz="2" w:space="0"/>
              <w:bottom w:val="single" w:color="auto" w:sz="2" w:space="0"/>
              <w:right w:val="single" w:color="auto" w:sz="2" w:space="0"/>
            </w:tcBorders>
            <w:shd w:val="clear" w:color="auto" w:fill="D3D3D3"/>
            <w:vAlign w:val="center"/>
          </w:tcPr>
          <w:p w14:paraId="0BA7CED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408" w:type="dxa"/>
            <w:tcBorders>
              <w:top w:val="single" w:color="auto" w:sz="2" w:space="0"/>
              <w:left w:val="single" w:color="auto" w:sz="2" w:space="0"/>
              <w:bottom w:val="single" w:color="auto" w:sz="2" w:space="0"/>
              <w:right w:val="single" w:color="auto" w:sz="2" w:space="0"/>
            </w:tcBorders>
            <w:shd w:val="clear" w:color="auto" w:fill="D3D3D3"/>
            <w:vAlign w:val="center"/>
          </w:tcPr>
          <w:p w14:paraId="3FB720D1">
            <w:pPr>
              <w:spacing w:before="40" w:after="40" w:line="240" w:lineRule="exact"/>
              <w:jc w:val="center"/>
              <w:rPr>
                <w:rFonts w:ascii="宋体" w:hAnsi="宋体" w:eastAsia="宋体" w:cs="宋体"/>
                <w:sz w:val="18"/>
                <w:szCs w:val="18"/>
              </w:rPr>
            </w:pPr>
            <w:r>
              <w:rPr>
                <w:rFonts w:ascii="宋体" w:hAnsi="宋体" w:eastAsia="宋体" w:cs="宋体"/>
                <w:sz w:val="18"/>
                <w:szCs w:val="18"/>
              </w:rPr>
              <w:t>营业利润</w:t>
            </w:r>
          </w:p>
        </w:tc>
        <w:tc>
          <w:tcPr>
            <w:tcW w:w="1498" w:type="dxa"/>
            <w:tcBorders>
              <w:top w:val="single" w:color="auto" w:sz="2" w:space="0"/>
              <w:left w:val="single" w:color="auto" w:sz="2" w:space="0"/>
              <w:bottom w:val="single" w:color="auto" w:sz="2" w:space="0"/>
              <w:right w:val="single" w:color="auto" w:sz="2" w:space="0"/>
            </w:tcBorders>
            <w:shd w:val="clear" w:color="auto" w:fill="D3D3D3"/>
            <w:vAlign w:val="center"/>
          </w:tcPr>
          <w:p w14:paraId="6F72BE6D">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r>
      <w:tr w14:paraId="29D5E565">
        <w:trPr>
          <w:trHeight w:val="240" w:hRule="atLeast"/>
          <w:jc w:val="center"/>
        </w:trPr>
        <w:tc>
          <w:tcPr>
            <w:tcW w:w="1125" w:type="dxa"/>
            <w:tcBorders>
              <w:top w:val="single" w:color="auto" w:sz="2" w:space="0"/>
              <w:left w:val="single" w:color="auto" w:sz="2" w:space="0"/>
              <w:bottom w:val="single" w:color="auto" w:sz="2" w:space="0"/>
              <w:right w:val="single" w:color="auto" w:sz="2" w:space="0"/>
            </w:tcBorders>
            <w:vAlign w:val="center"/>
          </w:tcPr>
          <w:p w14:paraId="45AC9D3A">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c>
          <w:tcPr>
            <w:tcW w:w="347" w:type="dxa"/>
            <w:tcBorders>
              <w:top w:val="single" w:color="auto" w:sz="2" w:space="0"/>
              <w:left w:val="single" w:color="auto" w:sz="2" w:space="0"/>
              <w:bottom w:val="single" w:color="auto" w:sz="2" w:space="0"/>
              <w:right w:val="single" w:color="auto" w:sz="2" w:space="0"/>
            </w:tcBorders>
            <w:vAlign w:val="center"/>
          </w:tcPr>
          <w:p w14:paraId="0A189257">
            <w:pPr>
              <w:spacing w:line="240" w:lineRule="exact"/>
              <w:rPr>
                <w:rFonts w:ascii="宋体" w:hAnsi="宋体" w:eastAsia="宋体" w:cs="宋体"/>
                <w:sz w:val="18"/>
                <w:szCs w:val="18"/>
              </w:rPr>
            </w:pPr>
            <w:r>
              <w:rPr>
                <w:rFonts w:ascii="宋体" w:hAnsi="宋体" w:eastAsia="宋体" w:cs="宋体"/>
                <w:sz w:val="18"/>
                <w:szCs w:val="18"/>
              </w:rPr>
              <w:t>子公司</w:t>
            </w:r>
          </w:p>
        </w:tc>
        <w:tc>
          <w:tcPr>
            <w:tcW w:w="600" w:type="dxa"/>
            <w:tcBorders>
              <w:top w:val="single" w:color="auto" w:sz="2" w:space="0"/>
              <w:left w:val="single" w:color="auto" w:sz="2" w:space="0"/>
              <w:bottom w:val="single" w:color="auto" w:sz="2" w:space="0"/>
              <w:right w:val="single" w:color="auto" w:sz="2" w:space="0"/>
            </w:tcBorders>
            <w:vAlign w:val="center"/>
          </w:tcPr>
          <w:p w14:paraId="6BB2C608">
            <w:pPr>
              <w:spacing w:line="240" w:lineRule="exact"/>
              <w:rPr>
                <w:rFonts w:ascii="宋体" w:hAnsi="宋体" w:eastAsia="宋体" w:cs="宋体"/>
                <w:sz w:val="18"/>
                <w:szCs w:val="18"/>
              </w:rPr>
            </w:pPr>
            <w:r>
              <w:rPr>
                <w:rFonts w:ascii="宋体" w:hAnsi="宋体" w:eastAsia="宋体" w:cs="宋体"/>
                <w:sz w:val="18"/>
                <w:szCs w:val="18"/>
              </w:rPr>
              <w:t>啤酒生产、销售</w:t>
            </w:r>
          </w:p>
        </w:tc>
        <w:tc>
          <w:tcPr>
            <w:tcW w:w="668" w:type="dxa"/>
            <w:tcBorders>
              <w:top w:val="single" w:color="auto" w:sz="2" w:space="0"/>
              <w:left w:val="single" w:color="auto" w:sz="2" w:space="0"/>
              <w:bottom w:val="single" w:color="auto" w:sz="2" w:space="0"/>
              <w:right w:val="single" w:color="auto" w:sz="2" w:space="0"/>
            </w:tcBorders>
            <w:vAlign w:val="center"/>
          </w:tcPr>
          <w:p w14:paraId="4464041D">
            <w:pPr>
              <w:spacing w:line="240" w:lineRule="exact"/>
              <w:rPr>
                <w:rFonts w:ascii="宋体" w:hAnsi="宋体" w:eastAsia="宋体" w:cs="宋体"/>
                <w:sz w:val="18"/>
                <w:szCs w:val="18"/>
              </w:rPr>
            </w:pPr>
            <w:r>
              <w:rPr>
                <w:rFonts w:ascii="宋体" w:hAnsi="宋体" w:eastAsia="宋体" w:cs="宋体"/>
                <w:sz w:val="18"/>
                <w:szCs w:val="18"/>
              </w:rPr>
              <w:t>38000万元</w:t>
            </w:r>
          </w:p>
        </w:tc>
        <w:tc>
          <w:tcPr>
            <w:tcW w:w="1538" w:type="dxa"/>
            <w:tcBorders>
              <w:top w:val="single" w:color="auto" w:sz="2" w:space="0"/>
              <w:left w:val="single" w:color="auto" w:sz="2" w:space="0"/>
              <w:bottom w:val="single" w:color="auto" w:sz="2" w:space="0"/>
              <w:right w:val="single" w:color="auto" w:sz="2" w:space="0"/>
            </w:tcBorders>
            <w:vAlign w:val="center"/>
          </w:tcPr>
          <w:p w14:paraId="4BFE92E4">
            <w:pPr>
              <w:spacing w:line="240" w:lineRule="exact"/>
              <w:jc w:val="right"/>
              <w:rPr>
                <w:rFonts w:ascii="宋体" w:hAnsi="宋体" w:eastAsia="宋体" w:cs="宋体"/>
                <w:sz w:val="18"/>
                <w:szCs w:val="18"/>
              </w:rPr>
            </w:pPr>
            <w:r>
              <w:rPr>
                <w:rFonts w:ascii="宋体" w:hAnsi="宋体" w:eastAsia="宋体" w:cs="宋体"/>
                <w:sz w:val="18"/>
                <w:szCs w:val="18"/>
              </w:rPr>
              <w:t>932,723,151.05</w:t>
            </w:r>
          </w:p>
        </w:tc>
        <w:tc>
          <w:tcPr>
            <w:tcW w:w="1487" w:type="dxa"/>
            <w:tcBorders>
              <w:top w:val="single" w:color="auto" w:sz="2" w:space="0"/>
              <w:left w:val="single" w:color="auto" w:sz="2" w:space="0"/>
              <w:bottom w:val="single" w:color="auto" w:sz="2" w:space="0"/>
              <w:right w:val="single" w:color="auto" w:sz="2" w:space="0"/>
            </w:tcBorders>
            <w:vAlign w:val="center"/>
          </w:tcPr>
          <w:p w14:paraId="0056242D">
            <w:pPr>
              <w:spacing w:line="240" w:lineRule="exact"/>
              <w:jc w:val="right"/>
              <w:rPr>
                <w:rFonts w:ascii="宋体" w:hAnsi="宋体" w:eastAsia="宋体" w:cs="宋体"/>
                <w:sz w:val="18"/>
                <w:szCs w:val="18"/>
              </w:rPr>
            </w:pPr>
            <w:r>
              <w:rPr>
                <w:rFonts w:ascii="宋体" w:hAnsi="宋体" w:eastAsia="宋体" w:cs="宋体"/>
                <w:sz w:val="18"/>
                <w:szCs w:val="18"/>
              </w:rPr>
              <w:t>912,389,695.19</w:t>
            </w:r>
          </w:p>
        </w:tc>
        <w:tc>
          <w:tcPr>
            <w:tcW w:w="1513" w:type="dxa"/>
            <w:tcBorders>
              <w:top w:val="single" w:color="auto" w:sz="2" w:space="0"/>
              <w:left w:val="single" w:color="auto" w:sz="2" w:space="0"/>
              <w:bottom w:val="single" w:color="auto" w:sz="2" w:space="0"/>
              <w:right w:val="single" w:color="auto" w:sz="2" w:space="0"/>
            </w:tcBorders>
            <w:vAlign w:val="center"/>
          </w:tcPr>
          <w:p w14:paraId="03B682AE">
            <w:pPr>
              <w:spacing w:line="240" w:lineRule="exact"/>
              <w:jc w:val="right"/>
              <w:rPr>
                <w:rFonts w:ascii="宋体" w:hAnsi="宋体" w:eastAsia="宋体" w:cs="宋体"/>
                <w:sz w:val="18"/>
                <w:szCs w:val="18"/>
              </w:rPr>
            </w:pPr>
            <w:r>
              <w:rPr>
                <w:rFonts w:ascii="宋体" w:hAnsi="宋体" w:eastAsia="宋体" w:cs="宋体"/>
                <w:sz w:val="18"/>
                <w:szCs w:val="18"/>
              </w:rPr>
              <w:t>179,494,263.44</w:t>
            </w:r>
          </w:p>
        </w:tc>
        <w:tc>
          <w:tcPr>
            <w:tcW w:w="1408" w:type="dxa"/>
            <w:tcBorders>
              <w:top w:val="single" w:color="auto" w:sz="2" w:space="0"/>
              <w:left w:val="single" w:color="auto" w:sz="2" w:space="0"/>
              <w:bottom w:val="single" w:color="auto" w:sz="2" w:space="0"/>
              <w:right w:val="single" w:color="auto" w:sz="2" w:space="0"/>
            </w:tcBorders>
            <w:vAlign w:val="center"/>
          </w:tcPr>
          <w:p w14:paraId="0BC006C3">
            <w:pPr>
              <w:spacing w:line="240" w:lineRule="exact"/>
              <w:jc w:val="right"/>
              <w:rPr>
                <w:rFonts w:ascii="宋体" w:hAnsi="宋体" w:eastAsia="宋体" w:cs="宋体"/>
                <w:sz w:val="18"/>
                <w:szCs w:val="18"/>
              </w:rPr>
            </w:pPr>
            <w:r>
              <w:rPr>
                <w:rFonts w:ascii="宋体" w:hAnsi="宋体" w:eastAsia="宋体" w:cs="宋体"/>
                <w:sz w:val="18"/>
                <w:szCs w:val="18"/>
              </w:rPr>
              <w:t>47,042,037.09</w:t>
            </w:r>
          </w:p>
        </w:tc>
        <w:tc>
          <w:tcPr>
            <w:tcW w:w="1498" w:type="dxa"/>
            <w:tcBorders>
              <w:top w:val="single" w:color="auto" w:sz="2" w:space="0"/>
              <w:left w:val="single" w:color="auto" w:sz="2" w:space="0"/>
              <w:bottom w:val="single" w:color="auto" w:sz="2" w:space="0"/>
              <w:right w:val="single" w:color="auto" w:sz="2" w:space="0"/>
            </w:tcBorders>
            <w:vAlign w:val="center"/>
          </w:tcPr>
          <w:p w14:paraId="60D01581">
            <w:pPr>
              <w:spacing w:line="240" w:lineRule="exact"/>
              <w:jc w:val="right"/>
              <w:rPr>
                <w:rFonts w:ascii="宋体" w:hAnsi="宋体" w:eastAsia="宋体" w:cs="宋体"/>
                <w:sz w:val="18"/>
                <w:szCs w:val="18"/>
              </w:rPr>
            </w:pPr>
            <w:r>
              <w:rPr>
                <w:rFonts w:ascii="宋体" w:hAnsi="宋体" w:eastAsia="宋体" w:cs="宋体"/>
                <w:sz w:val="18"/>
                <w:szCs w:val="18"/>
              </w:rPr>
              <w:t>42,232,249.86</w:t>
            </w:r>
          </w:p>
        </w:tc>
      </w:tr>
      <w:tr w14:paraId="23400007">
        <w:trPr>
          <w:trHeight w:val="240" w:hRule="atLeast"/>
          <w:jc w:val="center"/>
        </w:trPr>
        <w:tc>
          <w:tcPr>
            <w:tcW w:w="1125" w:type="dxa"/>
            <w:tcBorders>
              <w:top w:val="single" w:color="auto" w:sz="2" w:space="0"/>
              <w:left w:val="single" w:color="auto" w:sz="2" w:space="0"/>
              <w:bottom w:val="single" w:color="auto" w:sz="2" w:space="0"/>
              <w:right w:val="single" w:color="auto" w:sz="2" w:space="0"/>
            </w:tcBorders>
            <w:vAlign w:val="center"/>
          </w:tcPr>
          <w:p w14:paraId="106D9CB2">
            <w:pPr>
              <w:spacing w:line="240" w:lineRule="exact"/>
              <w:jc w:val="right"/>
              <w:rPr>
                <w:rFonts w:ascii="宋体" w:hAnsi="宋体" w:eastAsia="宋体" w:cs="宋体"/>
                <w:sz w:val="18"/>
                <w:szCs w:val="18"/>
              </w:rPr>
            </w:pPr>
            <w:r>
              <w:rPr>
                <w:rFonts w:hint="eastAsia" w:ascii="宋体" w:hAnsi="宋体" w:eastAsia="宋体" w:cs="宋体"/>
                <w:sz w:val="18"/>
                <w:szCs w:val="18"/>
              </w:rPr>
              <w:t>西藏藏红花生物科技开发有限公司</w:t>
            </w:r>
          </w:p>
        </w:tc>
        <w:tc>
          <w:tcPr>
            <w:tcW w:w="347" w:type="dxa"/>
            <w:tcBorders>
              <w:top w:val="single" w:color="auto" w:sz="2" w:space="0"/>
              <w:left w:val="single" w:color="auto" w:sz="2" w:space="0"/>
              <w:bottom w:val="single" w:color="auto" w:sz="2" w:space="0"/>
              <w:right w:val="single" w:color="auto" w:sz="2" w:space="0"/>
            </w:tcBorders>
            <w:vAlign w:val="center"/>
          </w:tcPr>
          <w:p w14:paraId="58211B59">
            <w:pPr>
              <w:spacing w:line="240" w:lineRule="exact"/>
              <w:jc w:val="right"/>
              <w:rPr>
                <w:rFonts w:ascii="宋体" w:hAnsi="宋体" w:eastAsia="宋体" w:cs="宋体"/>
                <w:sz w:val="18"/>
                <w:szCs w:val="18"/>
              </w:rPr>
            </w:pPr>
            <w:r>
              <w:rPr>
                <w:rFonts w:hint="eastAsia" w:ascii="宋体" w:hAnsi="宋体" w:eastAsia="宋体" w:cs="宋体"/>
                <w:sz w:val="18"/>
                <w:szCs w:val="18"/>
              </w:rPr>
              <w:t>子公司</w:t>
            </w:r>
          </w:p>
        </w:tc>
        <w:tc>
          <w:tcPr>
            <w:tcW w:w="600" w:type="dxa"/>
            <w:tcBorders>
              <w:top w:val="single" w:color="auto" w:sz="2" w:space="0"/>
              <w:left w:val="single" w:color="auto" w:sz="2" w:space="0"/>
              <w:bottom w:val="single" w:color="auto" w:sz="2" w:space="0"/>
              <w:right w:val="single" w:color="auto" w:sz="2" w:space="0"/>
            </w:tcBorders>
            <w:vAlign w:val="center"/>
          </w:tcPr>
          <w:p w14:paraId="09231880">
            <w:pPr>
              <w:spacing w:line="240" w:lineRule="exact"/>
              <w:jc w:val="right"/>
              <w:rPr>
                <w:rFonts w:ascii="宋体" w:hAnsi="宋体" w:eastAsia="宋体" w:cs="宋体"/>
                <w:sz w:val="18"/>
                <w:szCs w:val="18"/>
              </w:rPr>
            </w:pPr>
            <w:r>
              <w:rPr>
                <w:rFonts w:hint="eastAsia" w:ascii="宋体" w:hAnsi="宋体" w:eastAsia="宋体" w:cs="宋体"/>
                <w:sz w:val="18"/>
                <w:szCs w:val="18"/>
              </w:rPr>
              <w:t>啤酒销售</w:t>
            </w:r>
          </w:p>
        </w:tc>
        <w:tc>
          <w:tcPr>
            <w:tcW w:w="668" w:type="dxa"/>
            <w:tcBorders>
              <w:top w:val="single" w:color="auto" w:sz="2" w:space="0"/>
              <w:left w:val="single" w:color="auto" w:sz="2" w:space="0"/>
              <w:bottom w:val="single" w:color="auto" w:sz="2" w:space="0"/>
              <w:right w:val="single" w:color="auto" w:sz="2" w:space="0"/>
            </w:tcBorders>
            <w:vAlign w:val="center"/>
          </w:tcPr>
          <w:p w14:paraId="226FA0F2">
            <w:pPr>
              <w:spacing w:line="240" w:lineRule="exact"/>
              <w:jc w:val="right"/>
              <w:rPr>
                <w:rFonts w:ascii="宋体" w:hAnsi="宋体" w:eastAsia="宋体" w:cs="宋体"/>
                <w:sz w:val="18"/>
                <w:szCs w:val="18"/>
              </w:rPr>
            </w:pPr>
            <w:r>
              <w:rPr>
                <w:rFonts w:hint="eastAsia" w:ascii="宋体" w:hAnsi="宋体" w:eastAsia="宋体" w:cs="宋体"/>
                <w:sz w:val="18"/>
                <w:szCs w:val="18"/>
              </w:rPr>
              <w:t>500万元</w:t>
            </w:r>
          </w:p>
        </w:tc>
        <w:tc>
          <w:tcPr>
            <w:tcW w:w="1538" w:type="dxa"/>
            <w:tcBorders>
              <w:top w:val="single" w:color="auto" w:sz="2" w:space="0"/>
              <w:left w:val="single" w:color="auto" w:sz="2" w:space="0"/>
              <w:bottom w:val="single" w:color="auto" w:sz="2" w:space="0"/>
              <w:right w:val="single" w:color="auto" w:sz="2" w:space="0"/>
            </w:tcBorders>
            <w:vAlign w:val="center"/>
          </w:tcPr>
          <w:p w14:paraId="78200869">
            <w:pPr>
              <w:widowControl/>
              <w:spacing w:line="240" w:lineRule="exact"/>
              <w:jc w:val="right"/>
              <w:rPr>
                <w:rFonts w:ascii="宋体" w:hAnsi="宋体" w:eastAsia="宋体" w:cs="宋体"/>
                <w:kern w:val="2"/>
                <w:sz w:val="18"/>
                <w:szCs w:val="18"/>
              </w:rPr>
            </w:pPr>
            <w:r>
              <w:rPr>
                <w:rFonts w:ascii="宋体" w:hAnsi="宋体" w:eastAsia="宋体" w:cs="宋体"/>
                <w:sz w:val="18"/>
                <w:szCs w:val="18"/>
              </w:rPr>
              <w:t xml:space="preserve">              76,130,865.99 </w:t>
            </w:r>
          </w:p>
          <w:p w14:paraId="2F7E3177">
            <w:pPr>
              <w:spacing w:line="240" w:lineRule="exact"/>
              <w:jc w:val="right"/>
              <w:rPr>
                <w:rFonts w:ascii="宋体" w:hAnsi="宋体" w:eastAsia="宋体" w:cs="宋体"/>
                <w:sz w:val="18"/>
                <w:szCs w:val="18"/>
              </w:rPr>
            </w:pPr>
          </w:p>
        </w:tc>
        <w:tc>
          <w:tcPr>
            <w:tcW w:w="1487" w:type="dxa"/>
            <w:tcBorders>
              <w:top w:val="single" w:color="auto" w:sz="2" w:space="0"/>
              <w:left w:val="single" w:color="auto" w:sz="2" w:space="0"/>
              <w:bottom w:val="single" w:color="auto" w:sz="2" w:space="0"/>
              <w:right w:val="single" w:color="auto" w:sz="2" w:space="0"/>
            </w:tcBorders>
            <w:vAlign w:val="center"/>
          </w:tcPr>
          <w:p w14:paraId="053FEBF1">
            <w:pPr>
              <w:widowControl/>
              <w:spacing w:line="240" w:lineRule="exact"/>
              <w:jc w:val="right"/>
              <w:rPr>
                <w:rFonts w:ascii="宋体" w:hAnsi="宋体" w:eastAsia="宋体" w:cs="宋体"/>
                <w:kern w:val="2"/>
                <w:sz w:val="18"/>
                <w:szCs w:val="18"/>
              </w:rPr>
            </w:pPr>
            <w:r>
              <w:rPr>
                <w:rFonts w:ascii="宋体" w:hAnsi="宋体" w:eastAsia="宋体" w:cs="宋体"/>
                <w:sz w:val="18"/>
                <w:szCs w:val="18"/>
              </w:rPr>
              <w:t xml:space="preserve">              13,251,607.70 </w:t>
            </w:r>
          </w:p>
          <w:p w14:paraId="173C7BFF">
            <w:pPr>
              <w:spacing w:line="240" w:lineRule="exact"/>
              <w:jc w:val="right"/>
              <w:rPr>
                <w:rFonts w:ascii="宋体" w:hAnsi="宋体" w:eastAsia="宋体" w:cs="宋体"/>
                <w:sz w:val="18"/>
                <w:szCs w:val="18"/>
              </w:rPr>
            </w:pPr>
          </w:p>
        </w:tc>
        <w:tc>
          <w:tcPr>
            <w:tcW w:w="1513" w:type="dxa"/>
            <w:tcBorders>
              <w:top w:val="single" w:color="auto" w:sz="2" w:space="0"/>
              <w:left w:val="single" w:color="auto" w:sz="2" w:space="0"/>
              <w:bottom w:val="single" w:color="auto" w:sz="2" w:space="0"/>
              <w:right w:val="single" w:color="auto" w:sz="2" w:space="0"/>
            </w:tcBorders>
            <w:vAlign w:val="center"/>
          </w:tcPr>
          <w:p w14:paraId="52D4250F">
            <w:pPr>
              <w:widowControl/>
              <w:spacing w:line="240" w:lineRule="exact"/>
              <w:jc w:val="right"/>
              <w:rPr>
                <w:rFonts w:ascii="宋体" w:hAnsi="宋体" w:eastAsia="宋体" w:cs="宋体"/>
                <w:kern w:val="2"/>
                <w:sz w:val="18"/>
                <w:szCs w:val="18"/>
              </w:rPr>
            </w:pPr>
            <w:r>
              <w:rPr>
                <w:rFonts w:ascii="宋体" w:hAnsi="宋体" w:eastAsia="宋体" w:cs="宋体"/>
                <w:sz w:val="18"/>
                <w:szCs w:val="18"/>
              </w:rPr>
              <w:t xml:space="preserve">           139,229,163.57 </w:t>
            </w:r>
          </w:p>
          <w:p w14:paraId="066DB058">
            <w:pPr>
              <w:spacing w:line="240" w:lineRule="exact"/>
              <w:jc w:val="right"/>
              <w:rPr>
                <w:rFonts w:ascii="宋体" w:hAnsi="宋体" w:eastAsia="宋体" w:cs="宋体"/>
                <w:sz w:val="18"/>
                <w:szCs w:val="18"/>
              </w:rPr>
            </w:pPr>
          </w:p>
        </w:tc>
        <w:tc>
          <w:tcPr>
            <w:tcW w:w="1408" w:type="dxa"/>
            <w:tcBorders>
              <w:top w:val="single" w:color="auto" w:sz="2" w:space="0"/>
              <w:left w:val="single" w:color="auto" w:sz="2" w:space="0"/>
              <w:bottom w:val="single" w:color="auto" w:sz="2" w:space="0"/>
              <w:right w:val="single" w:color="auto" w:sz="2" w:space="0"/>
            </w:tcBorders>
            <w:vAlign w:val="center"/>
          </w:tcPr>
          <w:p w14:paraId="337108A0">
            <w:pPr>
              <w:widowControl/>
              <w:spacing w:line="240" w:lineRule="exact"/>
              <w:jc w:val="right"/>
              <w:rPr>
                <w:rFonts w:ascii="宋体" w:hAnsi="宋体" w:eastAsia="宋体" w:cs="宋体"/>
                <w:kern w:val="2"/>
                <w:sz w:val="18"/>
                <w:szCs w:val="18"/>
              </w:rPr>
            </w:pPr>
            <w:r>
              <w:rPr>
                <w:rFonts w:ascii="宋体" w:hAnsi="宋体" w:eastAsia="宋体" w:cs="宋体"/>
                <w:sz w:val="18"/>
                <w:szCs w:val="18"/>
              </w:rPr>
              <w:t xml:space="preserve">                9,856,847.85 </w:t>
            </w:r>
          </w:p>
          <w:p w14:paraId="3912D71E">
            <w:pPr>
              <w:spacing w:line="240" w:lineRule="exact"/>
              <w:jc w:val="right"/>
              <w:rPr>
                <w:rFonts w:ascii="宋体" w:hAnsi="宋体" w:eastAsia="宋体" w:cs="宋体"/>
                <w:sz w:val="18"/>
                <w:szCs w:val="18"/>
              </w:rPr>
            </w:pPr>
          </w:p>
        </w:tc>
        <w:tc>
          <w:tcPr>
            <w:tcW w:w="1498" w:type="dxa"/>
            <w:tcBorders>
              <w:top w:val="single" w:color="auto" w:sz="2" w:space="0"/>
              <w:left w:val="single" w:color="auto" w:sz="2" w:space="0"/>
              <w:bottom w:val="single" w:color="auto" w:sz="2" w:space="0"/>
              <w:right w:val="single" w:color="auto" w:sz="2" w:space="0"/>
            </w:tcBorders>
            <w:vAlign w:val="center"/>
          </w:tcPr>
          <w:p w14:paraId="0CBF7F5B">
            <w:pPr>
              <w:widowControl/>
              <w:spacing w:line="240" w:lineRule="exact"/>
              <w:jc w:val="right"/>
              <w:rPr>
                <w:rFonts w:ascii="宋体" w:hAnsi="宋体" w:eastAsia="宋体" w:cs="宋体"/>
                <w:sz w:val="18"/>
                <w:szCs w:val="18"/>
              </w:rPr>
            </w:pPr>
          </w:p>
          <w:p w14:paraId="233785A2">
            <w:pPr>
              <w:widowControl/>
              <w:spacing w:line="240" w:lineRule="exact"/>
              <w:jc w:val="right"/>
              <w:rPr>
                <w:rFonts w:ascii="宋体" w:hAnsi="宋体" w:eastAsia="宋体" w:cs="宋体"/>
                <w:kern w:val="2"/>
                <w:sz w:val="18"/>
                <w:szCs w:val="18"/>
              </w:rPr>
            </w:pPr>
            <w:r>
              <w:rPr>
                <w:rFonts w:ascii="宋体" w:hAnsi="宋体" w:eastAsia="宋体" w:cs="宋体"/>
                <w:sz w:val="18"/>
                <w:szCs w:val="18"/>
              </w:rPr>
              <w:t xml:space="preserve">8,715,663.62 </w:t>
            </w:r>
          </w:p>
          <w:p w14:paraId="22D367C0">
            <w:pPr>
              <w:spacing w:line="240" w:lineRule="exact"/>
              <w:jc w:val="right"/>
              <w:rPr>
                <w:rFonts w:ascii="宋体" w:hAnsi="宋体" w:eastAsia="宋体" w:cs="宋体"/>
                <w:sz w:val="18"/>
                <w:szCs w:val="18"/>
              </w:rPr>
            </w:pPr>
          </w:p>
        </w:tc>
      </w:tr>
      <w:tr w14:paraId="1EDC652F">
        <w:trPr>
          <w:trHeight w:val="240" w:hRule="atLeast"/>
          <w:jc w:val="center"/>
        </w:trPr>
        <w:tc>
          <w:tcPr>
            <w:tcW w:w="1125" w:type="dxa"/>
            <w:tcBorders>
              <w:top w:val="single" w:color="auto" w:sz="2" w:space="0"/>
              <w:left w:val="single" w:color="auto" w:sz="2" w:space="0"/>
              <w:bottom w:val="single" w:color="auto" w:sz="2" w:space="0"/>
              <w:right w:val="single" w:color="auto" w:sz="2" w:space="0"/>
            </w:tcBorders>
            <w:vAlign w:val="center"/>
          </w:tcPr>
          <w:p w14:paraId="0DCE28AA">
            <w:pPr>
              <w:spacing w:line="240" w:lineRule="exact"/>
              <w:rPr>
                <w:rFonts w:ascii="宋体" w:hAnsi="宋体" w:eastAsia="宋体" w:cs="宋体"/>
                <w:sz w:val="18"/>
                <w:szCs w:val="18"/>
              </w:rPr>
            </w:pPr>
            <w:r>
              <w:rPr>
                <w:rFonts w:ascii="宋体" w:hAnsi="宋体" w:eastAsia="宋体" w:cs="宋体"/>
                <w:sz w:val="18"/>
                <w:szCs w:val="18"/>
              </w:rPr>
              <w:t>四川恒生科技发展有限公司</w:t>
            </w:r>
          </w:p>
        </w:tc>
        <w:tc>
          <w:tcPr>
            <w:tcW w:w="347" w:type="dxa"/>
            <w:tcBorders>
              <w:top w:val="single" w:color="auto" w:sz="2" w:space="0"/>
              <w:left w:val="single" w:color="auto" w:sz="2" w:space="0"/>
              <w:bottom w:val="single" w:color="auto" w:sz="2" w:space="0"/>
              <w:right w:val="single" w:color="auto" w:sz="2" w:space="0"/>
            </w:tcBorders>
            <w:vAlign w:val="center"/>
          </w:tcPr>
          <w:p w14:paraId="38FAB47C">
            <w:pPr>
              <w:spacing w:line="240" w:lineRule="exact"/>
              <w:rPr>
                <w:rFonts w:ascii="宋体" w:hAnsi="宋体" w:eastAsia="宋体" w:cs="宋体"/>
                <w:sz w:val="18"/>
                <w:szCs w:val="18"/>
              </w:rPr>
            </w:pPr>
            <w:r>
              <w:rPr>
                <w:rFonts w:ascii="宋体" w:hAnsi="宋体" w:eastAsia="宋体" w:cs="宋体"/>
                <w:sz w:val="18"/>
                <w:szCs w:val="18"/>
              </w:rPr>
              <w:t>参股公司</w:t>
            </w:r>
          </w:p>
        </w:tc>
        <w:tc>
          <w:tcPr>
            <w:tcW w:w="600" w:type="dxa"/>
            <w:tcBorders>
              <w:top w:val="single" w:color="auto" w:sz="2" w:space="0"/>
              <w:left w:val="single" w:color="auto" w:sz="2" w:space="0"/>
              <w:bottom w:val="single" w:color="auto" w:sz="2" w:space="0"/>
              <w:right w:val="single" w:color="auto" w:sz="2" w:space="0"/>
            </w:tcBorders>
            <w:vAlign w:val="center"/>
          </w:tcPr>
          <w:p w14:paraId="04EAD1C4">
            <w:pPr>
              <w:spacing w:line="240" w:lineRule="exact"/>
              <w:rPr>
                <w:rFonts w:ascii="宋体" w:hAnsi="宋体" w:eastAsia="宋体" w:cs="宋体"/>
                <w:sz w:val="18"/>
                <w:szCs w:val="18"/>
              </w:rPr>
            </w:pPr>
            <w:r>
              <w:rPr>
                <w:rFonts w:ascii="宋体" w:hAnsi="宋体" w:eastAsia="宋体" w:cs="宋体"/>
                <w:sz w:val="18"/>
                <w:szCs w:val="18"/>
              </w:rPr>
              <w:t>高尔夫</w:t>
            </w:r>
          </w:p>
        </w:tc>
        <w:tc>
          <w:tcPr>
            <w:tcW w:w="668" w:type="dxa"/>
            <w:tcBorders>
              <w:top w:val="single" w:color="auto" w:sz="2" w:space="0"/>
              <w:left w:val="single" w:color="auto" w:sz="2" w:space="0"/>
              <w:bottom w:val="single" w:color="auto" w:sz="2" w:space="0"/>
              <w:right w:val="single" w:color="auto" w:sz="2" w:space="0"/>
            </w:tcBorders>
            <w:vAlign w:val="center"/>
          </w:tcPr>
          <w:p w14:paraId="3F7E0214">
            <w:pPr>
              <w:spacing w:line="240" w:lineRule="exact"/>
              <w:rPr>
                <w:rFonts w:ascii="宋体" w:hAnsi="宋体" w:eastAsia="宋体" w:cs="宋体"/>
                <w:sz w:val="18"/>
                <w:szCs w:val="18"/>
              </w:rPr>
            </w:pPr>
            <w:r>
              <w:rPr>
                <w:rFonts w:ascii="宋体" w:hAnsi="宋体" w:eastAsia="宋体" w:cs="宋体"/>
                <w:sz w:val="18"/>
                <w:szCs w:val="18"/>
              </w:rPr>
              <w:t>10000万元</w:t>
            </w:r>
          </w:p>
        </w:tc>
        <w:tc>
          <w:tcPr>
            <w:tcW w:w="1538" w:type="dxa"/>
            <w:tcBorders>
              <w:top w:val="single" w:color="auto" w:sz="2" w:space="0"/>
              <w:left w:val="single" w:color="auto" w:sz="2" w:space="0"/>
              <w:bottom w:val="single" w:color="auto" w:sz="2" w:space="0"/>
              <w:right w:val="single" w:color="auto" w:sz="2" w:space="0"/>
            </w:tcBorders>
            <w:vAlign w:val="center"/>
          </w:tcPr>
          <w:p w14:paraId="602283BE">
            <w:pPr>
              <w:spacing w:line="240" w:lineRule="exact"/>
              <w:jc w:val="right"/>
              <w:rPr>
                <w:rFonts w:ascii="宋体" w:hAnsi="宋体" w:eastAsia="宋体" w:cs="宋体"/>
                <w:sz w:val="18"/>
                <w:szCs w:val="18"/>
              </w:rPr>
            </w:pPr>
            <w:r>
              <w:rPr>
                <w:rFonts w:ascii="宋体" w:hAnsi="宋体" w:eastAsia="宋体" w:cs="宋体"/>
                <w:sz w:val="18"/>
                <w:szCs w:val="18"/>
              </w:rPr>
              <w:t>414,007,589.24</w:t>
            </w:r>
          </w:p>
        </w:tc>
        <w:tc>
          <w:tcPr>
            <w:tcW w:w="1487" w:type="dxa"/>
            <w:tcBorders>
              <w:top w:val="single" w:color="auto" w:sz="2" w:space="0"/>
              <w:left w:val="single" w:color="auto" w:sz="2" w:space="0"/>
              <w:bottom w:val="single" w:color="auto" w:sz="2" w:space="0"/>
              <w:right w:val="single" w:color="auto" w:sz="2" w:space="0"/>
            </w:tcBorders>
            <w:vAlign w:val="center"/>
          </w:tcPr>
          <w:p w14:paraId="2724FEFE">
            <w:pPr>
              <w:spacing w:line="240" w:lineRule="exact"/>
              <w:jc w:val="right"/>
              <w:rPr>
                <w:rFonts w:ascii="宋体" w:hAnsi="宋体" w:eastAsia="宋体" w:cs="宋体"/>
                <w:sz w:val="18"/>
                <w:szCs w:val="18"/>
              </w:rPr>
            </w:pPr>
            <w:r>
              <w:rPr>
                <w:rFonts w:ascii="宋体" w:hAnsi="宋体" w:eastAsia="宋体" w:cs="宋体"/>
                <w:sz w:val="18"/>
                <w:szCs w:val="18"/>
              </w:rPr>
              <w:t>379,988,284.34</w:t>
            </w:r>
          </w:p>
        </w:tc>
        <w:tc>
          <w:tcPr>
            <w:tcW w:w="1513" w:type="dxa"/>
            <w:tcBorders>
              <w:top w:val="single" w:color="auto" w:sz="2" w:space="0"/>
              <w:left w:val="single" w:color="auto" w:sz="2" w:space="0"/>
              <w:bottom w:val="single" w:color="auto" w:sz="2" w:space="0"/>
              <w:right w:val="single" w:color="auto" w:sz="2" w:space="0"/>
            </w:tcBorders>
            <w:vAlign w:val="center"/>
          </w:tcPr>
          <w:p w14:paraId="5157307D">
            <w:pPr>
              <w:spacing w:line="240" w:lineRule="exact"/>
              <w:jc w:val="right"/>
              <w:rPr>
                <w:rFonts w:ascii="宋体" w:hAnsi="宋体" w:eastAsia="宋体" w:cs="宋体"/>
                <w:sz w:val="18"/>
                <w:szCs w:val="18"/>
              </w:rPr>
            </w:pPr>
            <w:r>
              <w:rPr>
                <w:rFonts w:ascii="宋体" w:hAnsi="宋体" w:eastAsia="宋体" w:cs="宋体"/>
                <w:sz w:val="18"/>
                <w:szCs w:val="18"/>
              </w:rPr>
              <w:t>17,164,729.41</w:t>
            </w:r>
          </w:p>
        </w:tc>
        <w:tc>
          <w:tcPr>
            <w:tcW w:w="1408" w:type="dxa"/>
            <w:tcBorders>
              <w:top w:val="single" w:color="auto" w:sz="2" w:space="0"/>
              <w:left w:val="single" w:color="auto" w:sz="2" w:space="0"/>
              <w:bottom w:val="single" w:color="auto" w:sz="2" w:space="0"/>
              <w:right w:val="single" w:color="auto" w:sz="2" w:space="0"/>
            </w:tcBorders>
            <w:vAlign w:val="center"/>
          </w:tcPr>
          <w:p w14:paraId="18EBF990">
            <w:pPr>
              <w:spacing w:line="240" w:lineRule="exact"/>
              <w:jc w:val="right"/>
              <w:rPr>
                <w:rFonts w:ascii="宋体" w:hAnsi="宋体" w:eastAsia="宋体" w:cs="宋体"/>
                <w:sz w:val="18"/>
                <w:szCs w:val="18"/>
              </w:rPr>
            </w:pPr>
            <w:r>
              <w:rPr>
                <w:rFonts w:ascii="宋体" w:hAnsi="宋体" w:eastAsia="宋体" w:cs="宋体"/>
                <w:sz w:val="18"/>
                <w:szCs w:val="18"/>
              </w:rPr>
              <w:t>-6,694,788.31</w:t>
            </w:r>
          </w:p>
        </w:tc>
        <w:tc>
          <w:tcPr>
            <w:tcW w:w="1498" w:type="dxa"/>
            <w:tcBorders>
              <w:top w:val="single" w:color="auto" w:sz="2" w:space="0"/>
              <w:left w:val="single" w:color="auto" w:sz="2" w:space="0"/>
              <w:bottom w:val="single" w:color="auto" w:sz="2" w:space="0"/>
              <w:right w:val="single" w:color="auto" w:sz="2" w:space="0"/>
            </w:tcBorders>
            <w:vAlign w:val="center"/>
          </w:tcPr>
          <w:p w14:paraId="2FD1CE19">
            <w:pPr>
              <w:spacing w:line="240" w:lineRule="exact"/>
              <w:jc w:val="right"/>
              <w:rPr>
                <w:rFonts w:ascii="宋体" w:hAnsi="宋体" w:eastAsia="宋体" w:cs="宋体"/>
                <w:sz w:val="18"/>
                <w:szCs w:val="18"/>
              </w:rPr>
            </w:pPr>
            <w:r>
              <w:rPr>
                <w:rFonts w:ascii="宋体" w:hAnsi="宋体" w:eastAsia="宋体" w:cs="宋体"/>
                <w:sz w:val="18"/>
                <w:szCs w:val="18"/>
              </w:rPr>
              <w:t>-6,636,604.08</w:t>
            </w:r>
          </w:p>
        </w:tc>
      </w:tr>
      <w:tr w14:paraId="21132781">
        <w:trPr>
          <w:trHeight w:val="240" w:hRule="atLeast"/>
          <w:jc w:val="center"/>
        </w:trPr>
        <w:tc>
          <w:tcPr>
            <w:tcW w:w="1125" w:type="dxa"/>
            <w:tcBorders>
              <w:top w:val="single" w:color="auto" w:sz="2" w:space="0"/>
              <w:left w:val="single" w:color="auto" w:sz="2" w:space="0"/>
              <w:bottom w:val="single" w:color="auto" w:sz="2" w:space="0"/>
              <w:right w:val="single" w:color="auto" w:sz="2" w:space="0"/>
            </w:tcBorders>
            <w:vAlign w:val="center"/>
          </w:tcPr>
          <w:p w14:paraId="08227639">
            <w:pPr>
              <w:spacing w:line="240" w:lineRule="exact"/>
              <w:rPr>
                <w:rFonts w:ascii="宋体" w:hAnsi="宋体" w:eastAsia="宋体" w:cs="宋体"/>
                <w:sz w:val="18"/>
                <w:szCs w:val="18"/>
              </w:rPr>
            </w:pPr>
            <w:r>
              <w:rPr>
                <w:rFonts w:ascii="宋体" w:hAnsi="宋体" w:eastAsia="宋体" w:cs="宋体"/>
                <w:sz w:val="18"/>
                <w:szCs w:val="18"/>
              </w:rPr>
              <w:t>苏州华信善达力创投资企业(有限合伙)</w:t>
            </w:r>
          </w:p>
        </w:tc>
        <w:tc>
          <w:tcPr>
            <w:tcW w:w="347" w:type="dxa"/>
            <w:tcBorders>
              <w:top w:val="single" w:color="auto" w:sz="2" w:space="0"/>
              <w:left w:val="single" w:color="auto" w:sz="2" w:space="0"/>
              <w:bottom w:val="single" w:color="auto" w:sz="2" w:space="0"/>
              <w:right w:val="single" w:color="auto" w:sz="2" w:space="0"/>
            </w:tcBorders>
            <w:vAlign w:val="center"/>
          </w:tcPr>
          <w:p w14:paraId="2D1E1A63">
            <w:pPr>
              <w:spacing w:line="240" w:lineRule="exact"/>
              <w:rPr>
                <w:rFonts w:ascii="宋体" w:hAnsi="宋体" w:eastAsia="宋体" w:cs="宋体"/>
                <w:sz w:val="18"/>
                <w:szCs w:val="18"/>
              </w:rPr>
            </w:pPr>
            <w:r>
              <w:rPr>
                <w:rFonts w:ascii="宋体" w:hAnsi="宋体" w:eastAsia="宋体" w:cs="宋体"/>
                <w:sz w:val="18"/>
                <w:szCs w:val="18"/>
              </w:rPr>
              <w:t>参股公司</w:t>
            </w:r>
          </w:p>
        </w:tc>
        <w:tc>
          <w:tcPr>
            <w:tcW w:w="600" w:type="dxa"/>
            <w:tcBorders>
              <w:top w:val="single" w:color="auto" w:sz="2" w:space="0"/>
              <w:left w:val="single" w:color="auto" w:sz="2" w:space="0"/>
              <w:bottom w:val="single" w:color="auto" w:sz="2" w:space="0"/>
              <w:right w:val="single" w:color="auto" w:sz="2" w:space="0"/>
            </w:tcBorders>
            <w:vAlign w:val="center"/>
          </w:tcPr>
          <w:p w14:paraId="76E70BD9">
            <w:pPr>
              <w:spacing w:line="240" w:lineRule="exact"/>
              <w:rPr>
                <w:rFonts w:ascii="宋体" w:hAnsi="宋体" w:eastAsia="宋体" w:cs="宋体"/>
                <w:sz w:val="18"/>
                <w:szCs w:val="18"/>
              </w:rPr>
            </w:pPr>
            <w:r>
              <w:rPr>
                <w:rFonts w:ascii="宋体" w:hAnsi="宋体" w:eastAsia="宋体" w:cs="宋体"/>
                <w:sz w:val="18"/>
                <w:szCs w:val="18"/>
              </w:rPr>
              <w:t>项目投资</w:t>
            </w:r>
          </w:p>
        </w:tc>
        <w:tc>
          <w:tcPr>
            <w:tcW w:w="668" w:type="dxa"/>
            <w:tcBorders>
              <w:top w:val="single" w:color="auto" w:sz="2" w:space="0"/>
              <w:left w:val="single" w:color="auto" w:sz="2" w:space="0"/>
              <w:bottom w:val="single" w:color="auto" w:sz="2" w:space="0"/>
              <w:right w:val="single" w:color="auto" w:sz="2" w:space="0"/>
            </w:tcBorders>
            <w:vAlign w:val="center"/>
          </w:tcPr>
          <w:p w14:paraId="18BE7367">
            <w:pPr>
              <w:spacing w:line="240" w:lineRule="exact"/>
              <w:rPr>
                <w:rFonts w:ascii="宋体" w:hAnsi="宋体" w:eastAsia="宋体" w:cs="宋体"/>
                <w:sz w:val="18"/>
                <w:szCs w:val="18"/>
              </w:rPr>
            </w:pPr>
            <w:r>
              <w:rPr>
                <w:rFonts w:ascii="宋体" w:hAnsi="宋体" w:eastAsia="宋体" w:cs="宋体"/>
                <w:sz w:val="18"/>
                <w:szCs w:val="18"/>
              </w:rPr>
              <w:t>60000万元</w:t>
            </w:r>
          </w:p>
        </w:tc>
        <w:tc>
          <w:tcPr>
            <w:tcW w:w="1538" w:type="dxa"/>
            <w:tcBorders>
              <w:top w:val="single" w:color="auto" w:sz="2" w:space="0"/>
              <w:left w:val="single" w:color="auto" w:sz="2" w:space="0"/>
              <w:bottom w:val="single" w:color="auto" w:sz="2" w:space="0"/>
              <w:right w:val="single" w:color="auto" w:sz="2" w:space="0"/>
            </w:tcBorders>
            <w:vAlign w:val="center"/>
          </w:tcPr>
          <w:p w14:paraId="5D5DFBBA">
            <w:pPr>
              <w:spacing w:line="240" w:lineRule="exact"/>
              <w:jc w:val="right"/>
              <w:rPr>
                <w:rFonts w:ascii="宋体" w:hAnsi="宋体" w:eastAsia="宋体" w:cs="宋体"/>
                <w:sz w:val="18"/>
                <w:szCs w:val="18"/>
              </w:rPr>
            </w:pPr>
            <w:r>
              <w:rPr>
                <w:rFonts w:ascii="宋体" w:hAnsi="宋体" w:eastAsia="宋体" w:cs="宋体"/>
                <w:sz w:val="18"/>
                <w:szCs w:val="18"/>
              </w:rPr>
              <w:t>60,833,976.60</w:t>
            </w:r>
          </w:p>
        </w:tc>
        <w:tc>
          <w:tcPr>
            <w:tcW w:w="1487" w:type="dxa"/>
            <w:tcBorders>
              <w:top w:val="single" w:color="auto" w:sz="2" w:space="0"/>
              <w:left w:val="single" w:color="auto" w:sz="2" w:space="0"/>
              <w:bottom w:val="single" w:color="auto" w:sz="2" w:space="0"/>
              <w:right w:val="single" w:color="auto" w:sz="2" w:space="0"/>
            </w:tcBorders>
            <w:vAlign w:val="center"/>
          </w:tcPr>
          <w:p w14:paraId="798EE915">
            <w:pPr>
              <w:spacing w:line="240" w:lineRule="exact"/>
              <w:jc w:val="right"/>
              <w:rPr>
                <w:rFonts w:ascii="宋体" w:hAnsi="宋体" w:eastAsia="宋体" w:cs="宋体"/>
                <w:sz w:val="18"/>
                <w:szCs w:val="18"/>
              </w:rPr>
            </w:pPr>
            <w:r>
              <w:rPr>
                <w:rFonts w:ascii="宋体" w:hAnsi="宋体" w:eastAsia="宋体" w:cs="宋体"/>
                <w:sz w:val="18"/>
                <w:szCs w:val="18"/>
              </w:rPr>
              <w:t>52,705,876.60</w:t>
            </w:r>
          </w:p>
        </w:tc>
        <w:tc>
          <w:tcPr>
            <w:tcW w:w="1513" w:type="dxa"/>
            <w:tcBorders>
              <w:top w:val="single" w:color="auto" w:sz="2" w:space="0"/>
              <w:left w:val="single" w:color="auto" w:sz="2" w:space="0"/>
              <w:bottom w:val="single" w:color="auto" w:sz="2" w:space="0"/>
              <w:right w:val="single" w:color="auto" w:sz="2" w:space="0"/>
            </w:tcBorders>
            <w:vAlign w:val="center"/>
          </w:tcPr>
          <w:p w14:paraId="7A90B4A6">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408" w:type="dxa"/>
            <w:tcBorders>
              <w:top w:val="single" w:color="auto" w:sz="2" w:space="0"/>
              <w:left w:val="single" w:color="auto" w:sz="2" w:space="0"/>
              <w:bottom w:val="single" w:color="auto" w:sz="2" w:space="0"/>
              <w:right w:val="single" w:color="auto" w:sz="2" w:space="0"/>
            </w:tcBorders>
            <w:vAlign w:val="center"/>
          </w:tcPr>
          <w:p w14:paraId="1C6F4569">
            <w:pPr>
              <w:spacing w:line="240" w:lineRule="exact"/>
              <w:jc w:val="right"/>
              <w:rPr>
                <w:rFonts w:ascii="宋体" w:hAnsi="宋体" w:eastAsia="宋体" w:cs="宋体"/>
                <w:sz w:val="18"/>
                <w:szCs w:val="18"/>
              </w:rPr>
            </w:pPr>
            <w:r>
              <w:rPr>
                <w:rFonts w:ascii="宋体" w:hAnsi="宋体" w:eastAsia="宋体" w:cs="宋体"/>
                <w:sz w:val="18"/>
                <w:szCs w:val="18"/>
              </w:rPr>
              <w:t>7,215.19</w:t>
            </w:r>
          </w:p>
        </w:tc>
        <w:tc>
          <w:tcPr>
            <w:tcW w:w="1498" w:type="dxa"/>
            <w:tcBorders>
              <w:top w:val="single" w:color="auto" w:sz="2" w:space="0"/>
              <w:left w:val="single" w:color="auto" w:sz="2" w:space="0"/>
              <w:bottom w:val="single" w:color="auto" w:sz="2" w:space="0"/>
              <w:right w:val="single" w:color="auto" w:sz="2" w:space="0"/>
            </w:tcBorders>
            <w:vAlign w:val="center"/>
          </w:tcPr>
          <w:p w14:paraId="73C67F6B">
            <w:pPr>
              <w:spacing w:line="240" w:lineRule="exact"/>
              <w:jc w:val="right"/>
              <w:rPr>
                <w:rFonts w:ascii="宋体" w:hAnsi="宋体" w:eastAsia="宋体" w:cs="宋体"/>
                <w:sz w:val="18"/>
                <w:szCs w:val="18"/>
              </w:rPr>
            </w:pPr>
            <w:r>
              <w:rPr>
                <w:rFonts w:ascii="宋体" w:hAnsi="宋体" w:eastAsia="宋体" w:cs="宋体"/>
                <w:sz w:val="18"/>
                <w:szCs w:val="18"/>
              </w:rPr>
              <w:t>7,215.19</w:t>
            </w:r>
          </w:p>
        </w:tc>
      </w:tr>
    </w:tbl>
    <w:p w14:paraId="76DF4E9C">
      <w:pPr>
        <w:spacing w:before="100" w:after="100" w:line="240" w:lineRule="exact"/>
        <w:rPr>
          <w:rFonts w:ascii="宋体" w:hAnsi="宋体" w:eastAsia="宋体" w:cs="宋体"/>
          <w:sz w:val="18"/>
          <w:szCs w:val="18"/>
        </w:rPr>
      </w:pPr>
      <w:r>
        <w:rPr>
          <w:rFonts w:ascii="宋体" w:hAnsi="宋体" w:eastAsia="宋体" w:cs="宋体"/>
          <w:sz w:val="18"/>
          <w:szCs w:val="18"/>
        </w:rPr>
        <w:t>报告期内取得和处置子公司的情况</w:t>
      </w:r>
    </w:p>
    <w:p w14:paraId="6FD7B333">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69AA605">
      <w:pPr>
        <w:spacing w:before="100" w:after="100" w:line="240" w:lineRule="exact"/>
        <w:rPr>
          <w:rFonts w:ascii="Times New Roman" w:hAnsi="Times New Roman" w:cs="Times New Roman"/>
          <w:szCs w:val="21"/>
        </w:rPr>
      </w:pPr>
      <w:r>
        <w:rPr>
          <w:rFonts w:ascii="宋体" w:hAnsi="宋体" w:eastAsia="宋体" w:cs="宋体"/>
          <w:sz w:val="18"/>
          <w:szCs w:val="18"/>
        </w:rPr>
        <w:t>主要控股参股公司情况说明</w:t>
      </w:r>
    </w:p>
    <w:p w14:paraId="01D727B2">
      <w:pPr>
        <w:pStyle w:val="9"/>
        <w:spacing w:before="0" w:beforeAutospacing="0" w:after="156" w:afterLines="50" w:afterAutospacing="0"/>
        <w:rPr>
          <w:rFonts w:ascii="Times New Roman" w:hAnsi="Times New Roman" w:cs="Times New Roman"/>
        </w:rPr>
      </w:pPr>
      <w:r>
        <w:rPr>
          <w:rFonts w:ascii="Times New Roman" w:hAnsi="Times New Roman" w:cs="Times New Roman"/>
          <w:sz w:val="18"/>
          <w:szCs w:val="18"/>
        </w:rPr>
        <w:t>        </w:t>
      </w:r>
      <w:r>
        <w:rPr>
          <w:rFonts w:hint="eastAsia" w:cs="Times New Roman"/>
          <w:sz w:val="18"/>
          <w:szCs w:val="18"/>
        </w:rPr>
        <w:t>注</w:t>
      </w:r>
      <w:r>
        <w:rPr>
          <w:rFonts w:ascii="Times New Roman" w:hAnsi="Times New Roman" w:cs="Times New Roman"/>
          <w:sz w:val="18"/>
          <w:szCs w:val="18"/>
        </w:rPr>
        <w:t>1</w:t>
      </w:r>
      <w:r>
        <w:rPr>
          <w:rFonts w:hint="eastAsia" w:cs="Times New Roman"/>
          <w:sz w:val="18"/>
          <w:szCs w:val="18"/>
        </w:rPr>
        <w:t>：</w:t>
      </w:r>
      <w:r>
        <w:rPr>
          <w:rFonts w:ascii="Times New Roman" w:hAnsi="Times New Roman" w:cs="Times New Roman"/>
          <w:sz w:val="18"/>
          <w:szCs w:val="18"/>
        </w:rPr>
        <w:t>2023</w:t>
      </w:r>
      <w:r>
        <w:rPr>
          <w:rFonts w:hint="eastAsia" w:cs="Times New Roman"/>
          <w:sz w:val="18"/>
          <w:szCs w:val="18"/>
        </w:rPr>
        <w:t>年度，公司对四川恒生科技发展有限公司的投资，其可辨认净资产公允价值根据重庆恒禾资产评估有限公司基于减值测试为目的出具的《咨询报告》，经评估，公司对其投资</w:t>
      </w:r>
      <w:r>
        <w:rPr>
          <w:rFonts w:ascii="Times New Roman" w:hAnsi="Times New Roman" w:cs="Times New Roman"/>
          <w:sz w:val="18"/>
          <w:szCs w:val="18"/>
        </w:rPr>
        <w:t>2023</w:t>
      </w:r>
      <w:r>
        <w:rPr>
          <w:rFonts w:hint="eastAsia" w:cs="Times New Roman"/>
          <w:sz w:val="18"/>
          <w:szCs w:val="18"/>
        </w:rPr>
        <w:t>年度未发生减值迹象，故未对其的长期股权投资计提减值准备。</w:t>
      </w:r>
      <w:r>
        <w:rPr>
          <w:rFonts w:ascii="Times New Roman" w:hAnsi="Times New Roman" w:cs="Times New Roman"/>
          <w:sz w:val="18"/>
          <w:szCs w:val="18"/>
        </w:rPr>
        <w:t> </w:t>
      </w:r>
    </w:p>
    <w:p w14:paraId="361A8CCA">
      <w:pPr>
        <w:pStyle w:val="9"/>
        <w:widowControl w:val="0"/>
        <w:spacing w:before="0" w:beforeAutospacing="0" w:after="0" w:afterAutospacing="0"/>
        <w:rPr>
          <w:rFonts w:ascii="Times New Roman" w:hAnsi="Times New Roman" w:cs="Times New Roman"/>
        </w:rPr>
      </w:pPr>
      <w:r>
        <w:rPr>
          <w:rFonts w:ascii="Times New Roman" w:hAnsi="Times New Roman" w:cs="Times New Roman"/>
          <w:sz w:val="18"/>
          <w:szCs w:val="18"/>
        </w:rPr>
        <w:t xml:space="preserve">        </w:t>
      </w:r>
      <w:r>
        <w:rPr>
          <w:rFonts w:hint="eastAsia" w:cs="Times New Roman"/>
          <w:sz w:val="18"/>
          <w:szCs w:val="18"/>
        </w:rPr>
        <w:t>注</w:t>
      </w:r>
      <w:r>
        <w:rPr>
          <w:rFonts w:ascii="Times New Roman" w:hAnsi="Times New Roman" w:cs="Times New Roman"/>
          <w:sz w:val="18"/>
          <w:szCs w:val="18"/>
        </w:rPr>
        <w:t>2</w:t>
      </w:r>
      <w:r>
        <w:rPr>
          <w:rFonts w:hint="eastAsia" w:cs="Times New Roman"/>
          <w:sz w:val="18"/>
          <w:szCs w:val="18"/>
        </w:rPr>
        <w:t>：</w:t>
      </w:r>
      <w:r>
        <w:rPr>
          <w:rFonts w:ascii="Times New Roman" w:hAnsi="Times New Roman" w:cs="Times New Roman"/>
          <w:sz w:val="18"/>
          <w:szCs w:val="18"/>
        </w:rPr>
        <w:t>2016</w:t>
      </w:r>
      <w:r>
        <w:rPr>
          <w:rFonts w:hint="eastAsia" w:cs="Times New Roman"/>
          <w:sz w:val="18"/>
          <w:szCs w:val="18"/>
        </w:rPr>
        <w:t>年</w:t>
      </w:r>
      <w:r>
        <w:rPr>
          <w:rFonts w:ascii="Times New Roman" w:hAnsi="Times New Roman" w:cs="Times New Roman"/>
          <w:sz w:val="18"/>
          <w:szCs w:val="18"/>
        </w:rPr>
        <w:t>12</w:t>
      </w:r>
      <w:r>
        <w:rPr>
          <w:rFonts w:hint="eastAsia" w:cs="Times New Roman"/>
          <w:sz w:val="18"/>
          <w:szCs w:val="18"/>
        </w:rPr>
        <w:t>月</w:t>
      </w:r>
      <w:r>
        <w:rPr>
          <w:rFonts w:ascii="Times New Roman" w:hAnsi="Times New Roman" w:cs="Times New Roman"/>
          <w:sz w:val="18"/>
          <w:szCs w:val="18"/>
        </w:rPr>
        <w:t>23</w:t>
      </w:r>
      <w:r>
        <w:rPr>
          <w:rFonts w:hint="eastAsia" w:cs="Times New Roman"/>
          <w:sz w:val="18"/>
          <w:szCs w:val="18"/>
        </w:rPr>
        <w:t>日，本公司与华信善达（苏州）资产管理有限公司、中广核资本控股有限公司签订合伙协议，公司出资</w:t>
      </w:r>
      <w:r>
        <w:rPr>
          <w:rFonts w:ascii="Times New Roman" w:hAnsi="Times New Roman" w:cs="Times New Roman"/>
          <w:sz w:val="18"/>
          <w:szCs w:val="18"/>
        </w:rPr>
        <w:t>3</w:t>
      </w:r>
      <w:r>
        <w:rPr>
          <w:rFonts w:hint="eastAsia" w:cs="Times New Roman"/>
          <w:sz w:val="18"/>
          <w:szCs w:val="18"/>
        </w:rPr>
        <w:t>亿元参与苏州华信善达力创投资企业（有限合伙）,能够对华信投资产生重大影响，对其投资按照权益法核算。</w:t>
      </w:r>
    </w:p>
    <w:p w14:paraId="3397F2E9">
      <w:pPr>
        <w:pStyle w:val="9"/>
        <w:widowControl w:val="0"/>
        <w:spacing w:before="0" w:beforeAutospacing="0" w:after="156" w:afterLines="50" w:afterAutospacing="0"/>
        <w:rPr>
          <w:rFonts w:ascii="Times New Roman" w:hAnsi="Times New Roman" w:cs="Times New Roman"/>
        </w:rPr>
      </w:pPr>
      <w:r>
        <w:rPr>
          <w:rFonts w:ascii="Times New Roman" w:hAnsi="Times New Roman" w:cs="Times New Roman"/>
          <w:sz w:val="18"/>
          <w:szCs w:val="18"/>
        </w:rPr>
        <w:t>       </w:t>
      </w:r>
      <w:r>
        <w:rPr>
          <w:rFonts w:hint="eastAsia" w:cs="Times New Roman"/>
          <w:sz w:val="18"/>
          <w:szCs w:val="18"/>
        </w:rPr>
        <w:t>苏州华信善达力创投资企业</w:t>
      </w:r>
      <w:r>
        <w:rPr>
          <w:rFonts w:ascii="Times New Roman" w:hAnsi="Times New Roman" w:cs="Times New Roman"/>
          <w:sz w:val="18"/>
          <w:szCs w:val="18"/>
        </w:rPr>
        <w:t>(</w:t>
      </w:r>
      <w:r>
        <w:rPr>
          <w:rFonts w:hint="eastAsia" w:cs="Times New Roman"/>
          <w:sz w:val="18"/>
          <w:szCs w:val="18"/>
        </w:rPr>
        <w:t>有限合伙</w:t>
      </w:r>
      <w:r>
        <w:rPr>
          <w:rFonts w:ascii="Times New Roman" w:hAnsi="Times New Roman" w:cs="Times New Roman"/>
          <w:sz w:val="18"/>
          <w:szCs w:val="18"/>
        </w:rPr>
        <w:t>)</w:t>
      </w:r>
      <w:r>
        <w:rPr>
          <w:rFonts w:hint="eastAsia" w:cs="Times New Roman"/>
          <w:sz w:val="18"/>
          <w:szCs w:val="18"/>
        </w:rPr>
        <w:t>存续期于</w:t>
      </w:r>
      <w:r>
        <w:rPr>
          <w:rFonts w:ascii="Times New Roman" w:hAnsi="Times New Roman" w:cs="Times New Roman"/>
          <w:sz w:val="18"/>
          <w:szCs w:val="18"/>
        </w:rPr>
        <w:t>2021</w:t>
      </w:r>
      <w:r>
        <w:rPr>
          <w:rFonts w:hint="eastAsia" w:cs="Times New Roman"/>
          <w:sz w:val="18"/>
          <w:szCs w:val="18"/>
        </w:rPr>
        <w:t>年</w:t>
      </w:r>
      <w:r>
        <w:rPr>
          <w:rFonts w:ascii="Times New Roman" w:hAnsi="Times New Roman" w:cs="Times New Roman"/>
          <w:sz w:val="18"/>
          <w:szCs w:val="18"/>
        </w:rPr>
        <w:t>12</w:t>
      </w:r>
      <w:r>
        <w:rPr>
          <w:rFonts w:hint="eastAsia" w:cs="Times New Roman"/>
          <w:sz w:val="18"/>
          <w:szCs w:val="18"/>
        </w:rPr>
        <w:t>月</w:t>
      </w:r>
      <w:r>
        <w:rPr>
          <w:rFonts w:ascii="Times New Roman" w:hAnsi="Times New Roman" w:cs="Times New Roman"/>
          <w:sz w:val="18"/>
          <w:szCs w:val="18"/>
        </w:rPr>
        <w:t>23</w:t>
      </w:r>
      <w:r>
        <w:rPr>
          <w:rFonts w:hint="eastAsia" w:cs="Times New Roman"/>
          <w:sz w:val="18"/>
          <w:szCs w:val="18"/>
        </w:rPr>
        <w:t>日届满经全体合伙人一致同意解散并于</w:t>
      </w:r>
      <w:r>
        <w:rPr>
          <w:rFonts w:ascii="Times New Roman" w:hAnsi="Times New Roman" w:cs="Times New Roman"/>
          <w:sz w:val="18"/>
          <w:szCs w:val="18"/>
        </w:rPr>
        <w:t>2022</w:t>
      </w:r>
      <w:r>
        <w:rPr>
          <w:rFonts w:hint="eastAsia" w:cs="Times New Roman"/>
          <w:sz w:val="18"/>
          <w:szCs w:val="18"/>
        </w:rPr>
        <w:t>年开始自行清算。</w:t>
      </w:r>
      <w:r>
        <w:rPr>
          <w:rFonts w:ascii="Times New Roman" w:hAnsi="Times New Roman" w:cs="Times New Roman"/>
          <w:sz w:val="18"/>
          <w:szCs w:val="18"/>
        </w:rPr>
        <w:t>2022</w:t>
      </w:r>
      <w:r>
        <w:rPr>
          <w:rFonts w:hint="eastAsia" w:cs="Times New Roman"/>
          <w:sz w:val="18"/>
          <w:szCs w:val="18"/>
        </w:rPr>
        <w:t>年</w:t>
      </w:r>
      <w:r>
        <w:rPr>
          <w:rFonts w:ascii="Times New Roman" w:hAnsi="Times New Roman" w:cs="Times New Roman"/>
          <w:sz w:val="18"/>
          <w:szCs w:val="18"/>
        </w:rPr>
        <w:t>11</w:t>
      </w:r>
      <w:r>
        <w:rPr>
          <w:rFonts w:hint="eastAsia" w:cs="Times New Roman"/>
          <w:sz w:val="18"/>
          <w:szCs w:val="18"/>
        </w:rPr>
        <w:t>月合伙人中广核资本控股有限公司向法院申请强制清算，法院于</w:t>
      </w:r>
      <w:r>
        <w:rPr>
          <w:rFonts w:ascii="Times New Roman" w:hAnsi="Times New Roman" w:cs="Times New Roman"/>
          <w:sz w:val="18"/>
          <w:szCs w:val="18"/>
        </w:rPr>
        <w:t>2023</w:t>
      </w:r>
      <w:r>
        <w:rPr>
          <w:rFonts w:hint="eastAsia" w:cs="Times New Roman"/>
          <w:sz w:val="18"/>
          <w:szCs w:val="18"/>
        </w:rPr>
        <w:t>年</w:t>
      </w:r>
      <w:r>
        <w:rPr>
          <w:rFonts w:ascii="Times New Roman" w:hAnsi="Times New Roman" w:cs="Times New Roman"/>
          <w:sz w:val="18"/>
          <w:szCs w:val="18"/>
        </w:rPr>
        <w:t>1</w:t>
      </w:r>
      <w:r>
        <w:rPr>
          <w:rFonts w:hint="eastAsia" w:cs="Times New Roman"/>
          <w:sz w:val="18"/>
          <w:szCs w:val="18"/>
        </w:rPr>
        <w:t>月受理中广核的申请并指定了清算人对华信善达的清算工作，2023年12月，法院裁定确认苏州华信善达力创投资企业（有限合伙）清算组提交的《苏州华信善达力创投资企业（有限合伙）清算方案》，截至本报告日，华信善达的清算工作仍在进行中。</w:t>
      </w:r>
    </w:p>
    <w:p w14:paraId="674E90BC">
      <w:pPr>
        <w:pStyle w:val="9"/>
        <w:widowControl w:val="0"/>
        <w:spacing w:before="0" w:beforeAutospacing="0" w:after="156" w:afterLines="50" w:afterAutospacing="0"/>
        <w:rPr>
          <w:rFonts w:cs="Times New Roman"/>
          <w:sz w:val="18"/>
          <w:szCs w:val="18"/>
        </w:rPr>
      </w:pPr>
      <w:r>
        <w:rPr>
          <w:rFonts w:hint="eastAsia" w:cs="Times New Roman"/>
          <w:sz w:val="18"/>
          <w:szCs w:val="18"/>
        </w:rPr>
        <w:t>  注</w:t>
      </w:r>
      <w:r>
        <w:rPr>
          <w:rFonts w:ascii="Times New Roman" w:hAnsi="Times New Roman" w:cs="Times New Roman"/>
          <w:sz w:val="18"/>
          <w:szCs w:val="18"/>
        </w:rPr>
        <w:t>3</w:t>
      </w:r>
      <w:r>
        <w:rPr>
          <w:rFonts w:hint="eastAsia" w:cs="Times New Roman"/>
          <w:sz w:val="18"/>
          <w:szCs w:val="18"/>
        </w:rPr>
        <w:t>：本公司持有西藏拉萨啤酒有限公司（以下简称“拉萨啤酒”）</w:t>
      </w:r>
      <w:r>
        <w:rPr>
          <w:rFonts w:ascii="Times New Roman" w:hAnsi="Times New Roman" w:cs="Times New Roman"/>
          <w:sz w:val="18"/>
          <w:szCs w:val="18"/>
        </w:rPr>
        <w:t>50%</w:t>
      </w:r>
      <w:r>
        <w:rPr>
          <w:rFonts w:hint="eastAsia" w:cs="Times New Roman"/>
          <w:sz w:val="18"/>
          <w:szCs w:val="18"/>
        </w:rPr>
        <w:t>的股权，拉萨啤酒公司章程规定，其董事会由</w:t>
      </w:r>
      <w:r>
        <w:rPr>
          <w:rFonts w:ascii="Times New Roman" w:hAnsi="Times New Roman" w:cs="Times New Roman"/>
          <w:sz w:val="18"/>
          <w:szCs w:val="18"/>
        </w:rPr>
        <w:t>5</w:t>
      </w:r>
      <w:r>
        <w:rPr>
          <w:rFonts w:hint="eastAsia" w:cs="Times New Roman"/>
          <w:sz w:val="18"/>
          <w:szCs w:val="18"/>
        </w:rPr>
        <w:t>名董事组成，其中本公司委派</w:t>
      </w:r>
      <w:r>
        <w:rPr>
          <w:rFonts w:ascii="Times New Roman" w:hAnsi="Times New Roman" w:cs="Times New Roman"/>
          <w:sz w:val="18"/>
          <w:szCs w:val="18"/>
        </w:rPr>
        <w:t>3</w:t>
      </w:r>
      <w:r>
        <w:rPr>
          <w:rFonts w:hint="eastAsia" w:cs="Times New Roman"/>
          <w:sz w:val="18"/>
          <w:szCs w:val="18"/>
        </w:rPr>
        <w:t>名，董事长由本公司委派。本公司对拉萨啤酒具有控制权，将其纳入合并财务报表范围。</w:t>
      </w:r>
    </w:p>
    <w:p w14:paraId="520951A9">
      <w:pPr>
        <w:pStyle w:val="9"/>
        <w:widowControl w:val="0"/>
        <w:spacing w:before="0" w:beforeAutospacing="0" w:after="156" w:afterLines="50" w:afterAutospacing="0"/>
        <w:ind w:firstLine="180" w:firstLineChars="100"/>
        <w:rPr>
          <w:rFonts w:ascii="Times New Roman" w:hAnsi="Times New Roman" w:cs="Times New Roman"/>
        </w:rPr>
      </w:pPr>
      <w:r>
        <w:rPr>
          <w:rFonts w:hint="eastAsia" w:cs="Times New Roman"/>
          <w:sz w:val="18"/>
          <w:szCs w:val="18"/>
        </w:rPr>
        <w:t>注4：本公司持有西藏藏红花生物科技开发有限公司（以下简称“藏红花”）100%的股权。2024年度，公司基于销售管理需要，拉萨啤酒的部分产品通过全资子公司藏红花公司对外销售。</w:t>
      </w:r>
    </w:p>
    <w:p w14:paraId="4C137010">
      <w:pPr>
        <w:pStyle w:val="2"/>
        <w:spacing w:before="300" w:after="300" w:line="320" w:lineRule="exact"/>
        <w:rPr>
          <w:rFonts w:ascii="宋体" w:hAnsi="宋体" w:eastAsia="宋体" w:cs="宋体"/>
          <w:b/>
          <w:bCs/>
          <w:sz w:val="24"/>
          <w:szCs w:val="24"/>
        </w:rPr>
      </w:pPr>
      <w:bookmarkStart w:id="35" w:name="_Toc988924"/>
      <w:r>
        <w:rPr>
          <w:rFonts w:ascii="宋体" w:hAnsi="宋体" w:eastAsia="宋体" w:cs="宋体"/>
          <w:b/>
          <w:bCs/>
          <w:sz w:val="24"/>
          <w:szCs w:val="24"/>
        </w:rPr>
        <w:t>九、公司控制的结构化主体情况</w:t>
      </w:r>
      <w:bookmarkEnd w:id="35"/>
    </w:p>
    <w:p w14:paraId="20BEE1A4">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B38FFFD">
      <w:pPr>
        <w:pStyle w:val="2"/>
        <w:spacing w:before="300" w:after="300" w:line="320" w:lineRule="exact"/>
        <w:rPr>
          <w:rFonts w:ascii="Times New Roman" w:hAnsi="Times New Roman" w:cs="Times New Roman"/>
        </w:rPr>
      </w:pPr>
      <w:bookmarkStart w:id="36" w:name="_Toc988925"/>
      <w:r>
        <w:rPr>
          <w:rFonts w:ascii="宋体" w:hAnsi="宋体" w:eastAsia="宋体" w:cs="宋体"/>
          <w:b/>
          <w:bCs/>
          <w:sz w:val="24"/>
          <w:szCs w:val="24"/>
        </w:rPr>
        <w:t>十、公司面临的风险和应对措施</w:t>
      </w:r>
      <w:bookmarkEnd w:id="36"/>
    </w:p>
    <w:p w14:paraId="1708CBF3">
      <w:pPr>
        <w:pStyle w:val="9"/>
        <w:snapToGrid w:val="0"/>
        <w:spacing w:before="156" w:beforeLines="50" w:beforeAutospacing="0" w:after="156" w:afterLines="50" w:afterAutospacing="0"/>
        <w:rPr>
          <w:rFonts w:ascii="Times New Roman" w:hAnsi="Times New Roman" w:cs="Times New Roman"/>
        </w:rPr>
      </w:pPr>
      <w:r>
        <w:rPr>
          <w:rFonts w:hint="eastAsia" w:cs="Times New Roman"/>
          <w:sz w:val="18"/>
          <w:szCs w:val="18"/>
        </w:rPr>
        <w:t>   1. 经营风险</w:t>
      </w:r>
    </w:p>
    <w:p w14:paraId="4784D509">
      <w:pPr>
        <w:pStyle w:val="9"/>
        <w:snapToGrid w:val="0"/>
        <w:spacing w:before="156" w:beforeLines="50" w:beforeAutospacing="0" w:after="156" w:afterLines="50" w:afterAutospacing="0"/>
        <w:ind w:firstLine="360" w:firstLineChars="200"/>
        <w:rPr>
          <w:rFonts w:ascii="Times New Roman" w:hAnsi="Times New Roman" w:cs="Times New Roman"/>
        </w:rPr>
      </w:pPr>
      <w:r>
        <w:rPr>
          <w:rFonts w:hint="eastAsia" w:cs="Times New Roman"/>
          <w:sz w:val="18"/>
          <w:szCs w:val="18"/>
        </w:rPr>
        <w:t>随着啤酒行业的整合发展，消费需求的高端化、差异化、个性化对啤酒企业技术质量管理和产品内在品质提出了更高的要求，行业竞争有可能会进一步加剧。一是随着啤酒行业的整合发展，给公司持续提高市场份额带来一定压力。二是我国啤酒产业品质化消费需求不断升级，啤酒企业面临产品结构调整和迭代升级的压力；三是西藏区域市场内新兴啤酒企业的崛起以及其他啤酒品牌的影响对公司保持区域内主优势地位构成冲击。</w:t>
      </w:r>
    </w:p>
    <w:p w14:paraId="4DED971B">
      <w:pPr>
        <w:pStyle w:val="9"/>
        <w:snapToGrid w:val="0"/>
        <w:spacing w:before="156" w:beforeLines="50" w:beforeAutospacing="0" w:after="156" w:afterLines="50" w:afterAutospacing="0"/>
        <w:ind w:firstLine="360" w:firstLineChars="200"/>
        <w:rPr>
          <w:rFonts w:ascii="Times New Roman" w:hAnsi="Times New Roman" w:cs="Times New Roman"/>
        </w:rPr>
      </w:pPr>
      <w:r>
        <w:rPr>
          <w:rFonts w:hint="eastAsia" w:cs="Times New Roman"/>
          <w:color w:val="000000"/>
          <w:sz w:val="18"/>
          <w:szCs w:val="18"/>
        </w:rPr>
        <w:t>公司将充分利用拉萨啤酒现有品牌优势，抓住国内啤酒消费升级带来的发展机遇，根据消费者需求变化</w:t>
      </w:r>
      <w:r>
        <w:rPr>
          <w:rFonts w:hint="eastAsia" w:cs="Times New Roman"/>
          <w:sz w:val="18"/>
          <w:szCs w:val="18"/>
        </w:rPr>
        <w:t>，研发新产品，促进产品升级转型，满足消费者多元化的市场需求；以市场需求为导向，完善配套生产设施建设，逐步应用智能化生产服务管理，促进产能提升、提高生产效率；进一步强化营销体系建设，逐步构建线上、线下结合的全渠道营销体系规划布局；优化管理体系，提升品牌影响力，促进啤酒主业的稳健发展。</w:t>
      </w:r>
    </w:p>
    <w:p w14:paraId="2ECAC2AC">
      <w:pPr>
        <w:pStyle w:val="9"/>
        <w:snapToGrid w:val="0"/>
        <w:spacing w:before="156" w:beforeLines="50" w:beforeAutospacing="0" w:after="156" w:afterLines="50" w:afterAutospacing="0"/>
        <w:rPr>
          <w:rFonts w:ascii="Times New Roman" w:hAnsi="Times New Roman" w:cs="Times New Roman"/>
        </w:rPr>
      </w:pPr>
      <w:r>
        <w:rPr>
          <w:rFonts w:hint="eastAsia" w:cs="Times New Roman"/>
        </w:rPr>
        <w:t> </w:t>
      </w:r>
      <w:r>
        <w:rPr>
          <w:rFonts w:hint="eastAsia" w:cs="Times New Roman"/>
          <w:sz w:val="18"/>
          <w:szCs w:val="18"/>
        </w:rPr>
        <w:t xml:space="preserve"> 2. 诉讼风险</w:t>
      </w:r>
    </w:p>
    <w:p w14:paraId="339B0E7C">
      <w:pPr>
        <w:pStyle w:val="9"/>
        <w:snapToGrid w:val="0"/>
        <w:spacing w:before="156" w:beforeLines="50" w:beforeAutospacing="0" w:after="156" w:afterLines="50" w:afterAutospacing="0"/>
        <w:ind w:firstLine="360" w:firstLineChars="200"/>
        <w:rPr>
          <w:rFonts w:ascii="Times New Roman" w:hAnsi="Times New Roman" w:cs="Times New Roman"/>
        </w:rPr>
      </w:pPr>
      <w:r>
        <w:rPr>
          <w:rFonts w:hint="eastAsia" w:cs="Times New Roman"/>
          <w:sz w:val="18"/>
          <w:szCs w:val="18"/>
        </w:rPr>
        <w:t>公司自2018年6月陆续爆发了多起诉讼或仲裁（详见本报告第六节“重要事项”之“八、诉讼事项”）。截至本报告披露日，公司5个银行账户被冻结（上述被冻结账户为母公司账户，公司为控股型公司，所涉账户冻结情况未影响公司业务的正常生产经营）；公司持有的西藏拉萨啤酒有限公司、西藏银河商贸有限公司、 苏州华信善达力创投资企业（有限合伙）、四川恒生科技发展有限公司、中诚善达（苏州）资产管理有限公司的股权状态为冻结或者轮候冻结。    截至本报告批准报出日，公司部分案件已作出判决或裁决，其他案件仍在审理过程中。若所涉案件最终判决由公司承担还款义务且又无法向资金实际使用方及其他相关方追回损失，公司持有的控股子公司或联营公司的股权可能被强制执行，公司生产经营、财务状况等将会受到重大影响。2023年7月，债权人达州百益以上市公司不能清偿到期债务为由，向拉萨中院提交了对公司的预重整及重整申请，拉萨中院已决定对公司进行预重整，公司目前处于预重整阶段。</w:t>
      </w:r>
    </w:p>
    <w:p w14:paraId="5E878842">
      <w:pPr>
        <w:pStyle w:val="9"/>
        <w:snapToGrid w:val="0"/>
        <w:spacing w:before="156" w:beforeLines="50" w:beforeAutospacing="0" w:after="156" w:afterLines="50" w:afterAutospacing="0"/>
        <w:rPr>
          <w:rFonts w:ascii="Times New Roman" w:hAnsi="Times New Roman" w:cs="Times New Roman"/>
        </w:rPr>
      </w:pPr>
      <w:r>
        <w:rPr>
          <w:rFonts w:hint="eastAsia" w:cs="Times New Roman"/>
          <w:sz w:val="18"/>
          <w:szCs w:val="18"/>
        </w:rPr>
        <w:t xml:space="preserve">   3. 公司预重整及重整的相关风险 </w:t>
      </w:r>
    </w:p>
    <w:p w14:paraId="10832452">
      <w:pPr>
        <w:pStyle w:val="9"/>
        <w:snapToGrid w:val="0"/>
        <w:spacing w:before="156" w:beforeLines="50" w:beforeAutospacing="0" w:after="156" w:afterLines="50" w:afterAutospacing="0"/>
        <w:ind w:firstLine="360" w:firstLineChars="200"/>
        <w:rPr>
          <w:sz w:val="18"/>
          <w:szCs w:val="18"/>
        </w:rPr>
      </w:pPr>
      <w:r>
        <w:rPr>
          <w:rFonts w:hint="eastAsia" w:ascii="等线" w:hAnsi="等线" w:eastAsia="等线"/>
          <w:sz w:val="18"/>
          <w:szCs w:val="18"/>
        </w:rPr>
        <w:t>2023</w:t>
      </w:r>
      <w:r>
        <w:rPr>
          <w:rFonts w:hint="eastAsia"/>
          <w:sz w:val="18"/>
          <w:szCs w:val="18"/>
        </w:rPr>
        <w:t>年</w:t>
      </w:r>
      <w:r>
        <w:rPr>
          <w:rFonts w:hint="eastAsia" w:ascii="等线" w:hAnsi="等线" w:eastAsia="等线"/>
          <w:sz w:val="18"/>
          <w:szCs w:val="18"/>
        </w:rPr>
        <w:t>7</w:t>
      </w:r>
      <w:r>
        <w:rPr>
          <w:rFonts w:hint="eastAsia"/>
          <w:sz w:val="18"/>
          <w:szCs w:val="18"/>
        </w:rPr>
        <w:t>月，公司债权人达州百益以上市公司不能清偿到期债务为由，向拉萨中院提交了对公司的预重整及重整申请，拉萨中院已决定对公司进行预重整，并指定上海市锦天城律师事务所担任公司预重整临时管理人。截止本报告披露日，公司仍处于预重整阶段，预重整为拉萨中院正式受理重整前的程序，不代表拉萨中院正式受理申请人对公司提出的重整申请，公司是否能进入重整程序尚存在不确定性。如果公司顺利实施重整并执行完毕重整计划，将有利于优化公司资产负债结构，减轻公司债务压力，提升公司的持续经营及盈利能力。但即使法院正式受理重整申请，后续仍然存在因重整失败而被宣告破产并被实施破产清算的风险。预重整期间，公司日常经营管理工作正常开展，公司在积极主动配合法院及临时管理人开展预重整相关工作，履行债务人义务，在平等保护各方合法权益的前提下，积极与各方共同论证解决公司债务问题和未来经营发展问题的方案，全力推动公司重整工作进展。</w:t>
      </w:r>
    </w:p>
    <w:p w14:paraId="12151730">
      <w:pPr>
        <w:pStyle w:val="2"/>
        <w:spacing w:before="300" w:after="300" w:line="320" w:lineRule="exact"/>
        <w:rPr>
          <w:rFonts w:ascii="宋体" w:hAnsi="宋体" w:eastAsia="宋体" w:cs="宋体"/>
          <w:b/>
          <w:bCs/>
          <w:sz w:val="24"/>
          <w:szCs w:val="24"/>
        </w:rPr>
      </w:pPr>
      <w:bookmarkStart w:id="37" w:name="_Toc988926"/>
      <w:r>
        <w:rPr>
          <w:rFonts w:ascii="宋体" w:hAnsi="宋体" w:eastAsia="宋体" w:cs="宋体"/>
          <w:b/>
          <w:bCs/>
          <w:sz w:val="24"/>
          <w:szCs w:val="24"/>
        </w:rPr>
        <w:t>十一、“质量回报双提升”行动方案贯彻落实情况</w:t>
      </w:r>
      <w:bookmarkEnd w:id="37"/>
    </w:p>
    <w:p w14:paraId="4E274528">
      <w:pPr>
        <w:spacing w:before="100" w:after="100" w:line="240" w:lineRule="exact"/>
        <w:rPr>
          <w:rFonts w:ascii="宋体" w:hAnsi="宋体" w:eastAsia="宋体" w:cs="宋体"/>
          <w:sz w:val="18"/>
          <w:szCs w:val="18"/>
        </w:rPr>
      </w:pPr>
      <w:r>
        <w:rPr>
          <w:rFonts w:ascii="宋体" w:hAnsi="宋体" w:eastAsia="宋体" w:cs="宋体"/>
          <w:sz w:val="18"/>
          <w:szCs w:val="18"/>
        </w:rPr>
        <w:t>公司是否披露了“质量回报双提升”行动方案公告。</w:t>
      </w:r>
    </w:p>
    <w:p w14:paraId="5394FCA0">
      <w:pPr>
        <w:spacing w:before="100"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15AC71F3">
      <w:r>
        <w:br w:type="page"/>
      </w:r>
    </w:p>
    <w:p w14:paraId="139C395E">
      <w:pPr>
        <w:pStyle w:val="17"/>
        <w:spacing w:before="340" w:after="330" w:line="773" w:lineRule="exact"/>
        <w:jc w:val="center"/>
        <w:rPr>
          <w:rFonts w:ascii="宋体" w:hAnsi="宋体" w:eastAsia="宋体" w:cs="宋体"/>
          <w:b/>
          <w:bCs/>
          <w:sz w:val="32"/>
          <w:szCs w:val="32"/>
        </w:rPr>
      </w:pPr>
      <w:bookmarkStart w:id="38" w:name="_Toc988927"/>
      <w:r>
        <w:rPr>
          <w:rFonts w:ascii="宋体" w:hAnsi="宋体" w:eastAsia="宋体" w:cs="宋体"/>
          <w:b/>
          <w:bCs/>
          <w:sz w:val="32"/>
          <w:szCs w:val="32"/>
        </w:rPr>
        <w:t>第四节 公司治理</w:t>
      </w:r>
      <w:bookmarkEnd w:id="38"/>
    </w:p>
    <w:p w14:paraId="6B518690">
      <w:pPr>
        <w:pStyle w:val="2"/>
        <w:spacing w:before="300" w:after="300" w:line="320" w:lineRule="exact"/>
        <w:rPr>
          <w:rFonts w:ascii="宋体" w:hAnsi="宋体" w:eastAsia="宋体" w:cs="宋体"/>
          <w:b/>
          <w:bCs/>
          <w:sz w:val="24"/>
          <w:szCs w:val="24"/>
        </w:rPr>
      </w:pPr>
      <w:bookmarkStart w:id="39" w:name="_Toc988928"/>
      <w:r>
        <w:rPr>
          <w:rFonts w:ascii="宋体" w:hAnsi="宋体" w:eastAsia="宋体" w:cs="宋体"/>
          <w:b/>
          <w:bCs/>
          <w:sz w:val="24"/>
          <w:szCs w:val="24"/>
        </w:rPr>
        <w:t>一、报告期内召开的年度股东大会和临时股东大会的有关情况</w:t>
      </w:r>
      <w:bookmarkEnd w:id="39"/>
    </w:p>
    <w:p w14:paraId="31A44417">
      <w:pPr>
        <w:pStyle w:val="3"/>
        <w:spacing w:line="280" w:lineRule="exact"/>
        <w:jc w:val="left"/>
        <w:rPr>
          <w:rFonts w:ascii="宋体" w:hAnsi="宋体" w:cs="宋体"/>
          <w:b/>
          <w:bCs/>
        </w:rPr>
      </w:pPr>
      <w:bookmarkStart w:id="40" w:name="_Toc988929"/>
      <w:r>
        <w:rPr>
          <w:rFonts w:ascii="宋体" w:hAnsi="宋体" w:cs="宋体"/>
          <w:b/>
          <w:bCs/>
        </w:rPr>
        <w:t>1、本报告期股东大会情况</w:t>
      </w:r>
      <w:bookmarkEnd w:id="40"/>
    </w:p>
    <w:tbl>
      <w:tblPr>
        <w:tblStyle w:val="11"/>
        <w:tblW w:w="5000"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62"/>
        <w:gridCol w:w="819"/>
        <w:gridCol w:w="1539"/>
        <w:gridCol w:w="1990"/>
        <w:gridCol w:w="1746"/>
        <w:gridCol w:w="2497"/>
      </w:tblGrid>
      <w:tr w14:paraId="2B398D9F">
        <w:trPr>
          <w:trHeight w:val="240" w:hRule="atLeast"/>
          <w:jc w:val="center"/>
        </w:trPr>
        <w:tc>
          <w:tcPr>
            <w:tcW w:w="640" w:type="pct"/>
            <w:tcBorders>
              <w:top w:val="single" w:color="auto" w:sz="2" w:space="0"/>
              <w:left w:val="single" w:color="auto" w:sz="2" w:space="0"/>
              <w:bottom w:val="single" w:color="auto" w:sz="2" w:space="0"/>
              <w:right w:val="single" w:color="auto" w:sz="2" w:space="0"/>
            </w:tcBorders>
            <w:shd w:val="clear" w:color="auto" w:fill="D3D3D3"/>
            <w:vAlign w:val="center"/>
          </w:tcPr>
          <w:p w14:paraId="05D4F0EA">
            <w:pPr>
              <w:spacing w:before="40" w:after="40" w:line="240" w:lineRule="exact"/>
              <w:jc w:val="center"/>
              <w:rPr>
                <w:rFonts w:ascii="宋体" w:hAnsi="宋体" w:eastAsia="宋体" w:cs="宋体"/>
                <w:sz w:val="18"/>
                <w:szCs w:val="18"/>
              </w:rPr>
            </w:pPr>
            <w:r>
              <w:rPr>
                <w:rFonts w:ascii="宋体" w:hAnsi="宋体" w:eastAsia="宋体" w:cs="宋体"/>
                <w:sz w:val="18"/>
                <w:szCs w:val="18"/>
              </w:rPr>
              <w:t>会议届次</w:t>
            </w:r>
          </w:p>
        </w:tc>
        <w:tc>
          <w:tcPr>
            <w:tcW w:w="415" w:type="pct"/>
            <w:tcBorders>
              <w:top w:val="single" w:color="auto" w:sz="2" w:space="0"/>
              <w:left w:val="single" w:color="auto" w:sz="2" w:space="0"/>
              <w:bottom w:val="single" w:color="auto" w:sz="2" w:space="0"/>
              <w:right w:val="single" w:color="auto" w:sz="2" w:space="0"/>
            </w:tcBorders>
            <w:shd w:val="clear" w:color="auto" w:fill="D3D3D3"/>
            <w:vAlign w:val="center"/>
          </w:tcPr>
          <w:p w14:paraId="552AEA38">
            <w:pPr>
              <w:spacing w:before="40" w:after="40" w:line="240" w:lineRule="exact"/>
              <w:jc w:val="center"/>
              <w:rPr>
                <w:rFonts w:ascii="宋体" w:hAnsi="宋体" w:eastAsia="宋体" w:cs="宋体"/>
                <w:sz w:val="18"/>
                <w:szCs w:val="18"/>
              </w:rPr>
            </w:pPr>
            <w:r>
              <w:rPr>
                <w:rFonts w:ascii="宋体" w:hAnsi="宋体" w:eastAsia="宋体" w:cs="宋体"/>
                <w:sz w:val="18"/>
                <w:szCs w:val="18"/>
              </w:rPr>
              <w:t>会议类型</w:t>
            </w:r>
          </w:p>
        </w:tc>
        <w:tc>
          <w:tcPr>
            <w:tcW w:w="781" w:type="pct"/>
            <w:tcBorders>
              <w:top w:val="single" w:color="auto" w:sz="2" w:space="0"/>
              <w:left w:val="single" w:color="auto" w:sz="2" w:space="0"/>
              <w:bottom w:val="single" w:color="auto" w:sz="2" w:space="0"/>
              <w:right w:val="single" w:color="auto" w:sz="2" w:space="0"/>
            </w:tcBorders>
            <w:shd w:val="clear" w:color="auto" w:fill="D3D3D3"/>
            <w:vAlign w:val="center"/>
          </w:tcPr>
          <w:p w14:paraId="6A683C6F">
            <w:pPr>
              <w:spacing w:before="40" w:after="40" w:line="240" w:lineRule="exact"/>
              <w:jc w:val="center"/>
              <w:rPr>
                <w:rFonts w:ascii="宋体" w:hAnsi="宋体" w:eastAsia="宋体" w:cs="宋体"/>
                <w:sz w:val="18"/>
                <w:szCs w:val="18"/>
              </w:rPr>
            </w:pPr>
            <w:r>
              <w:rPr>
                <w:rFonts w:ascii="宋体" w:hAnsi="宋体" w:eastAsia="宋体" w:cs="宋体"/>
                <w:sz w:val="18"/>
                <w:szCs w:val="18"/>
              </w:rPr>
              <w:t>投资者参与比例</w:t>
            </w:r>
          </w:p>
        </w:tc>
        <w:tc>
          <w:tcPr>
            <w:tcW w:w="1010" w:type="pct"/>
            <w:tcBorders>
              <w:top w:val="single" w:color="auto" w:sz="2" w:space="0"/>
              <w:left w:val="single" w:color="auto" w:sz="2" w:space="0"/>
              <w:bottom w:val="single" w:color="auto" w:sz="2" w:space="0"/>
              <w:right w:val="single" w:color="auto" w:sz="2" w:space="0"/>
            </w:tcBorders>
            <w:shd w:val="clear" w:color="auto" w:fill="D3D3D3"/>
            <w:vAlign w:val="center"/>
          </w:tcPr>
          <w:p w14:paraId="3BE36337">
            <w:pPr>
              <w:spacing w:before="40" w:after="40" w:line="240" w:lineRule="exact"/>
              <w:jc w:val="center"/>
              <w:rPr>
                <w:rFonts w:ascii="宋体" w:hAnsi="宋体" w:eastAsia="宋体" w:cs="宋体"/>
                <w:sz w:val="18"/>
                <w:szCs w:val="18"/>
              </w:rPr>
            </w:pPr>
            <w:r>
              <w:rPr>
                <w:rFonts w:ascii="宋体" w:hAnsi="宋体" w:eastAsia="宋体" w:cs="宋体"/>
                <w:sz w:val="18"/>
                <w:szCs w:val="18"/>
              </w:rPr>
              <w:t>召开日期</w:t>
            </w:r>
          </w:p>
        </w:tc>
        <w:tc>
          <w:tcPr>
            <w:tcW w:w="886" w:type="pct"/>
            <w:tcBorders>
              <w:top w:val="single" w:color="auto" w:sz="2" w:space="0"/>
              <w:left w:val="single" w:color="auto" w:sz="2" w:space="0"/>
              <w:bottom w:val="single" w:color="auto" w:sz="2" w:space="0"/>
              <w:right w:val="single" w:color="auto" w:sz="2" w:space="0"/>
            </w:tcBorders>
            <w:shd w:val="clear" w:color="auto" w:fill="D3D3D3"/>
            <w:vAlign w:val="center"/>
          </w:tcPr>
          <w:p w14:paraId="1D61F63F">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1266" w:type="pct"/>
            <w:tcBorders>
              <w:top w:val="single" w:color="auto" w:sz="2" w:space="0"/>
              <w:left w:val="single" w:color="auto" w:sz="2" w:space="0"/>
              <w:bottom w:val="single" w:color="auto" w:sz="2" w:space="0"/>
              <w:right w:val="single" w:color="auto" w:sz="2" w:space="0"/>
            </w:tcBorders>
            <w:shd w:val="clear" w:color="auto" w:fill="D3D3D3"/>
            <w:vAlign w:val="center"/>
          </w:tcPr>
          <w:p w14:paraId="52308A61">
            <w:pPr>
              <w:spacing w:before="40" w:after="40" w:line="240" w:lineRule="exact"/>
              <w:jc w:val="center"/>
              <w:rPr>
                <w:rFonts w:ascii="宋体" w:hAnsi="宋体" w:eastAsia="宋体" w:cs="宋体"/>
                <w:sz w:val="18"/>
                <w:szCs w:val="18"/>
              </w:rPr>
            </w:pPr>
            <w:r>
              <w:rPr>
                <w:rFonts w:ascii="宋体" w:hAnsi="宋体" w:eastAsia="宋体" w:cs="宋体"/>
                <w:sz w:val="18"/>
                <w:szCs w:val="18"/>
              </w:rPr>
              <w:t>会议决议</w:t>
            </w:r>
          </w:p>
        </w:tc>
      </w:tr>
      <w:tr w14:paraId="50B44548">
        <w:trPr>
          <w:trHeight w:val="240" w:hRule="atLeast"/>
          <w:jc w:val="center"/>
        </w:trPr>
        <w:tc>
          <w:tcPr>
            <w:tcW w:w="640" w:type="pct"/>
            <w:tcBorders>
              <w:top w:val="single" w:color="auto" w:sz="2" w:space="0"/>
              <w:left w:val="single" w:color="auto" w:sz="2" w:space="0"/>
              <w:bottom w:val="single" w:color="auto" w:sz="2" w:space="0"/>
              <w:right w:val="single" w:color="auto" w:sz="2" w:space="0"/>
            </w:tcBorders>
            <w:vAlign w:val="center"/>
          </w:tcPr>
          <w:p w14:paraId="59FAD331">
            <w:pPr>
              <w:spacing w:line="240" w:lineRule="exact"/>
              <w:rPr>
                <w:rFonts w:ascii="宋体" w:hAnsi="宋体" w:eastAsia="宋体" w:cs="宋体"/>
                <w:sz w:val="18"/>
                <w:szCs w:val="18"/>
              </w:rPr>
            </w:pPr>
            <w:r>
              <w:rPr>
                <w:rFonts w:ascii="宋体" w:hAnsi="宋体" w:eastAsia="宋体" w:cs="宋体"/>
                <w:sz w:val="18"/>
                <w:szCs w:val="18"/>
              </w:rPr>
              <w:t>2023年年度股东大会</w:t>
            </w:r>
          </w:p>
        </w:tc>
        <w:tc>
          <w:tcPr>
            <w:tcW w:w="415" w:type="pct"/>
            <w:tcBorders>
              <w:top w:val="single" w:color="auto" w:sz="2" w:space="0"/>
              <w:left w:val="single" w:color="auto" w:sz="2" w:space="0"/>
              <w:bottom w:val="single" w:color="auto" w:sz="2" w:space="0"/>
              <w:right w:val="single" w:color="auto" w:sz="2" w:space="0"/>
            </w:tcBorders>
            <w:vAlign w:val="center"/>
          </w:tcPr>
          <w:p w14:paraId="0684F51E">
            <w:pPr>
              <w:spacing w:line="240" w:lineRule="exact"/>
              <w:rPr>
                <w:rFonts w:ascii="宋体" w:hAnsi="宋体" w:eastAsia="宋体" w:cs="宋体"/>
                <w:sz w:val="18"/>
                <w:szCs w:val="18"/>
              </w:rPr>
            </w:pPr>
            <w:r>
              <w:rPr>
                <w:rFonts w:ascii="宋体" w:hAnsi="宋体" w:eastAsia="宋体" w:cs="宋体"/>
                <w:sz w:val="18"/>
                <w:szCs w:val="18"/>
              </w:rPr>
              <w:t>年度股东大会</w:t>
            </w:r>
          </w:p>
        </w:tc>
        <w:tc>
          <w:tcPr>
            <w:tcW w:w="781" w:type="pct"/>
            <w:tcBorders>
              <w:top w:val="single" w:color="auto" w:sz="2" w:space="0"/>
              <w:left w:val="single" w:color="auto" w:sz="2" w:space="0"/>
              <w:bottom w:val="single" w:color="auto" w:sz="2" w:space="0"/>
              <w:right w:val="single" w:color="auto" w:sz="2" w:space="0"/>
            </w:tcBorders>
            <w:vAlign w:val="center"/>
          </w:tcPr>
          <w:p w14:paraId="35BC2C1B">
            <w:pPr>
              <w:spacing w:line="240" w:lineRule="exact"/>
              <w:jc w:val="right"/>
              <w:rPr>
                <w:rFonts w:ascii="宋体" w:hAnsi="宋体" w:eastAsia="宋体" w:cs="宋体"/>
                <w:sz w:val="18"/>
                <w:szCs w:val="18"/>
              </w:rPr>
            </w:pPr>
            <w:r>
              <w:rPr>
                <w:rFonts w:ascii="宋体" w:hAnsi="宋体" w:eastAsia="宋体" w:cs="宋体"/>
                <w:sz w:val="18"/>
                <w:szCs w:val="18"/>
              </w:rPr>
              <w:t>33.41%</w:t>
            </w:r>
          </w:p>
        </w:tc>
        <w:tc>
          <w:tcPr>
            <w:tcW w:w="1010" w:type="pct"/>
            <w:tcBorders>
              <w:top w:val="single" w:color="auto" w:sz="2" w:space="0"/>
              <w:left w:val="single" w:color="auto" w:sz="2" w:space="0"/>
              <w:bottom w:val="single" w:color="auto" w:sz="2" w:space="0"/>
              <w:right w:val="single" w:color="auto" w:sz="2" w:space="0"/>
            </w:tcBorders>
            <w:vAlign w:val="center"/>
          </w:tcPr>
          <w:p w14:paraId="0EF4E818">
            <w:pPr>
              <w:spacing w:line="240" w:lineRule="exact"/>
              <w:rPr>
                <w:rFonts w:ascii="宋体" w:hAnsi="宋体" w:eastAsia="宋体" w:cs="宋体"/>
                <w:sz w:val="18"/>
                <w:szCs w:val="18"/>
              </w:rPr>
            </w:pPr>
            <w:r>
              <w:rPr>
                <w:rFonts w:ascii="宋体" w:hAnsi="宋体" w:eastAsia="宋体" w:cs="宋体"/>
                <w:sz w:val="18"/>
                <w:szCs w:val="18"/>
              </w:rPr>
              <w:t>2024年06月13日</w:t>
            </w:r>
          </w:p>
        </w:tc>
        <w:tc>
          <w:tcPr>
            <w:tcW w:w="886" w:type="pct"/>
            <w:tcBorders>
              <w:top w:val="single" w:color="auto" w:sz="2" w:space="0"/>
              <w:left w:val="single" w:color="auto" w:sz="2" w:space="0"/>
              <w:bottom w:val="single" w:color="auto" w:sz="2" w:space="0"/>
              <w:right w:val="single" w:color="auto" w:sz="2" w:space="0"/>
            </w:tcBorders>
            <w:vAlign w:val="center"/>
          </w:tcPr>
          <w:p w14:paraId="6478A3DA">
            <w:pPr>
              <w:spacing w:line="240" w:lineRule="exact"/>
              <w:rPr>
                <w:rFonts w:ascii="宋体" w:hAnsi="宋体" w:eastAsia="宋体" w:cs="宋体"/>
                <w:sz w:val="18"/>
                <w:szCs w:val="18"/>
              </w:rPr>
            </w:pPr>
            <w:r>
              <w:rPr>
                <w:rFonts w:ascii="宋体" w:hAnsi="宋体" w:eastAsia="宋体" w:cs="宋体"/>
                <w:sz w:val="18"/>
                <w:szCs w:val="18"/>
              </w:rPr>
              <w:t>2024年06月14日</w:t>
            </w:r>
          </w:p>
        </w:tc>
        <w:tc>
          <w:tcPr>
            <w:tcW w:w="1266" w:type="pct"/>
            <w:tcBorders>
              <w:top w:val="single" w:color="auto" w:sz="2" w:space="0"/>
              <w:left w:val="single" w:color="auto" w:sz="2" w:space="0"/>
              <w:bottom w:val="single" w:color="auto" w:sz="2" w:space="0"/>
              <w:right w:val="single" w:color="auto" w:sz="2" w:space="0"/>
            </w:tcBorders>
            <w:vAlign w:val="center"/>
          </w:tcPr>
          <w:p w14:paraId="0332D8D0">
            <w:pPr>
              <w:spacing w:line="240" w:lineRule="exact"/>
              <w:rPr>
                <w:rFonts w:ascii="宋体" w:hAnsi="宋体" w:eastAsia="宋体" w:cs="宋体"/>
                <w:sz w:val="18"/>
                <w:szCs w:val="18"/>
              </w:rPr>
            </w:pPr>
            <w:r>
              <w:rPr>
                <w:rFonts w:ascii="宋体" w:hAnsi="宋体" w:eastAsia="宋体" w:cs="宋体"/>
                <w:sz w:val="18"/>
                <w:szCs w:val="18"/>
              </w:rPr>
              <w:t>《关于修订&lt;监事会议事规则&gt;的议案》《关于修订&lt;对外担保制度&gt;的议案》《关于制定&lt;对外投资管理办法&gt;的议案》《关于修订&lt;防范控股股东及关联方资金占用管理制度&gt;的议案》《关于修订&lt;关联交易管理制度&gt;的议案》《关于公司未来三年（2024年-2026年）股东回报规划的议案》《关于公司未弥补亏损超过实收股本总额三分之一的议案》《公司关于前期会计差错更正的议案》《2023年度利润分配预案》《2023年度财务决算报告》《2023年年度报告全文及摘要》《2023年度监事会工作报告》《2023年度董事会工作报告》</w:t>
            </w:r>
          </w:p>
        </w:tc>
      </w:tr>
    </w:tbl>
    <w:p w14:paraId="2ED2AAF5">
      <w:pPr>
        <w:pStyle w:val="3"/>
        <w:spacing w:after="100" w:line="280" w:lineRule="exact"/>
        <w:jc w:val="left"/>
        <w:rPr>
          <w:rFonts w:ascii="宋体" w:hAnsi="宋体" w:cs="宋体"/>
          <w:b/>
          <w:bCs/>
        </w:rPr>
      </w:pPr>
      <w:bookmarkStart w:id="41" w:name="_Toc988930"/>
      <w:r>
        <w:rPr>
          <w:rFonts w:ascii="宋体" w:hAnsi="宋体" w:cs="宋体"/>
          <w:b/>
          <w:bCs/>
        </w:rPr>
        <w:t>2、表决权恢复的优先股股东请求召开临时股东大会</w:t>
      </w:r>
      <w:bookmarkEnd w:id="41"/>
    </w:p>
    <w:p w14:paraId="62F554A4">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8BCF709">
      <w:pPr>
        <w:pStyle w:val="2"/>
        <w:spacing w:before="300" w:after="100" w:line="320" w:lineRule="exact"/>
        <w:rPr>
          <w:rFonts w:ascii="宋体" w:hAnsi="宋体" w:eastAsia="宋体" w:cs="宋体"/>
          <w:b/>
          <w:bCs/>
          <w:sz w:val="24"/>
          <w:szCs w:val="24"/>
        </w:rPr>
      </w:pPr>
      <w:bookmarkStart w:id="42" w:name="_Toc988931"/>
      <w:r>
        <w:rPr>
          <w:rFonts w:ascii="宋体" w:hAnsi="宋体" w:eastAsia="宋体" w:cs="宋体"/>
          <w:b/>
          <w:bCs/>
          <w:sz w:val="24"/>
          <w:szCs w:val="24"/>
        </w:rPr>
        <w:t>二、公司董事、监事、高级管理人员变动情况</w:t>
      </w:r>
      <w:bookmarkEnd w:id="42"/>
    </w:p>
    <w:p w14:paraId="045DFDD9">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4E01EC3">
      <w:pPr>
        <w:spacing w:before="40" w:after="100" w:line="240" w:lineRule="exact"/>
        <w:rPr>
          <w:rFonts w:ascii="宋体" w:hAnsi="宋体" w:eastAsia="宋体" w:cs="宋体"/>
          <w:sz w:val="18"/>
          <w:szCs w:val="18"/>
        </w:rPr>
      </w:pPr>
      <w:r>
        <w:rPr>
          <w:rFonts w:ascii="宋体" w:hAnsi="宋体" w:eastAsia="宋体" w:cs="宋体"/>
          <w:sz w:val="18"/>
          <w:szCs w:val="18"/>
        </w:rPr>
        <w:t>公司董事、监事和高级管理人员在报告期没有发生变动，具体可参见2023年年报。</w:t>
      </w:r>
    </w:p>
    <w:p w14:paraId="4508E9C5">
      <w:pPr>
        <w:pStyle w:val="2"/>
        <w:spacing w:before="300" w:after="100" w:line="320" w:lineRule="exact"/>
        <w:rPr>
          <w:rFonts w:ascii="宋体" w:hAnsi="宋体" w:eastAsia="宋体" w:cs="宋体"/>
          <w:b/>
          <w:bCs/>
          <w:sz w:val="24"/>
          <w:szCs w:val="24"/>
        </w:rPr>
      </w:pPr>
      <w:bookmarkStart w:id="43" w:name="_Toc988932"/>
      <w:r>
        <w:rPr>
          <w:rFonts w:ascii="宋体" w:hAnsi="宋体" w:eastAsia="宋体" w:cs="宋体"/>
          <w:b/>
          <w:bCs/>
          <w:sz w:val="24"/>
          <w:szCs w:val="24"/>
        </w:rPr>
        <w:t>三、本报告期利润分配及资本公积金转增股本情况</w:t>
      </w:r>
      <w:bookmarkEnd w:id="43"/>
    </w:p>
    <w:p w14:paraId="01FCF69F">
      <w:pPr>
        <w:spacing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08DF33F">
      <w:pPr>
        <w:spacing w:before="40" w:after="100" w:line="240" w:lineRule="exact"/>
        <w:rPr>
          <w:rFonts w:ascii="宋体" w:hAnsi="宋体" w:eastAsia="宋体" w:cs="宋体"/>
          <w:sz w:val="18"/>
          <w:szCs w:val="18"/>
        </w:rPr>
      </w:pPr>
      <w:r>
        <w:rPr>
          <w:rFonts w:ascii="宋体" w:hAnsi="宋体" w:eastAsia="宋体" w:cs="宋体"/>
          <w:sz w:val="18"/>
          <w:szCs w:val="18"/>
        </w:rPr>
        <w:t>公司计划半年度不派发现金红利，不送红股，不以公积金转增股本。</w:t>
      </w:r>
    </w:p>
    <w:p w14:paraId="40B9AEA7">
      <w:pPr>
        <w:pStyle w:val="2"/>
        <w:spacing w:before="300" w:after="100" w:line="320" w:lineRule="exact"/>
        <w:rPr>
          <w:rFonts w:ascii="宋体" w:hAnsi="宋体" w:eastAsia="宋体" w:cs="宋体"/>
          <w:b/>
          <w:bCs/>
          <w:sz w:val="24"/>
          <w:szCs w:val="24"/>
        </w:rPr>
      </w:pPr>
      <w:bookmarkStart w:id="44" w:name="_Toc988933"/>
      <w:r>
        <w:rPr>
          <w:rFonts w:ascii="宋体" w:hAnsi="宋体" w:eastAsia="宋体" w:cs="宋体"/>
          <w:b/>
          <w:bCs/>
          <w:sz w:val="24"/>
          <w:szCs w:val="24"/>
        </w:rPr>
        <w:t>四、公司股权激励计划、员工持股计划或其他员工激励措施的实施情况</w:t>
      </w:r>
      <w:bookmarkEnd w:id="44"/>
    </w:p>
    <w:p w14:paraId="2E6E0354">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D826C01">
      <w:pPr>
        <w:spacing w:before="40" w:after="100" w:line="240" w:lineRule="exact"/>
        <w:rPr>
          <w:rFonts w:ascii="宋体" w:hAnsi="宋体" w:eastAsia="宋体" w:cs="宋体"/>
          <w:sz w:val="18"/>
          <w:szCs w:val="18"/>
        </w:rPr>
      </w:pPr>
      <w:r>
        <w:rPr>
          <w:rFonts w:ascii="宋体" w:hAnsi="宋体" w:eastAsia="宋体" w:cs="宋体"/>
          <w:sz w:val="18"/>
          <w:szCs w:val="18"/>
        </w:rPr>
        <w:t>公司报告期无股权激励计划、员工持股计划或其他员工激励措施及其实施情况。</w:t>
      </w:r>
    </w:p>
    <w:p w14:paraId="1F764EF0">
      <w:pPr>
        <w:spacing w:after="100"/>
      </w:pPr>
      <w:r>
        <w:br w:type="page"/>
      </w:r>
    </w:p>
    <w:p w14:paraId="18BF083C">
      <w:pPr>
        <w:pStyle w:val="17"/>
        <w:spacing w:before="340" w:after="330" w:line="773" w:lineRule="exact"/>
        <w:jc w:val="center"/>
        <w:rPr>
          <w:rFonts w:ascii="宋体" w:hAnsi="宋体" w:eastAsia="宋体" w:cs="宋体"/>
          <w:b/>
          <w:bCs/>
          <w:sz w:val="32"/>
          <w:szCs w:val="32"/>
        </w:rPr>
      </w:pPr>
      <w:bookmarkStart w:id="45" w:name="_Toc988934"/>
      <w:r>
        <w:rPr>
          <w:rFonts w:ascii="宋体" w:hAnsi="宋体" w:eastAsia="宋体" w:cs="宋体"/>
          <w:b/>
          <w:bCs/>
          <w:sz w:val="32"/>
          <w:szCs w:val="32"/>
        </w:rPr>
        <w:t>第五节 环境和社会责任</w:t>
      </w:r>
      <w:bookmarkEnd w:id="45"/>
    </w:p>
    <w:p w14:paraId="73AB9E5D">
      <w:pPr>
        <w:pStyle w:val="2"/>
        <w:spacing w:before="300" w:after="300" w:line="320" w:lineRule="exact"/>
        <w:rPr>
          <w:rFonts w:ascii="宋体" w:hAnsi="宋体" w:eastAsia="宋体" w:cs="宋体"/>
          <w:b/>
          <w:bCs/>
          <w:sz w:val="24"/>
          <w:szCs w:val="24"/>
        </w:rPr>
      </w:pPr>
      <w:bookmarkStart w:id="46" w:name="_Toc988935"/>
      <w:r>
        <w:rPr>
          <w:rFonts w:ascii="宋体" w:hAnsi="宋体" w:eastAsia="宋体" w:cs="宋体"/>
          <w:b/>
          <w:bCs/>
          <w:sz w:val="24"/>
          <w:szCs w:val="24"/>
        </w:rPr>
        <w:t>一、重大环保问题情况</w:t>
      </w:r>
      <w:bookmarkEnd w:id="46"/>
    </w:p>
    <w:p w14:paraId="19E75B4F">
      <w:pPr>
        <w:spacing w:before="40" w:after="40" w:line="240" w:lineRule="exact"/>
        <w:rPr>
          <w:rFonts w:ascii="宋体" w:hAnsi="宋体" w:eastAsia="宋体" w:cs="宋体"/>
          <w:sz w:val="18"/>
          <w:szCs w:val="18"/>
        </w:rPr>
      </w:pPr>
      <w:r>
        <w:rPr>
          <w:rFonts w:ascii="宋体" w:hAnsi="宋体" w:eastAsia="宋体" w:cs="宋体"/>
          <w:sz w:val="18"/>
          <w:szCs w:val="18"/>
        </w:rPr>
        <w:t>上市公司及其子公司是否属于环境保护部门公布的重点排污单位</w:t>
      </w:r>
    </w:p>
    <w:p w14:paraId="5BA6B38C">
      <w:pPr>
        <w:spacing w:before="40" w:after="4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2542F780">
      <w:pPr>
        <w:spacing w:before="100" w:after="100" w:line="240" w:lineRule="exact"/>
        <w:rPr>
          <w:rFonts w:ascii="宋体" w:hAnsi="宋体" w:eastAsia="宋体" w:cs="宋体"/>
          <w:sz w:val="18"/>
          <w:szCs w:val="18"/>
        </w:rPr>
      </w:pPr>
      <w:r>
        <w:rPr>
          <w:rFonts w:ascii="宋体" w:hAnsi="宋体" w:eastAsia="宋体" w:cs="宋体"/>
          <w:sz w:val="18"/>
          <w:szCs w:val="18"/>
        </w:rPr>
        <w:t>环境保护相关政策和行业标准</w:t>
      </w:r>
    </w:p>
    <w:p w14:paraId="151DA3B9">
      <w:pPr>
        <w:pStyle w:val="9"/>
        <w:spacing w:beforeAutospacing="0" w:after="20" w:afterAutospacing="0" w:line="240" w:lineRule="atLeast"/>
        <w:ind w:firstLine="360" w:firstLineChars="200"/>
        <w:rPr>
          <w:rFonts w:cs="Times New Roman"/>
          <w:sz w:val="18"/>
          <w:szCs w:val="18"/>
        </w:rPr>
      </w:pPr>
      <w:r>
        <w:rPr>
          <w:rFonts w:hint="eastAsia" w:cs="Times New Roman"/>
          <w:sz w:val="18"/>
          <w:szCs w:val="18"/>
        </w:rPr>
        <w:t>废水污染物执行标准：GB19821-2005</w:t>
      </w:r>
    </w:p>
    <w:p w14:paraId="0C409953">
      <w:pPr>
        <w:spacing w:before="100" w:after="20" w:line="240" w:lineRule="exact"/>
        <w:rPr>
          <w:rFonts w:ascii="宋体" w:hAnsi="宋体" w:eastAsia="宋体" w:cs="宋体"/>
          <w:sz w:val="18"/>
          <w:szCs w:val="18"/>
        </w:rPr>
      </w:pPr>
      <w:r>
        <w:rPr>
          <w:rFonts w:ascii="宋体" w:hAnsi="宋体" w:eastAsia="宋体" w:cs="宋体"/>
          <w:sz w:val="18"/>
          <w:szCs w:val="18"/>
        </w:rPr>
        <w:t>环境保护行政许可情况</w:t>
      </w:r>
    </w:p>
    <w:p w14:paraId="2546CEBC">
      <w:pPr>
        <w:pStyle w:val="9"/>
        <w:spacing w:before="20" w:beforeAutospacing="0" w:after="20" w:afterAutospacing="0"/>
        <w:ind w:firstLine="360"/>
        <w:rPr>
          <w:rFonts w:ascii="Times New Roman" w:hAnsi="Times New Roman" w:cs="Times New Roman"/>
        </w:rPr>
      </w:pPr>
      <w:r>
        <w:rPr>
          <w:rFonts w:hint="eastAsia" w:cs="Times New Roman"/>
          <w:sz w:val="18"/>
          <w:szCs w:val="18"/>
        </w:rPr>
        <w:t>公司子公司通过西藏自治区拉萨市人民政府及拉萨市城关区人民政府西藏拉萨啤酒有限公司酿成15万吨啤酒现状环境影响评估 ，现状备案编号CG-0001；排污许可证：91540000741911266X001V。</w:t>
      </w:r>
    </w:p>
    <w:p w14:paraId="2875C403">
      <w:pPr>
        <w:spacing w:before="20" w:after="20" w:line="240" w:lineRule="exact"/>
        <w:ind w:firstLine="360" w:firstLineChars="200"/>
        <w:rPr>
          <w:rFonts w:ascii="宋体" w:hAnsi="宋体" w:eastAsia="宋体" w:cs="宋体"/>
          <w:sz w:val="18"/>
          <w:szCs w:val="18"/>
        </w:rPr>
      </w:pPr>
      <w:r>
        <w:rPr>
          <w:rFonts w:ascii="宋体" w:hAnsi="宋体" w:eastAsia="宋体" w:cs="宋体"/>
          <w:sz w:val="18"/>
          <w:szCs w:val="18"/>
        </w:rPr>
        <w:t>行业排放标准及生产经营活动中涉及的污染物排放的具体情况</w:t>
      </w:r>
    </w:p>
    <w:tbl>
      <w:tblPr>
        <w:tblStyle w:val="11"/>
        <w:tblW w:w="985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6"/>
        <w:gridCol w:w="813"/>
        <w:gridCol w:w="900"/>
        <w:gridCol w:w="700"/>
        <w:gridCol w:w="612"/>
        <w:gridCol w:w="763"/>
        <w:gridCol w:w="1137"/>
        <w:gridCol w:w="1300"/>
        <w:gridCol w:w="1425"/>
        <w:gridCol w:w="900"/>
        <w:gridCol w:w="612"/>
      </w:tblGrid>
      <w:tr w14:paraId="111676DA">
        <w:trPr>
          <w:trHeight w:val="1288" w:hRule="atLeast"/>
          <w:jc w:val="center"/>
        </w:trPr>
        <w:tc>
          <w:tcPr>
            <w:tcW w:w="696" w:type="dxa"/>
            <w:tcBorders>
              <w:top w:val="single" w:color="auto" w:sz="2" w:space="0"/>
              <w:left w:val="single" w:color="auto" w:sz="2" w:space="0"/>
              <w:bottom w:val="single" w:color="auto" w:sz="2" w:space="0"/>
              <w:right w:val="single" w:color="auto" w:sz="2" w:space="0"/>
            </w:tcBorders>
            <w:shd w:val="clear" w:color="auto" w:fill="D3D3D3"/>
            <w:vAlign w:val="center"/>
          </w:tcPr>
          <w:p w14:paraId="48ED6608">
            <w:pPr>
              <w:spacing w:before="40" w:after="40" w:line="240" w:lineRule="exact"/>
              <w:jc w:val="center"/>
              <w:rPr>
                <w:rFonts w:ascii="宋体" w:hAnsi="宋体" w:eastAsia="宋体" w:cs="宋体"/>
                <w:sz w:val="18"/>
                <w:szCs w:val="18"/>
              </w:rPr>
            </w:pPr>
            <w:r>
              <w:rPr>
                <w:rFonts w:ascii="宋体" w:hAnsi="宋体" w:eastAsia="宋体" w:cs="宋体"/>
                <w:sz w:val="18"/>
                <w:szCs w:val="18"/>
              </w:rPr>
              <w:t>公司或子公司名称</w:t>
            </w:r>
          </w:p>
        </w:tc>
        <w:tc>
          <w:tcPr>
            <w:tcW w:w="813" w:type="dxa"/>
            <w:tcBorders>
              <w:top w:val="single" w:color="auto" w:sz="2" w:space="0"/>
              <w:left w:val="single" w:color="auto" w:sz="2" w:space="0"/>
              <w:bottom w:val="single" w:color="auto" w:sz="2" w:space="0"/>
              <w:right w:val="single" w:color="auto" w:sz="2" w:space="0"/>
            </w:tcBorders>
            <w:shd w:val="clear" w:color="auto" w:fill="D3D3D3"/>
            <w:vAlign w:val="center"/>
          </w:tcPr>
          <w:p w14:paraId="56700A8F">
            <w:pPr>
              <w:spacing w:before="40" w:after="40" w:line="240" w:lineRule="exact"/>
              <w:jc w:val="center"/>
              <w:rPr>
                <w:rFonts w:ascii="宋体" w:hAnsi="宋体" w:eastAsia="宋体" w:cs="宋体"/>
                <w:sz w:val="18"/>
                <w:szCs w:val="18"/>
              </w:rPr>
            </w:pPr>
            <w:r>
              <w:rPr>
                <w:rFonts w:ascii="宋体" w:hAnsi="宋体" w:eastAsia="宋体" w:cs="宋体"/>
                <w:sz w:val="18"/>
                <w:szCs w:val="18"/>
              </w:rPr>
              <w:t>主要污染物及特征污染物的种类</w:t>
            </w:r>
          </w:p>
        </w:tc>
        <w:tc>
          <w:tcPr>
            <w:tcW w:w="900" w:type="dxa"/>
            <w:tcBorders>
              <w:top w:val="single" w:color="auto" w:sz="2" w:space="0"/>
              <w:left w:val="single" w:color="auto" w:sz="2" w:space="0"/>
              <w:bottom w:val="single" w:color="auto" w:sz="2" w:space="0"/>
              <w:right w:val="single" w:color="auto" w:sz="2" w:space="0"/>
            </w:tcBorders>
            <w:shd w:val="clear" w:color="auto" w:fill="D3D3D3"/>
            <w:vAlign w:val="center"/>
          </w:tcPr>
          <w:p w14:paraId="2351FEFF">
            <w:pPr>
              <w:spacing w:before="40" w:after="40" w:line="240" w:lineRule="exact"/>
              <w:jc w:val="center"/>
              <w:rPr>
                <w:rFonts w:ascii="宋体" w:hAnsi="宋体" w:eastAsia="宋体" w:cs="宋体"/>
                <w:sz w:val="18"/>
                <w:szCs w:val="18"/>
              </w:rPr>
            </w:pPr>
            <w:r>
              <w:rPr>
                <w:rFonts w:ascii="宋体" w:hAnsi="宋体" w:eastAsia="宋体" w:cs="宋体"/>
                <w:sz w:val="18"/>
                <w:szCs w:val="18"/>
              </w:rPr>
              <w:t>主要污染物及特征污染物的名称</w:t>
            </w:r>
          </w:p>
        </w:tc>
        <w:tc>
          <w:tcPr>
            <w:tcW w:w="700" w:type="dxa"/>
            <w:tcBorders>
              <w:top w:val="single" w:color="auto" w:sz="2" w:space="0"/>
              <w:left w:val="single" w:color="auto" w:sz="2" w:space="0"/>
              <w:bottom w:val="single" w:color="auto" w:sz="2" w:space="0"/>
              <w:right w:val="single" w:color="auto" w:sz="2" w:space="0"/>
            </w:tcBorders>
            <w:shd w:val="clear" w:color="auto" w:fill="D3D3D3"/>
            <w:vAlign w:val="center"/>
          </w:tcPr>
          <w:p w14:paraId="1BB03775">
            <w:pPr>
              <w:spacing w:before="40" w:after="40" w:line="240" w:lineRule="exact"/>
              <w:jc w:val="center"/>
              <w:rPr>
                <w:rFonts w:ascii="宋体" w:hAnsi="宋体" w:eastAsia="宋体" w:cs="宋体"/>
                <w:sz w:val="18"/>
                <w:szCs w:val="18"/>
              </w:rPr>
            </w:pPr>
            <w:r>
              <w:rPr>
                <w:rFonts w:ascii="宋体" w:hAnsi="宋体" w:eastAsia="宋体" w:cs="宋体"/>
                <w:sz w:val="18"/>
                <w:szCs w:val="18"/>
              </w:rPr>
              <w:t>排放方式</w:t>
            </w:r>
          </w:p>
        </w:tc>
        <w:tc>
          <w:tcPr>
            <w:tcW w:w="612" w:type="dxa"/>
            <w:tcBorders>
              <w:top w:val="single" w:color="auto" w:sz="2" w:space="0"/>
              <w:left w:val="single" w:color="auto" w:sz="2" w:space="0"/>
              <w:bottom w:val="single" w:color="auto" w:sz="2" w:space="0"/>
              <w:right w:val="single" w:color="auto" w:sz="2" w:space="0"/>
            </w:tcBorders>
            <w:shd w:val="clear" w:color="auto" w:fill="D3D3D3"/>
            <w:vAlign w:val="center"/>
          </w:tcPr>
          <w:p w14:paraId="524C4D88">
            <w:pPr>
              <w:spacing w:before="40" w:after="40" w:line="240" w:lineRule="exact"/>
              <w:jc w:val="center"/>
              <w:rPr>
                <w:rFonts w:ascii="宋体" w:hAnsi="宋体" w:eastAsia="宋体" w:cs="宋体"/>
                <w:sz w:val="18"/>
                <w:szCs w:val="18"/>
              </w:rPr>
            </w:pPr>
            <w:r>
              <w:rPr>
                <w:rFonts w:ascii="宋体" w:hAnsi="宋体" w:eastAsia="宋体" w:cs="宋体"/>
                <w:sz w:val="18"/>
                <w:szCs w:val="18"/>
              </w:rPr>
              <w:t>排放口数量</w:t>
            </w:r>
          </w:p>
        </w:tc>
        <w:tc>
          <w:tcPr>
            <w:tcW w:w="763" w:type="dxa"/>
            <w:tcBorders>
              <w:top w:val="single" w:color="auto" w:sz="2" w:space="0"/>
              <w:left w:val="single" w:color="auto" w:sz="2" w:space="0"/>
              <w:bottom w:val="single" w:color="auto" w:sz="2" w:space="0"/>
              <w:right w:val="single" w:color="auto" w:sz="2" w:space="0"/>
            </w:tcBorders>
            <w:shd w:val="clear" w:color="auto" w:fill="D3D3D3"/>
            <w:vAlign w:val="center"/>
          </w:tcPr>
          <w:p w14:paraId="544745ED">
            <w:pPr>
              <w:spacing w:before="40" w:after="40" w:line="240" w:lineRule="exact"/>
              <w:jc w:val="center"/>
              <w:rPr>
                <w:rFonts w:ascii="宋体" w:hAnsi="宋体" w:eastAsia="宋体" w:cs="宋体"/>
                <w:sz w:val="18"/>
                <w:szCs w:val="18"/>
              </w:rPr>
            </w:pPr>
            <w:r>
              <w:rPr>
                <w:rFonts w:ascii="宋体" w:hAnsi="宋体" w:eastAsia="宋体" w:cs="宋体"/>
                <w:sz w:val="18"/>
                <w:szCs w:val="18"/>
              </w:rPr>
              <w:t>排放口分布情况</w:t>
            </w:r>
          </w:p>
        </w:tc>
        <w:tc>
          <w:tcPr>
            <w:tcW w:w="1137" w:type="dxa"/>
            <w:tcBorders>
              <w:top w:val="single" w:color="auto" w:sz="2" w:space="0"/>
              <w:left w:val="single" w:color="auto" w:sz="2" w:space="0"/>
              <w:bottom w:val="single" w:color="auto" w:sz="2" w:space="0"/>
              <w:right w:val="single" w:color="auto" w:sz="2" w:space="0"/>
            </w:tcBorders>
            <w:shd w:val="clear" w:color="auto" w:fill="D3D3D3"/>
            <w:vAlign w:val="center"/>
          </w:tcPr>
          <w:p w14:paraId="4D52880A">
            <w:pPr>
              <w:spacing w:before="40" w:after="40" w:line="240" w:lineRule="exact"/>
              <w:jc w:val="center"/>
              <w:rPr>
                <w:rFonts w:ascii="宋体" w:hAnsi="宋体" w:eastAsia="宋体" w:cs="宋体"/>
                <w:sz w:val="18"/>
                <w:szCs w:val="18"/>
              </w:rPr>
            </w:pPr>
            <w:r>
              <w:rPr>
                <w:rFonts w:ascii="宋体" w:hAnsi="宋体" w:eastAsia="宋体" w:cs="宋体"/>
                <w:sz w:val="18"/>
                <w:szCs w:val="18"/>
              </w:rPr>
              <w:t>排放浓度/强度</w:t>
            </w:r>
          </w:p>
        </w:tc>
        <w:tc>
          <w:tcPr>
            <w:tcW w:w="1300" w:type="dxa"/>
            <w:tcBorders>
              <w:top w:val="single" w:color="auto" w:sz="2" w:space="0"/>
              <w:left w:val="single" w:color="auto" w:sz="2" w:space="0"/>
              <w:bottom w:val="single" w:color="auto" w:sz="2" w:space="0"/>
              <w:right w:val="single" w:color="auto" w:sz="2" w:space="0"/>
            </w:tcBorders>
            <w:shd w:val="clear" w:color="auto" w:fill="D3D3D3"/>
            <w:vAlign w:val="center"/>
          </w:tcPr>
          <w:p w14:paraId="7239B388">
            <w:pPr>
              <w:spacing w:before="40" w:after="40" w:line="240" w:lineRule="exact"/>
              <w:jc w:val="center"/>
              <w:rPr>
                <w:rFonts w:ascii="宋体" w:hAnsi="宋体" w:eastAsia="宋体" w:cs="宋体"/>
                <w:sz w:val="18"/>
                <w:szCs w:val="18"/>
              </w:rPr>
            </w:pPr>
            <w:r>
              <w:rPr>
                <w:rFonts w:ascii="宋体" w:hAnsi="宋体" w:eastAsia="宋体" w:cs="宋体"/>
                <w:sz w:val="18"/>
                <w:szCs w:val="18"/>
              </w:rPr>
              <w:t>执行的污染物排放标准</w:t>
            </w:r>
          </w:p>
        </w:tc>
        <w:tc>
          <w:tcPr>
            <w:tcW w:w="1425" w:type="dxa"/>
            <w:tcBorders>
              <w:top w:val="single" w:color="auto" w:sz="2" w:space="0"/>
              <w:left w:val="single" w:color="auto" w:sz="2" w:space="0"/>
              <w:bottom w:val="single" w:color="auto" w:sz="2" w:space="0"/>
              <w:right w:val="single" w:color="auto" w:sz="2" w:space="0"/>
            </w:tcBorders>
            <w:shd w:val="clear" w:color="auto" w:fill="D3D3D3"/>
            <w:vAlign w:val="center"/>
          </w:tcPr>
          <w:p w14:paraId="2AA968AF">
            <w:pPr>
              <w:spacing w:before="40" w:after="40" w:line="240" w:lineRule="exact"/>
              <w:jc w:val="center"/>
              <w:rPr>
                <w:rFonts w:ascii="宋体" w:hAnsi="宋体" w:eastAsia="宋体" w:cs="宋体"/>
                <w:sz w:val="18"/>
                <w:szCs w:val="18"/>
              </w:rPr>
            </w:pPr>
            <w:r>
              <w:rPr>
                <w:rFonts w:ascii="宋体" w:hAnsi="宋体" w:eastAsia="宋体" w:cs="宋体"/>
                <w:sz w:val="18"/>
                <w:szCs w:val="18"/>
              </w:rPr>
              <w:t>排放总量</w:t>
            </w:r>
          </w:p>
        </w:tc>
        <w:tc>
          <w:tcPr>
            <w:tcW w:w="900" w:type="dxa"/>
            <w:tcBorders>
              <w:top w:val="single" w:color="auto" w:sz="2" w:space="0"/>
              <w:left w:val="single" w:color="auto" w:sz="2" w:space="0"/>
              <w:bottom w:val="single" w:color="auto" w:sz="2" w:space="0"/>
              <w:right w:val="single" w:color="auto" w:sz="2" w:space="0"/>
            </w:tcBorders>
            <w:shd w:val="clear" w:color="auto" w:fill="D3D3D3"/>
            <w:vAlign w:val="center"/>
          </w:tcPr>
          <w:p w14:paraId="4021DA37">
            <w:pPr>
              <w:spacing w:before="40" w:after="40" w:line="240" w:lineRule="exact"/>
              <w:jc w:val="center"/>
              <w:rPr>
                <w:rFonts w:ascii="宋体" w:hAnsi="宋体" w:eastAsia="宋体" w:cs="宋体"/>
                <w:sz w:val="18"/>
                <w:szCs w:val="18"/>
              </w:rPr>
            </w:pPr>
            <w:r>
              <w:rPr>
                <w:rFonts w:ascii="宋体" w:hAnsi="宋体" w:eastAsia="宋体" w:cs="宋体"/>
                <w:sz w:val="18"/>
                <w:szCs w:val="18"/>
              </w:rPr>
              <w:t>核定的排放总量</w:t>
            </w:r>
          </w:p>
        </w:tc>
        <w:tc>
          <w:tcPr>
            <w:tcW w:w="612" w:type="dxa"/>
            <w:tcBorders>
              <w:top w:val="single" w:color="auto" w:sz="2" w:space="0"/>
              <w:left w:val="single" w:color="auto" w:sz="2" w:space="0"/>
              <w:bottom w:val="single" w:color="auto" w:sz="2" w:space="0"/>
              <w:right w:val="single" w:color="auto" w:sz="2" w:space="0"/>
            </w:tcBorders>
            <w:shd w:val="clear" w:color="auto" w:fill="D3D3D3"/>
            <w:vAlign w:val="center"/>
          </w:tcPr>
          <w:p w14:paraId="6DBD453F">
            <w:pPr>
              <w:spacing w:before="40" w:after="40" w:line="240" w:lineRule="exact"/>
              <w:jc w:val="center"/>
              <w:rPr>
                <w:rFonts w:ascii="宋体" w:hAnsi="宋体" w:eastAsia="宋体" w:cs="宋体"/>
                <w:sz w:val="18"/>
                <w:szCs w:val="18"/>
              </w:rPr>
            </w:pPr>
            <w:r>
              <w:rPr>
                <w:rFonts w:ascii="宋体" w:hAnsi="宋体" w:eastAsia="宋体" w:cs="宋体"/>
                <w:sz w:val="18"/>
                <w:szCs w:val="18"/>
              </w:rPr>
              <w:t>超标排放情况</w:t>
            </w:r>
          </w:p>
        </w:tc>
      </w:tr>
      <w:tr w14:paraId="1D880AD2">
        <w:trPr>
          <w:trHeight w:val="2973" w:hRule="atLeast"/>
          <w:jc w:val="center"/>
        </w:trPr>
        <w:tc>
          <w:tcPr>
            <w:tcW w:w="696" w:type="dxa"/>
            <w:tcBorders>
              <w:top w:val="single" w:color="auto" w:sz="2" w:space="0"/>
              <w:left w:val="single" w:color="auto" w:sz="2" w:space="0"/>
              <w:bottom w:val="single" w:color="auto" w:sz="2" w:space="0"/>
              <w:right w:val="single" w:color="auto" w:sz="2" w:space="0"/>
            </w:tcBorders>
            <w:vAlign w:val="center"/>
          </w:tcPr>
          <w:p w14:paraId="25DA5181">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c>
          <w:tcPr>
            <w:tcW w:w="813" w:type="dxa"/>
            <w:tcBorders>
              <w:top w:val="single" w:color="auto" w:sz="2" w:space="0"/>
              <w:left w:val="single" w:color="auto" w:sz="2" w:space="0"/>
              <w:bottom w:val="single" w:color="auto" w:sz="2" w:space="0"/>
              <w:right w:val="single" w:color="auto" w:sz="2" w:space="0"/>
            </w:tcBorders>
            <w:vAlign w:val="center"/>
          </w:tcPr>
          <w:p w14:paraId="43758034">
            <w:pPr>
              <w:spacing w:line="240" w:lineRule="exact"/>
              <w:rPr>
                <w:rFonts w:ascii="宋体" w:hAnsi="宋体" w:eastAsia="宋体" w:cs="宋体"/>
                <w:sz w:val="18"/>
                <w:szCs w:val="18"/>
              </w:rPr>
            </w:pPr>
            <w:r>
              <w:rPr>
                <w:rFonts w:ascii="宋体" w:hAnsi="宋体" w:eastAsia="宋体" w:cs="宋体"/>
                <w:sz w:val="18"/>
                <w:szCs w:val="18"/>
              </w:rPr>
              <w:t>废水</w:t>
            </w:r>
          </w:p>
        </w:tc>
        <w:tc>
          <w:tcPr>
            <w:tcW w:w="900" w:type="dxa"/>
            <w:tcBorders>
              <w:top w:val="single" w:color="auto" w:sz="2" w:space="0"/>
              <w:left w:val="single" w:color="auto" w:sz="2" w:space="0"/>
              <w:bottom w:val="single" w:color="auto" w:sz="2" w:space="0"/>
              <w:right w:val="single" w:color="auto" w:sz="2" w:space="0"/>
            </w:tcBorders>
            <w:vAlign w:val="center"/>
          </w:tcPr>
          <w:p w14:paraId="0DC42987">
            <w:pPr>
              <w:spacing w:line="240" w:lineRule="exact"/>
              <w:rPr>
                <w:rFonts w:ascii="宋体" w:hAnsi="宋体" w:eastAsia="宋体" w:cs="宋体"/>
                <w:sz w:val="18"/>
                <w:szCs w:val="18"/>
              </w:rPr>
            </w:pPr>
            <w:r>
              <w:rPr>
                <w:rFonts w:ascii="宋体" w:hAnsi="宋体" w:eastAsia="宋体" w:cs="宋体"/>
                <w:sz w:val="18"/>
                <w:szCs w:val="18"/>
              </w:rPr>
              <w:t>废水：</w:t>
            </w:r>
            <w:r>
              <w:rPr>
                <w:rFonts w:hint="eastAsia" w:ascii="宋体" w:hAnsi="宋体" w:eastAsia="宋体" w:cs="宋体"/>
                <w:sz w:val="18"/>
                <w:szCs w:val="18"/>
              </w:rPr>
              <w:t>总氮、总磷、PH值、生化需氧量、化学需氧量、悬浮物、氨氮</w:t>
            </w:r>
          </w:p>
        </w:tc>
        <w:tc>
          <w:tcPr>
            <w:tcW w:w="700" w:type="dxa"/>
            <w:tcBorders>
              <w:top w:val="single" w:color="auto" w:sz="2" w:space="0"/>
              <w:left w:val="single" w:color="auto" w:sz="2" w:space="0"/>
              <w:bottom w:val="single" w:color="auto" w:sz="2" w:space="0"/>
              <w:right w:val="single" w:color="auto" w:sz="2" w:space="0"/>
            </w:tcBorders>
            <w:vAlign w:val="center"/>
          </w:tcPr>
          <w:p w14:paraId="3979E354">
            <w:pPr>
              <w:spacing w:line="240" w:lineRule="exact"/>
              <w:rPr>
                <w:rFonts w:ascii="宋体" w:hAnsi="宋体" w:eastAsia="宋体" w:cs="宋体"/>
                <w:sz w:val="18"/>
                <w:szCs w:val="18"/>
              </w:rPr>
            </w:pPr>
            <w:r>
              <w:rPr>
                <w:rFonts w:ascii="宋体" w:hAnsi="宋体" w:eastAsia="宋体" w:cs="宋体"/>
                <w:sz w:val="18"/>
                <w:szCs w:val="18"/>
              </w:rPr>
              <w:t>间断</w:t>
            </w:r>
          </w:p>
        </w:tc>
        <w:tc>
          <w:tcPr>
            <w:tcW w:w="612" w:type="dxa"/>
            <w:tcBorders>
              <w:top w:val="single" w:color="auto" w:sz="2" w:space="0"/>
              <w:left w:val="single" w:color="auto" w:sz="2" w:space="0"/>
              <w:bottom w:val="single" w:color="auto" w:sz="2" w:space="0"/>
              <w:right w:val="single" w:color="auto" w:sz="2" w:space="0"/>
            </w:tcBorders>
            <w:vAlign w:val="center"/>
          </w:tcPr>
          <w:p w14:paraId="1412EBB4">
            <w:pPr>
              <w:spacing w:line="240" w:lineRule="exact"/>
              <w:rPr>
                <w:rFonts w:ascii="宋体" w:hAnsi="宋体" w:eastAsia="宋体" w:cs="宋体"/>
                <w:sz w:val="18"/>
                <w:szCs w:val="18"/>
              </w:rPr>
            </w:pPr>
            <w:r>
              <w:rPr>
                <w:rFonts w:ascii="宋体" w:hAnsi="宋体" w:eastAsia="宋体" w:cs="宋体"/>
                <w:sz w:val="18"/>
                <w:szCs w:val="18"/>
              </w:rPr>
              <w:t>1</w:t>
            </w:r>
          </w:p>
        </w:tc>
        <w:tc>
          <w:tcPr>
            <w:tcW w:w="763" w:type="dxa"/>
            <w:tcBorders>
              <w:top w:val="single" w:color="auto" w:sz="2" w:space="0"/>
              <w:left w:val="single" w:color="auto" w:sz="2" w:space="0"/>
              <w:bottom w:val="single" w:color="auto" w:sz="2" w:space="0"/>
              <w:right w:val="single" w:color="auto" w:sz="2" w:space="0"/>
            </w:tcBorders>
            <w:vAlign w:val="center"/>
          </w:tcPr>
          <w:p w14:paraId="34E9183B">
            <w:pPr>
              <w:spacing w:line="240" w:lineRule="exact"/>
              <w:rPr>
                <w:rFonts w:ascii="宋体" w:hAnsi="宋体" w:eastAsia="宋体" w:cs="宋体"/>
                <w:sz w:val="18"/>
                <w:szCs w:val="18"/>
              </w:rPr>
            </w:pPr>
            <w:r>
              <w:rPr>
                <w:rFonts w:ascii="宋体" w:hAnsi="宋体" w:eastAsia="宋体" w:cs="宋体"/>
                <w:sz w:val="18"/>
                <w:szCs w:val="18"/>
              </w:rPr>
              <w:t>厂区内</w:t>
            </w:r>
          </w:p>
        </w:tc>
        <w:tc>
          <w:tcPr>
            <w:tcW w:w="1137" w:type="dxa"/>
            <w:tcBorders>
              <w:top w:val="single" w:color="auto" w:sz="2" w:space="0"/>
              <w:left w:val="single" w:color="auto" w:sz="2" w:space="0"/>
              <w:bottom w:val="single" w:color="auto" w:sz="2" w:space="0"/>
              <w:right w:val="single" w:color="auto" w:sz="2" w:space="0"/>
            </w:tcBorders>
            <w:vAlign w:val="center"/>
          </w:tcPr>
          <w:p w14:paraId="6D535FFB">
            <w:pPr>
              <w:spacing w:line="240" w:lineRule="exact"/>
              <w:rPr>
                <w:rFonts w:ascii="宋体" w:hAnsi="宋体" w:eastAsia="宋体" w:cs="宋体"/>
                <w:sz w:val="18"/>
                <w:szCs w:val="18"/>
              </w:rPr>
            </w:pPr>
            <w:r>
              <w:rPr>
                <w:rFonts w:hint="eastAsia" w:ascii="宋体" w:hAnsi="宋体" w:eastAsia="宋体" w:cs="宋体"/>
                <w:sz w:val="18"/>
                <w:szCs w:val="18"/>
              </w:rPr>
              <w:t>总氮 4.835mg/L、总磷3.765mg/L、PH值 6.95、生化需氧量8.8mg/L、化学需氧量 25mg/L、 悬浮物 8.75mg/L、 氨氮2.3345mg/L</w:t>
            </w:r>
          </w:p>
        </w:tc>
        <w:tc>
          <w:tcPr>
            <w:tcW w:w="1300" w:type="dxa"/>
            <w:tcBorders>
              <w:top w:val="single" w:color="auto" w:sz="2" w:space="0"/>
              <w:left w:val="single" w:color="auto" w:sz="2" w:space="0"/>
              <w:bottom w:val="single" w:color="auto" w:sz="2" w:space="0"/>
              <w:right w:val="single" w:color="auto" w:sz="2" w:space="0"/>
            </w:tcBorders>
            <w:vAlign w:val="center"/>
          </w:tcPr>
          <w:p w14:paraId="32960424">
            <w:pPr>
              <w:spacing w:line="240" w:lineRule="exact"/>
              <w:rPr>
                <w:rFonts w:ascii="宋体" w:hAnsi="宋体" w:eastAsia="宋体" w:cs="宋体"/>
                <w:sz w:val="18"/>
                <w:szCs w:val="18"/>
              </w:rPr>
            </w:pPr>
            <w:r>
              <w:rPr>
                <w:rFonts w:hint="eastAsia" w:ascii="宋体" w:hAnsi="宋体" w:eastAsia="宋体" w:cs="宋体"/>
                <w:sz w:val="18"/>
                <w:szCs w:val="18"/>
              </w:rPr>
              <w:t>总氮 70mg/L、总磷8mg/L、PH值 6-9、生化需氧量 300mg/L、化学需氧量 500mg/L、悬浮物 400mg/L、氨氮 45mg/L</w:t>
            </w:r>
          </w:p>
        </w:tc>
        <w:tc>
          <w:tcPr>
            <w:tcW w:w="1425" w:type="dxa"/>
            <w:tcBorders>
              <w:top w:val="single" w:color="auto" w:sz="2" w:space="0"/>
              <w:left w:val="single" w:color="auto" w:sz="2" w:space="0"/>
              <w:bottom w:val="single" w:color="auto" w:sz="2" w:space="0"/>
              <w:right w:val="single" w:color="auto" w:sz="2" w:space="0"/>
            </w:tcBorders>
            <w:vAlign w:val="center"/>
          </w:tcPr>
          <w:p w14:paraId="4029988B">
            <w:pPr>
              <w:spacing w:line="240" w:lineRule="exact"/>
              <w:rPr>
                <w:rFonts w:ascii="宋体" w:hAnsi="宋体" w:eastAsia="宋体" w:cs="宋体"/>
                <w:sz w:val="18"/>
                <w:szCs w:val="18"/>
              </w:rPr>
            </w:pPr>
            <w:r>
              <w:rPr>
                <w:rFonts w:hint="eastAsia" w:ascii="宋体" w:hAnsi="宋体" w:eastAsia="宋体" w:cs="宋体"/>
                <w:sz w:val="18"/>
                <w:szCs w:val="18"/>
              </w:rPr>
              <w:t>悬浮物(SS)1.0344吨、氨氮0.2760吨、总磷0.4451吨、化学需氧量(CODcr)1.3992吨、生化需氧量(BOD₅)0.5478吨</w:t>
            </w:r>
          </w:p>
        </w:tc>
        <w:tc>
          <w:tcPr>
            <w:tcW w:w="900" w:type="dxa"/>
            <w:tcBorders>
              <w:top w:val="single" w:color="auto" w:sz="2" w:space="0"/>
              <w:left w:val="single" w:color="auto" w:sz="2" w:space="0"/>
              <w:bottom w:val="single" w:color="auto" w:sz="2" w:space="0"/>
              <w:right w:val="single" w:color="auto" w:sz="2" w:space="0"/>
            </w:tcBorders>
            <w:vAlign w:val="center"/>
          </w:tcPr>
          <w:p w14:paraId="16CDE092">
            <w:pPr>
              <w:spacing w:line="240" w:lineRule="exact"/>
              <w:rPr>
                <w:rFonts w:ascii="宋体" w:hAnsi="宋体" w:eastAsia="宋体" w:cs="宋体"/>
                <w:sz w:val="18"/>
                <w:szCs w:val="18"/>
              </w:rPr>
            </w:pPr>
            <w:r>
              <w:rPr>
                <w:rFonts w:hint="eastAsia" w:ascii="宋体" w:hAnsi="宋体" w:eastAsia="宋体" w:cs="宋体"/>
                <w:sz w:val="18"/>
                <w:szCs w:val="18"/>
              </w:rPr>
              <w:t>COD:525.00 吨/ 年、氨氮 47.25 吨/年、总磷8.4吨/年、总氮 73.5吨/年</w:t>
            </w:r>
          </w:p>
        </w:tc>
        <w:tc>
          <w:tcPr>
            <w:tcW w:w="612" w:type="dxa"/>
            <w:tcBorders>
              <w:top w:val="single" w:color="auto" w:sz="2" w:space="0"/>
              <w:left w:val="single" w:color="auto" w:sz="2" w:space="0"/>
              <w:bottom w:val="single" w:color="auto" w:sz="2" w:space="0"/>
              <w:right w:val="single" w:color="auto" w:sz="2" w:space="0"/>
            </w:tcBorders>
            <w:vAlign w:val="center"/>
          </w:tcPr>
          <w:p w14:paraId="732CECDF">
            <w:pPr>
              <w:spacing w:line="240" w:lineRule="exact"/>
              <w:rPr>
                <w:rFonts w:ascii="宋体" w:hAnsi="宋体" w:eastAsia="宋体" w:cs="宋体"/>
                <w:sz w:val="18"/>
                <w:szCs w:val="18"/>
              </w:rPr>
            </w:pPr>
            <w:r>
              <w:rPr>
                <w:rFonts w:ascii="宋体" w:hAnsi="宋体" w:eastAsia="宋体" w:cs="宋体"/>
                <w:sz w:val="18"/>
                <w:szCs w:val="18"/>
              </w:rPr>
              <w:t xml:space="preserve"> 否</w:t>
            </w:r>
          </w:p>
        </w:tc>
      </w:tr>
    </w:tbl>
    <w:p w14:paraId="0713CBAC">
      <w:pPr>
        <w:spacing w:before="100" w:after="0" w:line="240" w:lineRule="exact"/>
        <w:rPr>
          <w:rFonts w:ascii="宋体" w:hAnsi="宋体" w:eastAsia="宋体" w:cs="宋体"/>
          <w:sz w:val="18"/>
          <w:szCs w:val="18"/>
        </w:rPr>
      </w:pPr>
      <w:r>
        <w:rPr>
          <w:rFonts w:ascii="宋体" w:hAnsi="宋体" w:eastAsia="宋体" w:cs="宋体"/>
          <w:sz w:val="18"/>
          <w:szCs w:val="18"/>
        </w:rPr>
        <w:t>对污染物的处理</w:t>
      </w:r>
    </w:p>
    <w:p w14:paraId="1D792D80">
      <w:pPr>
        <w:pStyle w:val="9"/>
        <w:spacing w:before="0" w:beforeAutospacing="0" w:after="0" w:afterAutospacing="0"/>
        <w:ind w:firstLine="357"/>
        <w:jc w:val="both"/>
        <w:rPr>
          <w:rFonts w:ascii="Times New Roman" w:hAnsi="Times New Roman" w:cs="Times New Roman"/>
        </w:rPr>
      </w:pPr>
      <w:r>
        <w:rPr>
          <w:rFonts w:hint="eastAsia" w:cs="Times New Roman"/>
          <w:sz w:val="18"/>
          <w:szCs w:val="18"/>
        </w:rPr>
        <w:t>公司子公司拉萨啤酒建造废水处理设施，设计能力</w:t>
      </w:r>
      <w:r>
        <w:rPr>
          <w:rFonts w:ascii="Times New Roman" w:hAnsi="Times New Roman" w:cs="Times New Roman"/>
          <w:sz w:val="18"/>
          <w:szCs w:val="18"/>
        </w:rPr>
        <w:t>2000M³/d</w:t>
      </w:r>
      <w:r>
        <w:rPr>
          <w:rFonts w:hint="eastAsia" w:cs="Times New Roman"/>
          <w:sz w:val="18"/>
          <w:szCs w:val="18"/>
        </w:rPr>
        <w:t>符合</w:t>
      </w:r>
      <w:r>
        <w:rPr>
          <w:rFonts w:ascii="Times New Roman" w:hAnsi="Times New Roman" w:cs="Times New Roman"/>
          <w:sz w:val="18"/>
          <w:szCs w:val="18"/>
        </w:rPr>
        <w:t>/</w:t>
      </w:r>
      <w:r>
        <w:rPr>
          <w:rFonts w:hint="eastAsia" w:cs="Times New Roman"/>
          <w:sz w:val="18"/>
          <w:szCs w:val="18"/>
        </w:rPr>
        <w:t>满足公司污水治理要求，有污水在线检测仪及人工手册检测设备，</w:t>
      </w:r>
      <w:r>
        <w:rPr>
          <w:rFonts w:ascii="Times New Roman" w:hAnsi="Times New Roman" w:cs="Times New Roman"/>
          <w:sz w:val="18"/>
          <w:szCs w:val="18"/>
        </w:rPr>
        <w:t>COD</w:t>
      </w:r>
      <w:r>
        <w:rPr>
          <w:rFonts w:hint="eastAsia" w:cs="Times New Roman"/>
          <w:sz w:val="18"/>
          <w:szCs w:val="18"/>
        </w:rPr>
        <w:t>等处理装置、污水泵、格糊、调节池、爆气池、厌氧反应器、沉淀池等污水处理主要设备设施均完好运行正常。子公司拉萨啤酒污染治理设施运行记录保存完整，污染治理设备运行率达</w:t>
      </w:r>
      <w:r>
        <w:rPr>
          <w:rFonts w:ascii="Times New Roman" w:hAnsi="Times New Roman" w:cs="Times New Roman"/>
          <w:sz w:val="18"/>
          <w:szCs w:val="18"/>
        </w:rPr>
        <w:t>100%</w:t>
      </w:r>
      <w:r>
        <w:rPr>
          <w:rFonts w:hint="eastAsia" w:cs="Times New Roman"/>
          <w:sz w:val="18"/>
          <w:szCs w:val="18"/>
        </w:rPr>
        <w:t>。</w:t>
      </w:r>
    </w:p>
    <w:p w14:paraId="4CD33AD3">
      <w:pPr>
        <w:spacing w:before="0" w:after="0" w:line="240" w:lineRule="exact"/>
        <w:rPr>
          <w:rFonts w:ascii="宋体" w:hAnsi="宋体" w:eastAsia="宋体" w:cs="宋体"/>
          <w:sz w:val="18"/>
          <w:szCs w:val="18"/>
        </w:rPr>
      </w:pPr>
      <w:r>
        <w:rPr>
          <w:rFonts w:ascii="宋体" w:hAnsi="宋体" w:eastAsia="宋体" w:cs="宋体"/>
          <w:sz w:val="18"/>
          <w:szCs w:val="18"/>
        </w:rPr>
        <w:t>突发环境事件应急预案</w:t>
      </w:r>
    </w:p>
    <w:p w14:paraId="5E849AC0">
      <w:pPr>
        <w:pStyle w:val="9"/>
        <w:spacing w:before="0" w:beforeAutospacing="0" w:after="0" w:afterAutospacing="0" w:line="240" w:lineRule="atLeast"/>
        <w:ind w:firstLine="360"/>
        <w:rPr>
          <w:rFonts w:ascii="Times New Roman" w:hAnsi="Times New Roman" w:cs="Times New Roman"/>
          <w:sz w:val="21"/>
          <w:szCs w:val="21"/>
        </w:rPr>
      </w:pPr>
      <w:r>
        <w:rPr>
          <w:rFonts w:hint="eastAsia" w:cs="Times New Roman"/>
          <w:sz w:val="18"/>
          <w:szCs w:val="18"/>
        </w:rPr>
        <w:t>公司子公司拉萨啤酒已针对突发事件制定了详细的应急预案。</w:t>
      </w:r>
    </w:p>
    <w:p w14:paraId="20319962">
      <w:pPr>
        <w:spacing w:before="0" w:after="0" w:line="240" w:lineRule="exact"/>
        <w:rPr>
          <w:rFonts w:ascii="宋体" w:hAnsi="宋体" w:eastAsia="宋体" w:cs="宋体"/>
          <w:sz w:val="18"/>
          <w:szCs w:val="18"/>
        </w:rPr>
      </w:pPr>
      <w:r>
        <w:rPr>
          <w:rFonts w:ascii="宋体" w:hAnsi="宋体" w:eastAsia="宋体" w:cs="宋体"/>
          <w:sz w:val="18"/>
          <w:szCs w:val="18"/>
        </w:rPr>
        <w:t>环境治理和保护的投入及缴纳环境保护税的相关情况</w:t>
      </w:r>
    </w:p>
    <w:p w14:paraId="29D61214">
      <w:pPr>
        <w:pStyle w:val="9"/>
        <w:spacing w:before="0" w:beforeAutospacing="0" w:after="0" w:afterAutospacing="0"/>
        <w:ind w:firstLine="360" w:firstLineChars="200"/>
        <w:rPr>
          <w:sz w:val="18"/>
          <w:szCs w:val="18"/>
        </w:rPr>
      </w:pPr>
      <w:r>
        <w:rPr>
          <w:rFonts w:hint="eastAsia"/>
          <w:sz w:val="18"/>
          <w:szCs w:val="18"/>
        </w:rPr>
        <w:t>公司子公司拉萨啤酒于本报告期缴纳环境保护税3,608.5元。</w:t>
      </w:r>
    </w:p>
    <w:p w14:paraId="14805C10">
      <w:pPr>
        <w:spacing w:line="240" w:lineRule="exact"/>
        <w:rPr>
          <w:rFonts w:ascii="宋体" w:hAnsi="宋体" w:eastAsia="宋体" w:cs="宋体"/>
          <w:sz w:val="18"/>
          <w:szCs w:val="18"/>
        </w:rPr>
      </w:pPr>
      <w:r>
        <w:rPr>
          <w:rFonts w:ascii="宋体" w:hAnsi="宋体" w:eastAsia="宋体" w:cs="宋体"/>
          <w:sz w:val="18"/>
          <w:szCs w:val="18"/>
        </w:rPr>
        <w:t>环境自行监测方案</w:t>
      </w:r>
    </w:p>
    <w:p w14:paraId="1B58A0A4">
      <w:pPr>
        <w:pStyle w:val="9"/>
        <w:spacing w:before="0" w:beforeAutospacing="0" w:after="0" w:afterAutospacing="0"/>
        <w:ind w:firstLine="360" w:firstLineChars="200"/>
        <w:rPr>
          <w:rFonts w:ascii="宋体" w:hAnsi="宋体" w:cs="宋体"/>
          <w:sz w:val="18"/>
          <w:szCs w:val="18"/>
        </w:rPr>
      </w:pPr>
      <w:r>
        <w:rPr>
          <w:rFonts w:hint="eastAsia" w:cs="Times New Roman"/>
          <w:sz w:val="18"/>
          <w:szCs w:val="18"/>
        </w:rPr>
        <w:t>公司子公司拉萨啤酒对厂区内废水、废气等污染物建立了严格的监测系统，废水、废气每季度委托第三方有资质的检测机构检测，废水生产期间每天人工检测，现场安装了在线检测。</w:t>
      </w:r>
    </w:p>
    <w:p w14:paraId="32176A5A">
      <w:pPr>
        <w:pStyle w:val="9"/>
        <w:spacing w:before="0" w:beforeAutospacing="0" w:after="0" w:afterAutospacing="0" w:line="240" w:lineRule="exact"/>
        <w:ind w:firstLine="360" w:firstLineChars="200"/>
        <w:rPr>
          <w:sz w:val="18"/>
          <w:szCs w:val="18"/>
        </w:rPr>
      </w:pPr>
      <w:r>
        <w:rPr>
          <w:sz w:val="18"/>
          <w:szCs w:val="18"/>
        </w:rPr>
        <w:t>报告期内因环境问题受到行政处罚的情况</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5A5AAC3F">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57D011">
            <w:pPr>
              <w:spacing w:before="40" w:after="40" w:line="240" w:lineRule="exact"/>
              <w:jc w:val="center"/>
              <w:rPr>
                <w:rFonts w:ascii="宋体" w:hAnsi="宋体" w:eastAsia="宋体" w:cs="宋体"/>
                <w:sz w:val="18"/>
                <w:szCs w:val="18"/>
              </w:rPr>
            </w:pPr>
            <w:r>
              <w:rPr>
                <w:rFonts w:ascii="宋体" w:hAnsi="宋体" w:eastAsia="宋体" w:cs="宋体"/>
                <w:sz w:val="18"/>
                <w:szCs w:val="18"/>
              </w:rPr>
              <w:t>公司或子公司名称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D6000F">
            <w:pPr>
              <w:spacing w:before="40" w:after="40" w:line="240" w:lineRule="exact"/>
              <w:jc w:val="center"/>
              <w:rPr>
                <w:rFonts w:ascii="宋体" w:hAnsi="宋体" w:eastAsia="宋体" w:cs="宋体"/>
                <w:sz w:val="18"/>
                <w:szCs w:val="18"/>
              </w:rPr>
            </w:pPr>
            <w:r>
              <w:rPr>
                <w:rFonts w:ascii="宋体" w:hAnsi="宋体" w:eastAsia="宋体" w:cs="宋体"/>
                <w:sz w:val="18"/>
                <w:szCs w:val="18"/>
              </w:rPr>
              <w:t>处罚原因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2CCF7CC">
            <w:pPr>
              <w:spacing w:before="40" w:after="40" w:line="240" w:lineRule="exact"/>
              <w:jc w:val="center"/>
              <w:rPr>
                <w:rFonts w:ascii="宋体" w:hAnsi="宋体" w:eastAsia="宋体" w:cs="宋体"/>
                <w:sz w:val="18"/>
                <w:szCs w:val="18"/>
              </w:rPr>
            </w:pPr>
            <w:r>
              <w:rPr>
                <w:rFonts w:ascii="宋体" w:hAnsi="宋体" w:eastAsia="宋体" w:cs="宋体"/>
                <w:sz w:val="18"/>
                <w:szCs w:val="18"/>
              </w:rPr>
              <w:t>违规情形</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4B175D">
            <w:pPr>
              <w:spacing w:before="40" w:after="40" w:line="240" w:lineRule="exact"/>
              <w:jc w:val="center"/>
              <w:rPr>
                <w:rFonts w:ascii="宋体" w:hAnsi="宋体" w:eastAsia="宋体" w:cs="宋体"/>
                <w:sz w:val="18"/>
                <w:szCs w:val="18"/>
              </w:rPr>
            </w:pPr>
            <w:r>
              <w:rPr>
                <w:rFonts w:ascii="宋体" w:hAnsi="宋体" w:eastAsia="宋体" w:cs="宋体"/>
                <w:sz w:val="18"/>
                <w:szCs w:val="18"/>
              </w:rPr>
              <w:t>处罚结果</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CC24D9">
            <w:pPr>
              <w:spacing w:before="40" w:after="40" w:line="240" w:lineRule="exact"/>
              <w:jc w:val="center"/>
              <w:rPr>
                <w:rFonts w:ascii="宋体" w:hAnsi="宋体" w:eastAsia="宋体" w:cs="宋体"/>
                <w:sz w:val="18"/>
                <w:szCs w:val="18"/>
              </w:rPr>
            </w:pPr>
            <w:r>
              <w:rPr>
                <w:rFonts w:ascii="宋体" w:hAnsi="宋体" w:eastAsia="宋体" w:cs="宋体"/>
                <w:sz w:val="18"/>
                <w:szCs w:val="18"/>
              </w:rPr>
              <w:t>对上市公司生产经营的影响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DAE7F68">
            <w:pPr>
              <w:spacing w:before="40" w:after="40" w:line="240" w:lineRule="exact"/>
              <w:jc w:val="center"/>
              <w:rPr>
                <w:rFonts w:ascii="宋体" w:hAnsi="宋体" w:eastAsia="宋体" w:cs="宋体"/>
                <w:sz w:val="18"/>
                <w:szCs w:val="18"/>
              </w:rPr>
            </w:pPr>
            <w:r>
              <w:rPr>
                <w:rFonts w:ascii="宋体" w:hAnsi="宋体" w:eastAsia="宋体" w:cs="宋体"/>
                <w:sz w:val="18"/>
                <w:szCs w:val="18"/>
              </w:rPr>
              <w:t>公司的整改措施</w:t>
            </w:r>
          </w:p>
        </w:tc>
      </w:tr>
      <w:tr w14:paraId="30B5C366">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38EC347">
            <w:pPr>
              <w:spacing w:line="240" w:lineRule="exact"/>
              <w:rPr>
                <w:rFonts w:ascii="宋体" w:hAnsi="宋体" w:eastAsia="宋体" w:cs="宋体"/>
                <w:sz w:val="18"/>
                <w:szCs w:val="18"/>
              </w:rPr>
            </w:pPr>
            <w:r>
              <w:rPr>
                <w:rFonts w:ascii="宋体" w:hAnsi="宋体" w:eastAsia="宋体" w:cs="宋体"/>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76E66530">
            <w:pPr>
              <w:spacing w:line="240" w:lineRule="exact"/>
              <w:rPr>
                <w:rFonts w:ascii="宋体" w:hAnsi="宋体" w:eastAsia="宋体" w:cs="宋体"/>
                <w:sz w:val="18"/>
                <w:szCs w:val="18"/>
              </w:rPr>
            </w:pPr>
            <w:r>
              <w:rPr>
                <w:rFonts w:ascii="宋体" w:hAnsi="宋体" w:eastAsia="宋体" w:cs="宋体"/>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7FC4DFF0">
            <w:pPr>
              <w:spacing w:line="240" w:lineRule="exact"/>
              <w:rPr>
                <w:rFonts w:ascii="宋体" w:hAnsi="宋体" w:eastAsia="宋体" w:cs="宋体"/>
                <w:sz w:val="18"/>
                <w:szCs w:val="18"/>
              </w:rPr>
            </w:pPr>
            <w:r>
              <w:rPr>
                <w:rFonts w:ascii="宋体" w:hAnsi="宋体" w:eastAsia="宋体" w:cs="宋体"/>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3ED003FB">
            <w:pPr>
              <w:spacing w:line="240" w:lineRule="exact"/>
              <w:rPr>
                <w:rFonts w:ascii="宋体" w:hAnsi="宋体" w:eastAsia="宋体" w:cs="宋体"/>
                <w:sz w:val="18"/>
                <w:szCs w:val="18"/>
              </w:rPr>
            </w:pPr>
            <w:r>
              <w:rPr>
                <w:rFonts w:ascii="宋体" w:hAnsi="宋体" w:eastAsia="宋体" w:cs="宋体"/>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4D358F85">
            <w:pPr>
              <w:spacing w:line="240" w:lineRule="exact"/>
              <w:rPr>
                <w:rFonts w:ascii="宋体" w:hAnsi="宋体" w:eastAsia="宋体" w:cs="宋体"/>
                <w:sz w:val="18"/>
                <w:szCs w:val="18"/>
              </w:rPr>
            </w:pPr>
            <w:r>
              <w:rPr>
                <w:rFonts w:ascii="宋体" w:hAnsi="宋体" w:eastAsia="宋体" w:cs="宋体"/>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1ACFCB45">
            <w:pPr>
              <w:spacing w:line="240" w:lineRule="exact"/>
              <w:rPr>
                <w:rFonts w:ascii="宋体" w:hAnsi="宋体" w:eastAsia="宋体" w:cs="宋体"/>
                <w:sz w:val="18"/>
                <w:szCs w:val="18"/>
              </w:rPr>
            </w:pPr>
            <w:r>
              <w:rPr>
                <w:rFonts w:ascii="宋体" w:hAnsi="宋体" w:eastAsia="宋体" w:cs="宋体"/>
                <w:sz w:val="18"/>
                <w:szCs w:val="18"/>
              </w:rPr>
              <w:t>无</w:t>
            </w:r>
          </w:p>
        </w:tc>
      </w:tr>
    </w:tbl>
    <w:p w14:paraId="4815F5C6">
      <w:pPr>
        <w:spacing w:before="0" w:after="0" w:line="240" w:lineRule="exact"/>
        <w:rPr>
          <w:rFonts w:ascii="宋体" w:hAnsi="宋体" w:eastAsia="宋体" w:cs="宋体"/>
          <w:sz w:val="18"/>
          <w:szCs w:val="18"/>
        </w:rPr>
      </w:pPr>
      <w:r>
        <w:rPr>
          <w:rFonts w:ascii="宋体" w:hAnsi="宋体" w:eastAsia="宋体" w:cs="宋体"/>
          <w:sz w:val="18"/>
          <w:szCs w:val="18"/>
        </w:rPr>
        <w:t>其他应当公开的环境信息</w:t>
      </w:r>
    </w:p>
    <w:p w14:paraId="0D827EFB">
      <w:pPr>
        <w:pStyle w:val="9"/>
        <w:spacing w:before="0" w:beforeAutospacing="0" w:after="0" w:afterAutospacing="0"/>
        <w:rPr>
          <w:sz w:val="18"/>
          <w:szCs w:val="18"/>
        </w:rPr>
      </w:pPr>
      <w:r>
        <w:rPr>
          <w:rFonts w:hint="eastAsia"/>
          <w:sz w:val="18"/>
          <w:szCs w:val="18"/>
        </w:rPr>
        <w:t>无</w:t>
      </w:r>
    </w:p>
    <w:p w14:paraId="624E12B0">
      <w:pPr>
        <w:spacing w:before="0" w:after="0" w:line="240" w:lineRule="exact"/>
        <w:rPr>
          <w:rFonts w:ascii="宋体" w:hAnsi="宋体" w:eastAsia="宋体" w:cs="宋体"/>
          <w:sz w:val="18"/>
          <w:szCs w:val="18"/>
        </w:rPr>
      </w:pPr>
      <w:r>
        <w:rPr>
          <w:rFonts w:ascii="宋体" w:hAnsi="宋体" w:eastAsia="宋体" w:cs="宋体"/>
          <w:sz w:val="18"/>
          <w:szCs w:val="18"/>
        </w:rPr>
        <w:t>在报告期内为减少其碳排放所采取的措施及效果</w:t>
      </w:r>
    </w:p>
    <w:p w14:paraId="682FC9EB">
      <w:pPr>
        <w:spacing w:before="0" w:after="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C62305D">
      <w:pPr>
        <w:spacing w:before="0" w:after="0" w:line="240" w:lineRule="exact"/>
        <w:rPr>
          <w:rFonts w:ascii="宋体" w:hAnsi="宋体" w:eastAsia="宋体" w:cs="宋体"/>
          <w:sz w:val="18"/>
          <w:szCs w:val="18"/>
        </w:rPr>
      </w:pPr>
      <w:r>
        <w:rPr>
          <w:rFonts w:ascii="宋体" w:hAnsi="宋体" w:eastAsia="宋体" w:cs="宋体"/>
          <w:sz w:val="18"/>
          <w:szCs w:val="18"/>
        </w:rPr>
        <w:t>其他环保相关信息</w:t>
      </w:r>
    </w:p>
    <w:p w14:paraId="2DE61A28">
      <w:pPr>
        <w:pStyle w:val="9"/>
        <w:spacing w:before="0" w:beforeAutospacing="0" w:after="0" w:afterAutospacing="0"/>
        <w:rPr>
          <w:sz w:val="18"/>
          <w:szCs w:val="18"/>
        </w:rPr>
      </w:pPr>
      <w:r>
        <w:rPr>
          <w:rFonts w:hint="eastAsia"/>
          <w:sz w:val="18"/>
          <w:szCs w:val="18"/>
        </w:rPr>
        <w:t>无</w:t>
      </w:r>
    </w:p>
    <w:p w14:paraId="6F86371C">
      <w:pPr>
        <w:pStyle w:val="2"/>
        <w:spacing w:before="300" w:after="300" w:line="320" w:lineRule="exact"/>
        <w:rPr>
          <w:rFonts w:ascii="宋体" w:hAnsi="宋体" w:eastAsia="宋体" w:cs="宋体"/>
          <w:b/>
          <w:bCs/>
          <w:sz w:val="24"/>
          <w:szCs w:val="24"/>
        </w:rPr>
      </w:pPr>
      <w:bookmarkStart w:id="47" w:name="_Toc988936"/>
      <w:r>
        <w:rPr>
          <w:rFonts w:ascii="宋体" w:hAnsi="宋体" w:eastAsia="宋体" w:cs="宋体"/>
          <w:b/>
          <w:bCs/>
          <w:sz w:val="24"/>
          <w:szCs w:val="24"/>
        </w:rPr>
        <w:t>二、社会责任情况</w:t>
      </w:r>
      <w:bookmarkEnd w:id="47"/>
    </w:p>
    <w:p w14:paraId="0AFD316D">
      <w:pPr>
        <w:pStyle w:val="9"/>
        <w:spacing w:before="0" w:beforeAutospacing="0" w:after="0" w:afterAutospacing="0"/>
        <w:ind w:firstLine="360"/>
        <w:rPr>
          <w:rFonts w:ascii="Times New Roman" w:hAnsi="Times New Roman" w:cs="Times New Roman"/>
        </w:rPr>
      </w:pPr>
      <w:r>
        <w:rPr>
          <w:rFonts w:hint="eastAsia" w:cs="Times New Roman"/>
          <w:sz w:val="18"/>
          <w:szCs w:val="18"/>
        </w:rPr>
        <w:t>报告期，公司积极履行上市公司应尽的社会责任，主要体现在以下几方面：</w:t>
      </w:r>
    </w:p>
    <w:p w14:paraId="2E5DC6A4">
      <w:pPr>
        <w:widowControl/>
        <w:numPr>
          <w:ilvl w:val="0"/>
          <w:numId w:val="2"/>
        </w:numPr>
        <w:ind w:firstLine="360" w:firstLineChars="200"/>
        <w:rPr>
          <w:rFonts w:ascii="宋体" w:hAnsi="宋体" w:eastAsia="宋体" w:cs="宋体"/>
          <w:sz w:val="18"/>
          <w:szCs w:val="18"/>
        </w:rPr>
      </w:pPr>
      <w:r>
        <w:rPr>
          <w:rFonts w:hint="eastAsia" w:ascii="宋体" w:hAnsi="宋体" w:eastAsia="宋体" w:cs="宋体"/>
          <w:sz w:val="18"/>
          <w:szCs w:val="18"/>
        </w:rPr>
        <w:t>在保护股东权益方面，公司认真做好投资者关系管理，畅通投资者咨询渠道，通过接听投资者电话、回复投资者在“互动易”平台提出的问题等方式及时与投资者进行交流，与投资者建立了长期良好的合作关系和互动机制。</w:t>
      </w:r>
    </w:p>
    <w:p w14:paraId="5E9A4337">
      <w:pPr>
        <w:pStyle w:val="9"/>
        <w:numPr>
          <w:ilvl w:val="0"/>
          <w:numId w:val="2"/>
        </w:numPr>
        <w:spacing w:before="0" w:beforeAutospacing="0" w:after="0" w:afterAutospacing="0"/>
        <w:ind w:firstLine="360" w:firstLineChars="200"/>
        <w:rPr>
          <w:sz w:val="18"/>
          <w:szCs w:val="18"/>
        </w:rPr>
      </w:pPr>
      <w:r>
        <w:rPr>
          <w:rFonts w:hint="eastAsia"/>
          <w:sz w:val="18"/>
          <w:szCs w:val="18"/>
        </w:rPr>
        <w:t>在员工权益保护方面，公司建立有竞争力的薪酬标准，重视员工福利，设计合理的员工职业发展通道，积极开展员工在岗教育，为员工发展提供良好平台。</w:t>
      </w:r>
    </w:p>
    <w:p w14:paraId="5F117350">
      <w:pPr>
        <w:pStyle w:val="9"/>
        <w:numPr>
          <w:ilvl w:val="0"/>
          <w:numId w:val="2"/>
        </w:numPr>
        <w:spacing w:before="0" w:beforeAutospacing="0" w:after="0" w:afterAutospacing="0"/>
        <w:ind w:firstLine="360" w:firstLineChars="200"/>
        <w:rPr>
          <w:sz w:val="18"/>
          <w:szCs w:val="18"/>
        </w:rPr>
      </w:pPr>
      <w:r>
        <w:rPr>
          <w:rFonts w:hint="eastAsia"/>
          <w:sz w:val="18"/>
          <w:szCs w:val="18"/>
        </w:rPr>
        <w:t>在环境保护方面，公司积极响应国家号召，坚持绿色发展理念，通过设备改造、工艺改良等措施实施节能减排，</w:t>
      </w:r>
      <w:r>
        <w:rPr>
          <w:sz w:val="18"/>
          <w:szCs w:val="18"/>
        </w:rPr>
        <w:t xml:space="preserve"> </w:t>
      </w:r>
      <w:r>
        <w:rPr>
          <w:rFonts w:hint="eastAsia"/>
          <w:sz w:val="18"/>
          <w:szCs w:val="18"/>
        </w:rPr>
        <w:t>走低碳经济发展道路，促进企业健康可持续发展。</w:t>
      </w:r>
    </w:p>
    <w:p w14:paraId="3B81B834">
      <w:pPr>
        <w:pStyle w:val="9"/>
        <w:numPr>
          <w:ilvl w:val="0"/>
          <w:numId w:val="2"/>
        </w:numPr>
        <w:spacing w:before="0" w:beforeAutospacing="0" w:after="0" w:afterAutospacing="0"/>
        <w:ind w:firstLine="360" w:firstLineChars="200"/>
        <w:rPr>
          <w:sz w:val="18"/>
          <w:szCs w:val="18"/>
        </w:rPr>
      </w:pPr>
      <w:r>
        <w:rPr>
          <w:rFonts w:hint="eastAsia"/>
          <w:sz w:val="18"/>
          <w:szCs w:val="18"/>
        </w:rPr>
        <w:t>公司积极开展强基惠民的工作，帮助解决农牧民就业问题，帮助藏区发展经济。</w:t>
      </w:r>
    </w:p>
    <w:p w14:paraId="7A846B31">
      <w:r>
        <w:br w:type="page"/>
      </w:r>
    </w:p>
    <w:p w14:paraId="451141DE">
      <w:pPr>
        <w:pStyle w:val="17"/>
        <w:spacing w:before="340" w:after="330" w:line="773" w:lineRule="exact"/>
        <w:jc w:val="center"/>
        <w:rPr>
          <w:rFonts w:ascii="宋体" w:hAnsi="宋体" w:eastAsia="宋体" w:cs="宋体"/>
          <w:b/>
          <w:bCs/>
          <w:sz w:val="32"/>
          <w:szCs w:val="32"/>
        </w:rPr>
      </w:pPr>
      <w:bookmarkStart w:id="48" w:name="_Toc988937"/>
      <w:r>
        <w:rPr>
          <w:rFonts w:ascii="宋体" w:hAnsi="宋体" w:eastAsia="宋体" w:cs="宋体"/>
          <w:b/>
          <w:bCs/>
          <w:sz w:val="32"/>
          <w:szCs w:val="32"/>
        </w:rPr>
        <w:t>第六节 重要事项</w:t>
      </w:r>
      <w:bookmarkEnd w:id="48"/>
    </w:p>
    <w:p w14:paraId="4218C048">
      <w:pPr>
        <w:pStyle w:val="2"/>
        <w:spacing w:before="300" w:after="300" w:line="320" w:lineRule="exact"/>
        <w:rPr>
          <w:rFonts w:ascii="宋体" w:hAnsi="宋体" w:eastAsia="宋体" w:cs="宋体"/>
          <w:b/>
          <w:bCs/>
          <w:sz w:val="24"/>
          <w:szCs w:val="24"/>
        </w:rPr>
      </w:pPr>
      <w:bookmarkStart w:id="49" w:name="_Toc988938"/>
      <w:r>
        <w:rPr>
          <w:rFonts w:ascii="宋体" w:hAnsi="宋体" w:eastAsia="宋体" w:cs="宋体"/>
          <w:b/>
          <w:bCs/>
          <w:sz w:val="24"/>
          <w:szCs w:val="24"/>
        </w:rPr>
        <w:t>一、公司实际控制人、股东、关联方、收购人以及公司等承诺相关方在报告期内履行完毕及截至报告期末超期未履行完毕的承诺事项</w:t>
      </w:r>
      <w:bookmarkEnd w:id="49"/>
    </w:p>
    <w:p w14:paraId="4A9573CE">
      <w:pPr>
        <w:spacing w:before="40" w:after="4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11"/>
        <w:tblW w:w="0" w:type="auto"/>
        <w:tblInd w:w="-299"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36"/>
        <w:gridCol w:w="964"/>
        <w:gridCol w:w="1221"/>
        <w:gridCol w:w="3525"/>
        <w:gridCol w:w="934"/>
        <w:gridCol w:w="718"/>
        <w:gridCol w:w="1354"/>
      </w:tblGrid>
      <w:tr w14:paraId="4579457C">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6788A262">
            <w:pPr>
              <w:spacing w:before="40" w:after="40" w:line="240" w:lineRule="exact"/>
              <w:jc w:val="center"/>
              <w:rPr>
                <w:rFonts w:ascii="宋体" w:hAnsi="宋体" w:eastAsia="宋体" w:cs="宋体"/>
                <w:sz w:val="18"/>
                <w:szCs w:val="18"/>
              </w:rPr>
            </w:pPr>
            <w:r>
              <w:rPr>
                <w:rFonts w:ascii="宋体" w:hAnsi="宋体" w:eastAsia="宋体" w:cs="宋体"/>
                <w:sz w:val="18"/>
                <w:szCs w:val="18"/>
              </w:rPr>
              <w:t>承诺事由</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2801C27">
            <w:pPr>
              <w:spacing w:before="40" w:after="40" w:line="240" w:lineRule="exact"/>
              <w:jc w:val="center"/>
              <w:rPr>
                <w:rFonts w:ascii="宋体" w:hAnsi="宋体" w:eastAsia="宋体" w:cs="宋体"/>
                <w:sz w:val="18"/>
                <w:szCs w:val="18"/>
              </w:rPr>
            </w:pPr>
            <w:r>
              <w:rPr>
                <w:rFonts w:ascii="宋体" w:hAnsi="宋体" w:eastAsia="宋体" w:cs="宋体"/>
                <w:sz w:val="18"/>
                <w:szCs w:val="18"/>
              </w:rPr>
              <w:t>承诺方</w:t>
            </w:r>
          </w:p>
        </w:tc>
        <w:tc>
          <w:tcPr>
            <w:tcW w:w="1221" w:type="dxa"/>
            <w:tcBorders>
              <w:top w:val="single" w:color="auto" w:sz="2" w:space="0"/>
              <w:left w:val="single" w:color="auto" w:sz="2" w:space="0"/>
              <w:bottom w:val="single" w:color="auto" w:sz="2" w:space="0"/>
              <w:right w:val="single" w:color="auto" w:sz="2" w:space="0"/>
            </w:tcBorders>
            <w:shd w:val="clear" w:color="auto" w:fill="D3D3D3"/>
            <w:vAlign w:val="center"/>
          </w:tcPr>
          <w:p w14:paraId="5B590E2D">
            <w:pPr>
              <w:spacing w:before="40" w:after="40" w:line="240" w:lineRule="exact"/>
              <w:jc w:val="center"/>
              <w:rPr>
                <w:rFonts w:ascii="宋体" w:hAnsi="宋体" w:eastAsia="宋体" w:cs="宋体"/>
                <w:sz w:val="18"/>
                <w:szCs w:val="18"/>
              </w:rPr>
            </w:pPr>
            <w:r>
              <w:rPr>
                <w:rFonts w:ascii="宋体" w:hAnsi="宋体" w:eastAsia="宋体" w:cs="宋体"/>
                <w:sz w:val="18"/>
                <w:szCs w:val="18"/>
              </w:rPr>
              <w:t>承诺类型</w:t>
            </w:r>
          </w:p>
        </w:tc>
        <w:tc>
          <w:tcPr>
            <w:tcW w:w="3525" w:type="dxa"/>
            <w:tcBorders>
              <w:top w:val="single" w:color="auto" w:sz="2" w:space="0"/>
              <w:left w:val="single" w:color="auto" w:sz="2" w:space="0"/>
              <w:bottom w:val="single" w:color="auto" w:sz="2" w:space="0"/>
              <w:right w:val="single" w:color="auto" w:sz="2" w:space="0"/>
            </w:tcBorders>
            <w:shd w:val="clear" w:color="auto" w:fill="D3D3D3"/>
            <w:vAlign w:val="center"/>
          </w:tcPr>
          <w:p w14:paraId="49C6D3BB">
            <w:pPr>
              <w:spacing w:before="40" w:after="40" w:line="240" w:lineRule="exact"/>
              <w:jc w:val="center"/>
              <w:rPr>
                <w:rFonts w:ascii="宋体" w:hAnsi="宋体" w:eastAsia="宋体" w:cs="宋体"/>
                <w:sz w:val="18"/>
                <w:szCs w:val="18"/>
              </w:rPr>
            </w:pPr>
            <w:r>
              <w:rPr>
                <w:rFonts w:ascii="宋体" w:hAnsi="宋体" w:eastAsia="宋体" w:cs="宋体"/>
                <w:sz w:val="18"/>
                <w:szCs w:val="18"/>
              </w:rPr>
              <w:t>承诺内容</w:t>
            </w:r>
          </w:p>
        </w:tc>
        <w:tc>
          <w:tcPr>
            <w:tcW w:w="934" w:type="dxa"/>
            <w:tcBorders>
              <w:top w:val="single" w:color="auto" w:sz="2" w:space="0"/>
              <w:left w:val="single" w:color="auto" w:sz="2" w:space="0"/>
              <w:bottom w:val="single" w:color="auto" w:sz="2" w:space="0"/>
              <w:right w:val="single" w:color="auto" w:sz="2" w:space="0"/>
            </w:tcBorders>
            <w:shd w:val="clear" w:color="auto" w:fill="D3D3D3"/>
            <w:vAlign w:val="center"/>
          </w:tcPr>
          <w:p w14:paraId="698E116E">
            <w:pPr>
              <w:spacing w:before="40" w:after="40" w:line="240" w:lineRule="exact"/>
              <w:jc w:val="center"/>
              <w:rPr>
                <w:rFonts w:ascii="宋体" w:hAnsi="宋体" w:eastAsia="宋体" w:cs="宋体"/>
                <w:sz w:val="18"/>
                <w:szCs w:val="18"/>
              </w:rPr>
            </w:pPr>
            <w:r>
              <w:rPr>
                <w:rFonts w:ascii="宋体" w:hAnsi="宋体" w:eastAsia="宋体" w:cs="宋体"/>
                <w:sz w:val="18"/>
                <w:szCs w:val="18"/>
              </w:rPr>
              <w:t>承诺时间</w:t>
            </w:r>
          </w:p>
        </w:tc>
        <w:tc>
          <w:tcPr>
            <w:tcW w:w="718" w:type="dxa"/>
            <w:tcBorders>
              <w:top w:val="single" w:color="auto" w:sz="2" w:space="0"/>
              <w:left w:val="single" w:color="auto" w:sz="2" w:space="0"/>
              <w:bottom w:val="single" w:color="auto" w:sz="2" w:space="0"/>
              <w:right w:val="single" w:color="auto" w:sz="2" w:space="0"/>
            </w:tcBorders>
            <w:shd w:val="clear" w:color="auto" w:fill="D3D3D3"/>
            <w:vAlign w:val="center"/>
          </w:tcPr>
          <w:p w14:paraId="17D33991">
            <w:pPr>
              <w:spacing w:before="40" w:after="40" w:line="240" w:lineRule="exact"/>
              <w:jc w:val="center"/>
              <w:rPr>
                <w:rFonts w:ascii="宋体" w:hAnsi="宋体" w:eastAsia="宋体" w:cs="宋体"/>
                <w:sz w:val="18"/>
                <w:szCs w:val="18"/>
              </w:rPr>
            </w:pPr>
            <w:r>
              <w:rPr>
                <w:rFonts w:ascii="宋体" w:hAnsi="宋体" w:eastAsia="宋体" w:cs="宋体"/>
                <w:sz w:val="18"/>
                <w:szCs w:val="18"/>
              </w:rPr>
              <w:t>承诺期限</w:t>
            </w:r>
          </w:p>
        </w:tc>
        <w:tc>
          <w:tcPr>
            <w:tcW w:w="1354" w:type="dxa"/>
            <w:tcBorders>
              <w:top w:val="single" w:color="auto" w:sz="2" w:space="0"/>
              <w:left w:val="single" w:color="auto" w:sz="2" w:space="0"/>
              <w:bottom w:val="single" w:color="auto" w:sz="2" w:space="0"/>
              <w:right w:val="single" w:color="auto" w:sz="2" w:space="0"/>
            </w:tcBorders>
            <w:shd w:val="clear" w:color="auto" w:fill="D3D3D3"/>
            <w:vAlign w:val="center"/>
          </w:tcPr>
          <w:p w14:paraId="5029A7DB">
            <w:pPr>
              <w:spacing w:before="40" w:after="40" w:line="240" w:lineRule="exact"/>
              <w:jc w:val="center"/>
              <w:rPr>
                <w:rFonts w:ascii="宋体" w:hAnsi="宋体" w:eastAsia="宋体" w:cs="宋体"/>
                <w:sz w:val="18"/>
                <w:szCs w:val="18"/>
              </w:rPr>
            </w:pPr>
            <w:r>
              <w:rPr>
                <w:rFonts w:ascii="宋体" w:hAnsi="宋体" w:eastAsia="宋体" w:cs="宋体"/>
                <w:sz w:val="18"/>
                <w:szCs w:val="18"/>
              </w:rPr>
              <w:t>履行情况</w:t>
            </w:r>
          </w:p>
        </w:tc>
      </w:tr>
      <w:tr w14:paraId="0FA5F101">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5819F8DE">
            <w:pPr>
              <w:spacing w:before="40" w:after="40" w:line="240" w:lineRule="exact"/>
              <w:rPr>
                <w:rFonts w:ascii="宋体" w:hAnsi="宋体" w:eastAsia="宋体" w:cs="宋体"/>
                <w:sz w:val="18"/>
                <w:szCs w:val="18"/>
              </w:rPr>
            </w:pPr>
            <w:r>
              <w:rPr>
                <w:rFonts w:ascii="宋体" w:hAnsi="宋体" w:eastAsia="宋体" w:cs="宋体"/>
                <w:sz w:val="18"/>
                <w:szCs w:val="18"/>
              </w:rPr>
              <w:t>股改承诺</w:t>
            </w:r>
          </w:p>
        </w:tc>
        <w:tc>
          <w:tcPr>
            <w:tcW w:w="964" w:type="dxa"/>
            <w:tcBorders>
              <w:top w:val="single" w:color="auto" w:sz="2" w:space="0"/>
              <w:left w:val="single" w:color="auto" w:sz="2" w:space="0"/>
              <w:bottom w:val="single" w:color="auto" w:sz="2" w:space="0"/>
              <w:right w:val="single" w:color="auto" w:sz="2" w:space="0"/>
            </w:tcBorders>
            <w:vAlign w:val="center"/>
          </w:tcPr>
          <w:p w14:paraId="7A50C5C9">
            <w:pPr>
              <w:spacing w:line="240" w:lineRule="exact"/>
              <w:rPr>
                <w:rFonts w:ascii="宋体" w:hAnsi="宋体" w:eastAsia="宋体" w:cs="宋体"/>
                <w:sz w:val="18"/>
                <w:szCs w:val="18"/>
              </w:rPr>
            </w:pPr>
          </w:p>
        </w:tc>
        <w:tc>
          <w:tcPr>
            <w:tcW w:w="1221" w:type="dxa"/>
            <w:tcBorders>
              <w:top w:val="single" w:color="auto" w:sz="2" w:space="0"/>
              <w:left w:val="single" w:color="auto" w:sz="2" w:space="0"/>
              <w:bottom w:val="single" w:color="auto" w:sz="2" w:space="0"/>
              <w:right w:val="single" w:color="auto" w:sz="2" w:space="0"/>
            </w:tcBorders>
            <w:vAlign w:val="center"/>
          </w:tcPr>
          <w:p w14:paraId="57675616">
            <w:pPr>
              <w:spacing w:line="240" w:lineRule="exact"/>
              <w:rPr>
                <w:rFonts w:ascii="宋体" w:hAnsi="宋体" w:eastAsia="宋体" w:cs="宋体"/>
                <w:sz w:val="18"/>
                <w:szCs w:val="18"/>
              </w:rPr>
            </w:pPr>
          </w:p>
        </w:tc>
        <w:tc>
          <w:tcPr>
            <w:tcW w:w="3525" w:type="dxa"/>
            <w:tcBorders>
              <w:top w:val="single" w:color="auto" w:sz="2" w:space="0"/>
              <w:left w:val="single" w:color="auto" w:sz="2" w:space="0"/>
              <w:bottom w:val="single" w:color="auto" w:sz="2" w:space="0"/>
              <w:right w:val="single" w:color="auto" w:sz="2" w:space="0"/>
            </w:tcBorders>
            <w:vAlign w:val="center"/>
          </w:tcPr>
          <w:p w14:paraId="067EC2C4">
            <w:pPr>
              <w:spacing w:line="240" w:lineRule="exact"/>
              <w:rPr>
                <w:rFonts w:ascii="宋体" w:hAnsi="宋体" w:eastAsia="宋体" w:cs="宋体"/>
                <w:sz w:val="18"/>
                <w:szCs w:val="18"/>
              </w:rPr>
            </w:pPr>
          </w:p>
        </w:tc>
        <w:tc>
          <w:tcPr>
            <w:tcW w:w="934" w:type="dxa"/>
            <w:tcBorders>
              <w:top w:val="single" w:color="auto" w:sz="2" w:space="0"/>
              <w:left w:val="single" w:color="auto" w:sz="2" w:space="0"/>
              <w:bottom w:val="single" w:color="auto" w:sz="2" w:space="0"/>
              <w:right w:val="single" w:color="auto" w:sz="2" w:space="0"/>
            </w:tcBorders>
            <w:vAlign w:val="center"/>
          </w:tcPr>
          <w:p w14:paraId="6B602D2C">
            <w:pPr>
              <w:spacing w:line="240" w:lineRule="exact"/>
              <w:rPr>
                <w:rFonts w:ascii="宋体" w:hAnsi="宋体" w:eastAsia="宋体" w:cs="宋体"/>
                <w:sz w:val="18"/>
                <w:szCs w:val="18"/>
              </w:rPr>
            </w:pPr>
          </w:p>
        </w:tc>
        <w:tc>
          <w:tcPr>
            <w:tcW w:w="718" w:type="dxa"/>
            <w:tcBorders>
              <w:top w:val="single" w:color="auto" w:sz="2" w:space="0"/>
              <w:left w:val="single" w:color="auto" w:sz="2" w:space="0"/>
              <w:bottom w:val="single" w:color="auto" w:sz="2" w:space="0"/>
              <w:right w:val="single" w:color="auto" w:sz="2" w:space="0"/>
            </w:tcBorders>
            <w:vAlign w:val="center"/>
          </w:tcPr>
          <w:p w14:paraId="075AF126">
            <w:pPr>
              <w:spacing w:line="240" w:lineRule="exact"/>
              <w:rPr>
                <w:rFonts w:ascii="宋体" w:hAnsi="宋体" w:eastAsia="宋体" w:cs="宋体"/>
                <w:sz w:val="18"/>
                <w:szCs w:val="18"/>
              </w:rPr>
            </w:pPr>
          </w:p>
        </w:tc>
        <w:tc>
          <w:tcPr>
            <w:tcW w:w="1354" w:type="dxa"/>
            <w:tcBorders>
              <w:top w:val="single" w:color="auto" w:sz="2" w:space="0"/>
              <w:left w:val="single" w:color="auto" w:sz="2" w:space="0"/>
              <w:bottom w:val="single" w:color="auto" w:sz="2" w:space="0"/>
              <w:right w:val="single" w:color="auto" w:sz="2" w:space="0"/>
            </w:tcBorders>
            <w:vAlign w:val="center"/>
          </w:tcPr>
          <w:p w14:paraId="0A707690">
            <w:pPr>
              <w:spacing w:line="240" w:lineRule="exact"/>
              <w:rPr>
                <w:rFonts w:ascii="宋体" w:hAnsi="宋体" w:eastAsia="宋体" w:cs="宋体"/>
                <w:sz w:val="18"/>
                <w:szCs w:val="18"/>
              </w:rPr>
            </w:pPr>
          </w:p>
        </w:tc>
      </w:tr>
      <w:tr w14:paraId="0355F582">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57EBC2CC">
            <w:pPr>
              <w:spacing w:before="40" w:after="40" w:line="240" w:lineRule="exact"/>
              <w:rPr>
                <w:rFonts w:ascii="宋体" w:hAnsi="宋体" w:eastAsia="宋体" w:cs="宋体"/>
                <w:sz w:val="18"/>
                <w:szCs w:val="18"/>
              </w:rPr>
            </w:pPr>
            <w:r>
              <w:rPr>
                <w:rFonts w:ascii="宋体" w:hAnsi="宋体" w:eastAsia="宋体" w:cs="宋体"/>
                <w:sz w:val="18"/>
                <w:szCs w:val="18"/>
              </w:rPr>
              <w:t>收购报告书或权益变动报告书中所作承诺</w:t>
            </w:r>
          </w:p>
        </w:tc>
        <w:tc>
          <w:tcPr>
            <w:tcW w:w="964" w:type="dxa"/>
            <w:tcBorders>
              <w:top w:val="single" w:color="auto" w:sz="2" w:space="0"/>
              <w:left w:val="single" w:color="auto" w:sz="2" w:space="0"/>
              <w:bottom w:val="single" w:color="auto" w:sz="2" w:space="0"/>
              <w:right w:val="single" w:color="auto" w:sz="2" w:space="0"/>
            </w:tcBorders>
            <w:vAlign w:val="center"/>
          </w:tcPr>
          <w:p w14:paraId="01FFB6F8">
            <w:pPr>
              <w:spacing w:line="240" w:lineRule="exact"/>
              <w:rPr>
                <w:rFonts w:ascii="宋体" w:hAnsi="宋体" w:eastAsia="宋体" w:cs="宋体"/>
                <w:sz w:val="18"/>
                <w:szCs w:val="18"/>
              </w:rPr>
            </w:pPr>
            <w:r>
              <w:rPr>
                <w:rFonts w:ascii="宋体" w:hAnsi="宋体" w:eastAsia="宋体" w:cs="宋体"/>
                <w:sz w:val="18"/>
                <w:szCs w:val="18"/>
              </w:rPr>
              <w:t>西藏盛邦控股有限公司</w:t>
            </w:r>
          </w:p>
        </w:tc>
        <w:tc>
          <w:tcPr>
            <w:tcW w:w="1221" w:type="dxa"/>
            <w:tcBorders>
              <w:top w:val="single" w:color="auto" w:sz="2" w:space="0"/>
              <w:left w:val="single" w:color="auto" w:sz="2" w:space="0"/>
              <w:bottom w:val="single" w:color="auto" w:sz="2" w:space="0"/>
              <w:right w:val="single" w:color="auto" w:sz="2" w:space="0"/>
            </w:tcBorders>
            <w:vAlign w:val="center"/>
          </w:tcPr>
          <w:p w14:paraId="3DE13BA0">
            <w:pPr>
              <w:spacing w:line="240" w:lineRule="exact"/>
              <w:rPr>
                <w:rFonts w:ascii="宋体" w:hAnsi="宋体" w:eastAsia="宋体" w:cs="宋体"/>
                <w:sz w:val="18"/>
                <w:szCs w:val="18"/>
              </w:rPr>
            </w:pPr>
            <w:r>
              <w:rPr>
                <w:rFonts w:ascii="宋体" w:hAnsi="宋体" w:eastAsia="宋体" w:cs="宋体"/>
                <w:sz w:val="18"/>
                <w:szCs w:val="18"/>
              </w:rPr>
              <w:t>关于保持上市公司独立性、避免与上市公司同业竞争、规范与上市公司关联交易的承诺。</w:t>
            </w:r>
          </w:p>
        </w:tc>
        <w:tc>
          <w:tcPr>
            <w:tcW w:w="3525" w:type="dxa"/>
            <w:tcBorders>
              <w:top w:val="single" w:color="auto" w:sz="2" w:space="0"/>
              <w:left w:val="single" w:color="auto" w:sz="2" w:space="0"/>
              <w:bottom w:val="single" w:color="auto" w:sz="2" w:space="0"/>
              <w:right w:val="single" w:color="auto" w:sz="2" w:space="0"/>
            </w:tcBorders>
            <w:vAlign w:val="center"/>
          </w:tcPr>
          <w:p w14:paraId="01917B65">
            <w:pPr>
              <w:spacing w:line="240" w:lineRule="exact"/>
              <w:rPr>
                <w:rFonts w:ascii="宋体" w:hAnsi="宋体" w:eastAsia="宋体" w:cs="宋体"/>
                <w:sz w:val="18"/>
                <w:szCs w:val="18"/>
              </w:rPr>
            </w:pPr>
            <w:r>
              <w:rPr>
                <w:rFonts w:ascii="宋体" w:hAnsi="宋体" w:eastAsia="宋体" w:cs="宋体"/>
                <w:sz w:val="18"/>
                <w:szCs w:val="18"/>
              </w:rPr>
              <w:t>1、承诺保持上市公司的人员独立、资产独立、财务独立、机构独立、业务独立。</w:t>
            </w:r>
          </w:p>
          <w:p w14:paraId="253CE657">
            <w:pPr>
              <w:spacing w:line="240" w:lineRule="exact"/>
              <w:rPr>
                <w:rFonts w:ascii="宋体" w:hAnsi="宋体" w:eastAsia="宋体" w:cs="宋体"/>
                <w:sz w:val="18"/>
                <w:szCs w:val="18"/>
              </w:rPr>
            </w:pPr>
            <w:r>
              <w:rPr>
                <w:rFonts w:ascii="宋体" w:hAnsi="宋体" w:eastAsia="宋体" w:cs="宋体"/>
                <w:sz w:val="18"/>
                <w:szCs w:val="18"/>
              </w:rPr>
              <w:t>2、本企业与上市公司不存在同业竞争或潜在的同业竞争。权益变动完成后，在本企业持有上市公司委托投票权期间，将不直接或间接经营任何与西藏发展及其下属子公司经营的业务构成竞争或可能构成竞争的其他行业。</w:t>
            </w:r>
          </w:p>
          <w:p w14:paraId="0152626A">
            <w:pPr>
              <w:spacing w:line="240" w:lineRule="exact"/>
              <w:rPr>
                <w:rFonts w:ascii="宋体" w:hAnsi="宋体" w:eastAsia="宋体" w:cs="宋体"/>
                <w:sz w:val="18"/>
                <w:szCs w:val="18"/>
              </w:rPr>
            </w:pPr>
            <w:r>
              <w:rPr>
                <w:rFonts w:ascii="宋体" w:hAnsi="宋体" w:eastAsia="宋体" w:cs="宋体"/>
                <w:sz w:val="18"/>
                <w:szCs w:val="18"/>
              </w:rPr>
              <w:t>3、本企业及其相关关联方如与西藏发展发生关联交易，将严格按照法律法规作出明确约定，并按照有关信息披露要求充分披露，其关联交易价格也将严格按照市场经济原则，采取市场定价确定交易价格，充分保证上市公司的利益及其他投资者的权益。</w:t>
            </w:r>
          </w:p>
        </w:tc>
        <w:tc>
          <w:tcPr>
            <w:tcW w:w="934" w:type="dxa"/>
            <w:tcBorders>
              <w:top w:val="single" w:color="auto" w:sz="2" w:space="0"/>
              <w:left w:val="single" w:color="auto" w:sz="2" w:space="0"/>
              <w:bottom w:val="single" w:color="auto" w:sz="2" w:space="0"/>
              <w:right w:val="single" w:color="auto" w:sz="2" w:space="0"/>
            </w:tcBorders>
            <w:vAlign w:val="center"/>
          </w:tcPr>
          <w:p w14:paraId="4A18E760">
            <w:pPr>
              <w:spacing w:line="240" w:lineRule="exact"/>
              <w:rPr>
                <w:rFonts w:ascii="宋体" w:hAnsi="宋体" w:eastAsia="宋体" w:cs="宋体"/>
                <w:sz w:val="18"/>
                <w:szCs w:val="18"/>
              </w:rPr>
            </w:pPr>
            <w:r>
              <w:rPr>
                <w:rFonts w:ascii="宋体" w:hAnsi="宋体" w:eastAsia="宋体" w:cs="宋体"/>
                <w:sz w:val="18"/>
                <w:szCs w:val="18"/>
              </w:rPr>
              <w:t>2019年12月17日</w:t>
            </w:r>
          </w:p>
        </w:tc>
        <w:tc>
          <w:tcPr>
            <w:tcW w:w="718" w:type="dxa"/>
            <w:tcBorders>
              <w:top w:val="single" w:color="auto" w:sz="2" w:space="0"/>
              <w:left w:val="single" w:color="auto" w:sz="2" w:space="0"/>
              <w:bottom w:val="single" w:color="auto" w:sz="2" w:space="0"/>
              <w:right w:val="single" w:color="auto" w:sz="2" w:space="0"/>
            </w:tcBorders>
            <w:vAlign w:val="center"/>
          </w:tcPr>
          <w:p w14:paraId="2626FB0E">
            <w:pPr>
              <w:spacing w:line="240" w:lineRule="exact"/>
              <w:rPr>
                <w:rFonts w:ascii="宋体" w:hAnsi="宋体" w:eastAsia="宋体" w:cs="宋体"/>
                <w:sz w:val="18"/>
                <w:szCs w:val="18"/>
              </w:rPr>
            </w:pPr>
            <w:r>
              <w:rPr>
                <w:rFonts w:ascii="宋体" w:hAnsi="宋体" w:eastAsia="宋体" w:cs="宋体"/>
                <w:sz w:val="18"/>
                <w:szCs w:val="18"/>
              </w:rPr>
              <w:t>长期有效</w:t>
            </w:r>
          </w:p>
        </w:tc>
        <w:tc>
          <w:tcPr>
            <w:tcW w:w="1354" w:type="dxa"/>
            <w:tcBorders>
              <w:top w:val="single" w:color="auto" w:sz="2" w:space="0"/>
              <w:left w:val="single" w:color="auto" w:sz="2" w:space="0"/>
              <w:bottom w:val="single" w:color="auto" w:sz="2" w:space="0"/>
              <w:right w:val="single" w:color="auto" w:sz="2" w:space="0"/>
            </w:tcBorders>
            <w:vAlign w:val="center"/>
          </w:tcPr>
          <w:p w14:paraId="3F55CE9E">
            <w:pPr>
              <w:spacing w:line="240" w:lineRule="exact"/>
              <w:rPr>
                <w:rFonts w:ascii="宋体" w:hAnsi="宋体" w:eastAsia="宋体" w:cs="宋体"/>
                <w:sz w:val="18"/>
                <w:szCs w:val="18"/>
              </w:rPr>
            </w:pPr>
            <w:r>
              <w:rPr>
                <w:rFonts w:hint="eastAsia" w:ascii="宋体" w:hAnsi="宋体" w:eastAsia="宋体" w:cs="宋体"/>
                <w:sz w:val="18"/>
                <w:szCs w:val="18"/>
                <w:highlight w:val="none"/>
                <w:lang w:val="en-US" w:eastAsia="zh-CN"/>
              </w:rPr>
              <w:t>根据立案调查情况，</w:t>
            </w:r>
            <w:r>
              <w:rPr>
                <w:rFonts w:ascii="宋体" w:hAnsi="宋体" w:eastAsia="宋体" w:cs="宋体"/>
                <w:sz w:val="18"/>
                <w:szCs w:val="18"/>
                <w:highlight w:val="none"/>
              </w:rPr>
              <w:t>因</w:t>
            </w:r>
            <w:r>
              <w:rPr>
                <w:rFonts w:ascii="宋体" w:hAnsi="宋体" w:eastAsia="宋体" w:cs="宋体"/>
                <w:sz w:val="18"/>
                <w:szCs w:val="18"/>
              </w:rPr>
              <w:t>西藏好物被认定与控股股东存在一定关联关系，导致上市公司与西藏好物的日常经营销售业务构成关联交易。公司已于2024年1月终止与西藏好物的合作。</w:t>
            </w:r>
          </w:p>
        </w:tc>
      </w:tr>
      <w:tr w14:paraId="4849AD68">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045AD5FE">
            <w:pPr>
              <w:spacing w:before="40" w:after="40" w:line="240" w:lineRule="exact"/>
              <w:rPr>
                <w:rFonts w:ascii="宋体" w:hAnsi="宋体" w:eastAsia="宋体" w:cs="宋体"/>
                <w:sz w:val="18"/>
                <w:szCs w:val="18"/>
              </w:rPr>
            </w:pPr>
            <w:r>
              <w:rPr>
                <w:rFonts w:ascii="宋体" w:hAnsi="宋体" w:eastAsia="宋体" w:cs="宋体"/>
                <w:sz w:val="18"/>
                <w:szCs w:val="18"/>
              </w:rPr>
              <w:t>资产重组时所作承诺</w:t>
            </w:r>
          </w:p>
        </w:tc>
        <w:tc>
          <w:tcPr>
            <w:tcW w:w="964" w:type="dxa"/>
            <w:tcBorders>
              <w:top w:val="single" w:color="auto" w:sz="2" w:space="0"/>
              <w:left w:val="single" w:color="auto" w:sz="2" w:space="0"/>
              <w:bottom w:val="single" w:color="auto" w:sz="2" w:space="0"/>
              <w:right w:val="single" w:color="auto" w:sz="2" w:space="0"/>
            </w:tcBorders>
            <w:vAlign w:val="center"/>
          </w:tcPr>
          <w:p w14:paraId="25BD77AB">
            <w:pPr>
              <w:spacing w:line="240" w:lineRule="exact"/>
              <w:rPr>
                <w:rFonts w:ascii="宋体" w:hAnsi="宋体" w:eastAsia="宋体" w:cs="宋体"/>
                <w:sz w:val="18"/>
                <w:szCs w:val="18"/>
              </w:rPr>
            </w:pPr>
          </w:p>
        </w:tc>
        <w:tc>
          <w:tcPr>
            <w:tcW w:w="1221" w:type="dxa"/>
            <w:tcBorders>
              <w:top w:val="single" w:color="auto" w:sz="2" w:space="0"/>
              <w:left w:val="single" w:color="auto" w:sz="2" w:space="0"/>
              <w:bottom w:val="single" w:color="auto" w:sz="2" w:space="0"/>
              <w:right w:val="single" w:color="auto" w:sz="2" w:space="0"/>
            </w:tcBorders>
            <w:vAlign w:val="center"/>
          </w:tcPr>
          <w:p w14:paraId="1D66CF79">
            <w:pPr>
              <w:spacing w:line="240" w:lineRule="exact"/>
              <w:rPr>
                <w:rFonts w:ascii="宋体" w:hAnsi="宋体" w:eastAsia="宋体" w:cs="宋体"/>
                <w:sz w:val="18"/>
                <w:szCs w:val="18"/>
              </w:rPr>
            </w:pPr>
          </w:p>
        </w:tc>
        <w:tc>
          <w:tcPr>
            <w:tcW w:w="3525" w:type="dxa"/>
            <w:tcBorders>
              <w:top w:val="single" w:color="auto" w:sz="2" w:space="0"/>
              <w:left w:val="single" w:color="auto" w:sz="2" w:space="0"/>
              <w:bottom w:val="single" w:color="auto" w:sz="2" w:space="0"/>
              <w:right w:val="single" w:color="auto" w:sz="2" w:space="0"/>
            </w:tcBorders>
            <w:vAlign w:val="center"/>
          </w:tcPr>
          <w:p w14:paraId="58DFA0B1">
            <w:pPr>
              <w:spacing w:line="240" w:lineRule="exact"/>
              <w:rPr>
                <w:rFonts w:ascii="宋体" w:hAnsi="宋体" w:eastAsia="宋体" w:cs="宋体"/>
                <w:sz w:val="18"/>
                <w:szCs w:val="18"/>
              </w:rPr>
            </w:pPr>
          </w:p>
        </w:tc>
        <w:tc>
          <w:tcPr>
            <w:tcW w:w="934" w:type="dxa"/>
            <w:tcBorders>
              <w:top w:val="single" w:color="auto" w:sz="2" w:space="0"/>
              <w:left w:val="single" w:color="auto" w:sz="2" w:space="0"/>
              <w:bottom w:val="single" w:color="auto" w:sz="2" w:space="0"/>
              <w:right w:val="single" w:color="auto" w:sz="2" w:space="0"/>
            </w:tcBorders>
            <w:vAlign w:val="center"/>
          </w:tcPr>
          <w:p w14:paraId="391B9EA2">
            <w:pPr>
              <w:spacing w:line="240" w:lineRule="exact"/>
              <w:rPr>
                <w:rFonts w:ascii="宋体" w:hAnsi="宋体" w:eastAsia="宋体" w:cs="宋体"/>
                <w:sz w:val="18"/>
                <w:szCs w:val="18"/>
              </w:rPr>
            </w:pPr>
          </w:p>
        </w:tc>
        <w:tc>
          <w:tcPr>
            <w:tcW w:w="718" w:type="dxa"/>
            <w:tcBorders>
              <w:top w:val="single" w:color="auto" w:sz="2" w:space="0"/>
              <w:left w:val="single" w:color="auto" w:sz="2" w:space="0"/>
              <w:bottom w:val="single" w:color="auto" w:sz="2" w:space="0"/>
              <w:right w:val="single" w:color="auto" w:sz="2" w:space="0"/>
            </w:tcBorders>
            <w:vAlign w:val="center"/>
          </w:tcPr>
          <w:p w14:paraId="6090EB1E">
            <w:pPr>
              <w:spacing w:line="240" w:lineRule="exact"/>
              <w:rPr>
                <w:rFonts w:ascii="宋体" w:hAnsi="宋体" w:eastAsia="宋体" w:cs="宋体"/>
                <w:sz w:val="18"/>
                <w:szCs w:val="18"/>
              </w:rPr>
            </w:pPr>
          </w:p>
        </w:tc>
        <w:tc>
          <w:tcPr>
            <w:tcW w:w="1354" w:type="dxa"/>
            <w:tcBorders>
              <w:top w:val="single" w:color="auto" w:sz="2" w:space="0"/>
              <w:left w:val="single" w:color="auto" w:sz="2" w:space="0"/>
              <w:bottom w:val="single" w:color="auto" w:sz="2" w:space="0"/>
              <w:right w:val="single" w:color="auto" w:sz="2" w:space="0"/>
            </w:tcBorders>
            <w:vAlign w:val="center"/>
          </w:tcPr>
          <w:p w14:paraId="28496F92">
            <w:pPr>
              <w:spacing w:line="240" w:lineRule="exact"/>
              <w:rPr>
                <w:rFonts w:ascii="宋体" w:hAnsi="宋体" w:eastAsia="宋体" w:cs="宋体"/>
                <w:sz w:val="18"/>
                <w:szCs w:val="18"/>
              </w:rPr>
            </w:pPr>
          </w:p>
        </w:tc>
      </w:tr>
      <w:tr w14:paraId="1583D8C5">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0061CC93">
            <w:pPr>
              <w:spacing w:before="40" w:after="40" w:line="240" w:lineRule="exact"/>
              <w:rPr>
                <w:rFonts w:ascii="宋体" w:hAnsi="宋体" w:eastAsia="宋体" w:cs="宋体"/>
                <w:sz w:val="18"/>
                <w:szCs w:val="18"/>
              </w:rPr>
            </w:pPr>
            <w:r>
              <w:rPr>
                <w:rFonts w:ascii="宋体" w:hAnsi="宋体" w:eastAsia="宋体" w:cs="宋体"/>
                <w:sz w:val="18"/>
                <w:szCs w:val="18"/>
              </w:rPr>
              <w:t>首次公开发行或再融资时所作承诺</w:t>
            </w:r>
          </w:p>
        </w:tc>
        <w:tc>
          <w:tcPr>
            <w:tcW w:w="964" w:type="dxa"/>
            <w:tcBorders>
              <w:top w:val="single" w:color="auto" w:sz="2" w:space="0"/>
              <w:left w:val="single" w:color="auto" w:sz="2" w:space="0"/>
              <w:bottom w:val="single" w:color="auto" w:sz="2" w:space="0"/>
              <w:right w:val="single" w:color="auto" w:sz="2" w:space="0"/>
            </w:tcBorders>
            <w:vAlign w:val="center"/>
          </w:tcPr>
          <w:p w14:paraId="3B1DA8AF">
            <w:pPr>
              <w:spacing w:line="240" w:lineRule="exact"/>
              <w:rPr>
                <w:rFonts w:ascii="宋体" w:hAnsi="宋体" w:eastAsia="宋体" w:cs="宋体"/>
                <w:sz w:val="18"/>
                <w:szCs w:val="18"/>
              </w:rPr>
            </w:pPr>
          </w:p>
        </w:tc>
        <w:tc>
          <w:tcPr>
            <w:tcW w:w="1221" w:type="dxa"/>
            <w:tcBorders>
              <w:top w:val="single" w:color="auto" w:sz="2" w:space="0"/>
              <w:left w:val="single" w:color="auto" w:sz="2" w:space="0"/>
              <w:bottom w:val="single" w:color="auto" w:sz="2" w:space="0"/>
              <w:right w:val="single" w:color="auto" w:sz="2" w:space="0"/>
            </w:tcBorders>
            <w:vAlign w:val="center"/>
          </w:tcPr>
          <w:p w14:paraId="54B1F111">
            <w:pPr>
              <w:spacing w:line="240" w:lineRule="exact"/>
              <w:rPr>
                <w:rFonts w:ascii="宋体" w:hAnsi="宋体" w:eastAsia="宋体" w:cs="宋体"/>
                <w:sz w:val="18"/>
                <w:szCs w:val="18"/>
              </w:rPr>
            </w:pPr>
          </w:p>
        </w:tc>
        <w:tc>
          <w:tcPr>
            <w:tcW w:w="3525" w:type="dxa"/>
            <w:tcBorders>
              <w:top w:val="single" w:color="auto" w:sz="2" w:space="0"/>
              <w:left w:val="single" w:color="auto" w:sz="2" w:space="0"/>
              <w:bottom w:val="single" w:color="auto" w:sz="2" w:space="0"/>
              <w:right w:val="single" w:color="auto" w:sz="2" w:space="0"/>
            </w:tcBorders>
            <w:vAlign w:val="center"/>
          </w:tcPr>
          <w:p w14:paraId="0AA5F038">
            <w:pPr>
              <w:spacing w:line="240" w:lineRule="exact"/>
              <w:rPr>
                <w:rFonts w:ascii="宋体" w:hAnsi="宋体" w:eastAsia="宋体" w:cs="宋体"/>
                <w:sz w:val="18"/>
                <w:szCs w:val="18"/>
              </w:rPr>
            </w:pPr>
          </w:p>
        </w:tc>
        <w:tc>
          <w:tcPr>
            <w:tcW w:w="934" w:type="dxa"/>
            <w:tcBorders>
              <w:top w:val="single" w:color="auto" w:sz="2" w:space="0"/>
              <w:left w:val="single" w:color="auto" w:sz="2" w:space="0"/>
              <w:bottom w:val="single" w:color="auto" w:sz="2" w:space="0"/>
              <w:right w:val="single" w:color="auto" w:sz="2" w:space="0"/>
            </w:tcBorders>
            <w:vAlign w:val="center"/>
          </w:tcPr>
          <w:p w14:paraId="3FB57C90">
            <w:pPr>
              <w:spacing w:line="240" w:lineRule="exact"/>
              <w:rPr>
                <w:rFonts w:ascii="宋体" w:hAnsi="宋体" w:eastAsia="宋体" w:cs="宋体"/>
                <w:sz w:val="18"/>
                <w:szCs w:val="18"/>
              </w:rPr>
            </w:pPr>
          </w:p>
        </w:tc>
        <w:tc>
          <w:tcPr>
            <w:tcW w:w="718" w:type="dxa"/>
            <w:tcBorders>
              <w:top w:val="single" w:color="auto" w:sz="2" w:space="0"/>
              <w:left w:val="single" w:color="auto" w:sz="2" w:space="0"/>
              <w:bottom w:val="single" w:color="auto" w:sz="2" w:space="0"/>
              <w:right w:val="single" w:color="auto" w:sz="2" w:space="0"/>
            </w:tcBorders>
            <w:vAlign w:val="center"/>
          </w:tcPr>
          <w:p w14:paraId="087694B4">
            <w:pPr>
              <w:spacing w:line="240" w:lineRule="exact"/>
              <w:rPr>
                <w:rFonts w:ascii="宋体" w:hAnsi="宋体" w:eastAsia="宋体" w:cs="宋体"/>
                <w:sz w:val="18"/>
                <w:szCs w:val="18"/>
              </w:rPr>
            </w:pPr>
          </w:p>
        </w:tc>
        <w:tc>
          <w:tcPr>
            <w:tcW w:w="1354" w:type="dxa"/>
            <w:tcBorders>
              <w:top w:val="single" w:color="auto" w:sz="2" w:space="0"/>
              <w:left w:val="single" w:color="auto" w:sz="2" w:space="0"/>
              <w:bottom w:val="single" w:color="auto" w:sz="2" w:space="0"/>
              <w:right w:val="single" w:color="auto" w:sz="2" w:space="0"/>
            </w:tcBorders>
            <w:vAlign w:val="center"/>
          </w:tcPr>
          <w:p w14:paraId="18ED2E8B">
            <w:pPr>
              <w:spacing w:line="240" w:lineRule="exact"/>
              <w:rPr>
                <w:rFonts w:ascii="宋体" w:hAnsi="宋体" w:eastAsia="宋体" w:cs="宋体"/>
                <w:sz w:val="18"/>
                <w:szCs w:val="18"/>
              </w:rPr>
            </w:pPr>
          </w:p>
        </w:tc>
      </w:tr>
      <w:tr w14:paraId="38662847">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389FC94B">
            <w:pPr>
              <w:spacing w:before="40" w:after="40" w:line="240" w:lineRule="exact"/>
              <w:rPr>
                <w:rFonts w:ascii="宋体" w:hAnsi="宋体" w:eastAsia="宋体" w:cs="宋体"/>
                <w:sz w:val="18"/>
                <w:szCs w:val="18"/>
              </w:rPr>
            </w:pPr>
            <w:r>
              <w:rPr>
                <w:rFonts w:ascii="宋体" w:hAnsi="宋体" w:eastAsia="宋体" w:cs="宋体"/>
                <w:sz w:val="18"/>
                <w:szCs w:val="18"/>
              </w:rPr>
              <w:t>股权激励承诺</w:t>
            </w:r>
          </w:p>
        </w:tc>
        <w:tc>
          <w:tcPr>
            <w:tcW w:w="964" w:type="dxa"/>
            <w:tcBorders>
              <w:top w:val="single" w:color="auto" w:sz="2" w:space="0"/>
              <w:left w:val="single" w:color="auto" w:sz="2" w:space="0"/>
              <w:bottom w:val="single" w:color="auto" w:sz="2" w:space="0"/>
              <w:right w:val="single" w:color="auto" w:sz="2" w:space="0"/>
            </w:tcBorders>
            <w:vAlign w:val="center"/>
          </w:tcPr>
          <w:p w14:paraId="3867BCE1">
            <w:pPr>
              <w:spacing w:line="240" w:lineRule="exact"/>
              <w:rPr>
                <w:rFonts w:ascii="宋体" w:hAnsi="宋体" w:eastAsia="宋体" w:cs="宋体"/>
                <w:sz w:val="18"/>
                <w:szCs w:val="18"/>
              </w:rPr>
            </w:pPr>
          </w:p>
        </w:tc>
        <w:tc>
          <w:tcPr>
            <w:tcW w:w="1221" w:type="dxa"/>
            <w:tcBorders>
              <w:top w:val="single" w:color="auto" w:sz="2" w:space="0"/>
              <w:left w:val="single" w:color="auto" w:sz="2" w:space="0"/>
              <w:bottom w:val="single" w:color="auto" w:sz="2" w:space="0"/>
              <w:right w:val="single" w:color="auto" w:sz="2" w:space="0"/>
            </w:tcBorders>
            <w:vAlign w:val="center"/>
          </w:tcPr>
          <w:p w14:paraId="1E4B3E7C">
            <w:pPr>
              <w:spacing w:line="240" w:lineRule="exact"/>
              <w:rPr>
                <w:rFonts w:ascii="宋体" w:hAnsi="宋体" w:eastAsia="宋体" w:cs="宋体"/>
                <w:sz w:val="18"/>
                <w:szCs w:val="18"/>
              </w:rPr>
            </w:pPr>
          </w:p>
        </w:tc>
        <w:tc>
          <w:tcPr>
            <w:tcW w:w="3525" w:type="dxa"/>
            <w:tcBorders>
              <w:top w:val="single" w:color="auto" w:sz="2" w:space="0"/>
              <w:left w:val="single" w:color="auto" w:sz="2" w:space="0"/>
              <w:bottom w:val="single" w:color="auto" w:sz="2" w:space="0"/>
              <w:right w:val="single" w:color="auto" w:sz="2" w:space="0"/>
            </w:tcBorders>
            <w:vAlign w:val="center"/>
          </w:tcPr>
          <w:p w14:paraId="6AA8F679">
            <w:pPr>
              <w:spacing w:line="240" w:lineRule="exact"/>
              <w:rPr>
                <w:rFonts w:ascii="宋体" w:hAnsi="宋体" w:eastAsia="宋体" w:cs="宋体"/>
                <w:sz w:val="18"/>
                <w:szCs w:val="18"/>
              </w:rPr>
            </w:pPr>
          </w:p>
        </w:tc>
        <w:tc>
          <w:tcPr>
            <w:tcW w:w="934" w:type="dxa"/>
            <w:tcBorders>
              <w:top w:val="single" w:color="auto" w:sz="2" w:space="0"/>
              <w:left w:val="single" w:color="auto" w:sz="2" w:space="0"/>
              <w:bottom w:val="single" w:color="auto" w:sz="2" w:space="0"/>
              <w:right w:val="single" w:color="auto" w:sz="2" w:space="0"/>
            </w:tcBorders>
            <w:vAlign w:val="center"/>
          </w:tcPr>
          <w:p w14:paraId="5A31341D">
            <w:pPr>
              <w:spacing w:line="240" w:lineRule="exact"/>
              <w:rPr>
                <w:rFonts w:ascii="宋体" w:hAnsi="宋体" w:eastAsia="宋体" w:cs="宋体"/>
                <w:sz w:val="18"/>
                <w:szCs w:val="18"/>
              </w:rPr>
            </w:pPr>
          </w:p>
        </w:tc>
        <w:tc>
          <w:tcPr>
            <w:tcW w:w="718" w:type="dxa"/>
            <w:tcBorders>
              <w:top w:val="single" w:color="auto" w:sz="2" w:space="0"/>
              <w:left w:val="single" w:color="auto" w:sz="2" w:space="0"/>
              <w:bottom w:val="single" w:color="auto" w:sz="2" w:space="0"/>
              <w:right w:val="single" w:color="auto" w:sz="2" w:space="0"/>
            </w:tcBorders>
            <w:vAlign w:val="center"/>
          </w:tcPr>
          <w:p w14:paraId="21EF1373">
            <w:pPr>
              <w:spacing w:line="240" w:lineRule="exact"/>
              <w:rPr>
                <w:rFonts w:ascii="宋体" w:hAnsi="宋体" w:eastAsia="宋体" w:cs="宋体"/>
                <w:sz w:val="18"/>
                <w:szCs w:val="18"/>
              </w:rPr>
            </w:pPr>
          </w:p>
        </w:tc>
        <w:tc>
          <w:tcPr>
            <w:tcW w:w="1354" w:type="dxa"/>
            <w:tcBorders>
              <w:top w:val="single" w:color="auto" w:sz="2" w:space="0"/>
              <w:left w:val="single" w:color="auto" w:sz="2" w:space="0"/>
              <w:bottom w:val="single" w:color="auto" w:sz="2" w:space="0"/>
              <w:right w:val="single" w:color="auto" w:sz="2" w:space="0"/>
            </w:tcBorders>
            <w:vAlign w:val="center"/>
          </w:tcPr>
          <w:p w14:paraId="3A739D67">
            <w:pPr>
              <w:spacing w:line="240" w:lineRule="exact"/>
              <w:rPr>
                <w:rFonts w:ascii="宋体" w:hAnsi="宋体" w:eastAsia="宋体" w:cs="宋体"/>
                <w:sz w:val="18"/>
                <w:szCs w:val="18"/>
              </w:rPr>
            </w:pPr>
          </w:p>
        </w:tc>
      </w:tr>
      <w:tr w14:paraId="2902DD90">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58B8CE07">
            <w:pPr>
              <w:spacing w:before="40" w:after="40" w:line="240" w:lineRule="exact"/>
              <w:rPr>
                <w:rFonts w:ascii="宋体" w:hAnsi="宋体" w:eastAsia="宋体" w:cs="宋体"/>
                <w:sz w:val="18"/>
                <w:szCs w:val="18"/>
              </w:rPr>
            </w:pPr>
            <w:r>
              <w:rPr>
                <w:rFonts w:ascii="宋体" w:hAnsi="宋体" w:eastAsia="宋体" w:cs="宋体"/>
                <w:sz w:val="18"/>
                <w:szCs w:val="18"/>
              </w:rPr>
              <w:t>其他对公司中小股东所作承诺</w:t>
            </w:r>
          </w:p>
        </w:tc>
        <w:tc>
          <w:tcPr>
            <w:tcW w:w="964" w:type="dxa"/>
            <w:tcBorders>
              <w:top w:val="single" w:color="auto" w:sz="2" w:space="0"/>
              <w:left w:val="single" w:color="auto" w:sz="2" w:space="0"/>
              <w:bottom w:val="single" w:color="auto" w:sz="2" w:space="0"/>
              <w:right w:val="single" w:color="auto" w:sz="2" w:space="0"/>
            </w:tcBorders>
            <w:vAlign w:val="center"/>
          </w:tcPr>
          <w:p w14:paraId="02E22AF0">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c>
          <w:tcPr>
            <w:tcW w:w="1221" w:type="dxa"/>
            <w:tcBorders>
              <w:top w:val="single" w:color="auto" w:sz="2" w:space="0"/>
              <w:left w:val="single" w:color="auto" w:sz="2" w:space="0"/>
              <w:bottom w:val="single" w:color="auto" w:sz="2" w:space="0"/>
              <w:right w:val="single" w:color="auto" w:sz="2" w:space="0"/>
            </w:tcBorders>
            <w:vAlign w:val="center"/>
          </w:tcPr>
          <w:p w14:paraId="78970FCE">
            <w:pPr>
              <w:spacing w:line="240" w:lineRule="exact"/>
              <w:rPr>
                <w:rFonts w:ascii="宋体" w:hAnsi="宋体" w:eastAsia="宋体" w:cs="宋体"/>
                <w:sz w:val="18"/>
                <w:szCs w:val="18"/>
              </w:rPr>
            </w:pPr>
            <w:r>
              <w:rPr>
                <w:rFonts w:ascii="宋体" w:hAnsi="宋体" w:eastAsia="宋体" w:cs="宋体"/>
                <w:sz w:val="18"/>
                <w:szCs w:val="18"/>
              </w:rPr>
              <w:t>关于同业竞争、关联交易、资金占用方面的承诺</w:t>
            </w:r>
          </w:p>
        </w:tc>
        <w:tc>
          <w:tcPr>
            <w:tcW w:w="3525" w:type="dxa"/>
            <w:tcBorders>
              <w:top w:val="single" w:color="auto" w:sz="2" w:space="0"/>
              <w:left w:val="single" w:color="auto" w:sz="2" w:space="0"/>
              <w:bottom w:val="single" w:color="auto" w:sz="2" w:space="0"/>
              <w:right w:val="single" w:color="auto" w:sz="2" w:space="0"/>
            </w:tcBorders>
            <w:vAlign w:val="center"/>
          </w:tcPr>
          <w:p w14:paraId="2B160CEF">
            <w:pPr>
              <w:spacing w:line="240" w:lineRule="exact"/>
              <w:rPr>
                <w:rFonts w:ascii="宋体" w:hAnsi="宋体" w:eastAsia="宋体" w:cs="宋体"/>
                <w:sz w:val="18"/>
                <w:szCs w:val="18"/>
              </w:rPr>
            </w:pPr>
            <w:r>
              <w:rPr>
                <w:rFonts w:ascii="宋体" w:hAnsi="宋体" w:eastAsia="宋体" w:cs="宋体"/>
                <w:sz w:val="18"/>
                <w:szCs w:val="18"/>
              </w:rPr>
              <w:t>1、承诺控制的其他企业目前没有、将来也不直接或间接从事与西藏发展及其子公司现有及将来从事的业务构成同业竞争的任何活动；并未直接或间接拥有从事与公司可能产生同业竞争的其他企业（“竞争企业”）的任何股份、股权或在任何竞争企业有任何权益，将来也不会直接或间接投资、收购竞争企业；控制的其他企业从任何第三方获得的任何商业机会与公司之业务构成或可能构成实质性竞争的，本承诺人将立即通知公司，并将该等商业机会让与公司；控制的其他企业将不向其业务与公司之业务构成竞争的其他公司、企业、组织或个人提供技术信息、工艺流程、销售渠道等商业秘密；不利用本承诺人作为控股股东的地位损害西藏发展以及西藏发展其他股东的权益。</w:t>
            </w:r>
          </w:p>
          <w:p w14:paraId="3A6A9F81">
            <w:pPr>
              <w:spacing w:line="240" w:lineRule="exact"/>
              <w:rPr>
                <w:rFonts w:ascii="宋体" w:hAnsi="宋体" w:eastAsia="宋体" w:cs="宋体"/>
                <w:sz w:val="18"/>
                <w:szCs w:val="18"/>
              </w:rPr>
            </w:pPr>
            <w:r>
              <w:rPr>
                <w:rFonts w:ascii="宋体" w:hAnsi="宋体" w:eastAsia="宋体" w:cs="宋体"/>
                <w:sz w:val="18"/>
                <w:szCs w:val="18"/>
              </w:rPr>
              <w:t>2、承诺不利用控股股东的地位影响西藏发展的独立性，并将保持西藏发展在资产、人员、财务、业务和机构等方面的独立；将尽可能地避免和减少与西藏发展之间将来可能发生的关联交易。对于无法避免或者有合理原因而发生的关联交易以及其他持续经营所发生的必要的关联交易，在不与法律、法规相抵触的前提下，在权利所及范围内，承诺将遵循市场公正、公平、公开的原则，并依法签订协议，履行合法程序，按照西藏发展公司章程、有关法律法规和《深圳证券交易所股票上市规则》等有关规定履行信息披露义务和办理有关报批程序，保证不通过关联交易损害西藏发展及其他股东的合法权益。将严格按照《公司法》、《上市公司治理准则》等法律法规以及西藏发展章程的有关规定行使股东权利；在股东大会对有关涉及本承诺人事项的关联交易进行表决时，履行回避表决的义务。承诺杜绝一切非法占用西藏发展的资金、资产的行为，在任何情况下，不要求西藏发展向本承诺人提供任何形式的担保。本承诺人有关规范关联交易的承诺，同样适用于本承诺人控制的其他企业（西藏发展及其子公司除外），本承诺人将在合法权限范围内促成本承诺人控制的其他企业履行规范与西藏发展之间</w:t>
            </w:r>
            <w:r>
              <w:rPr>
                <w:rFonts w:hint="eastAsia" w:ascii="宋体" w:hAnsi="宋体" w:eastAsia="宋体" w:cs="宋体"/>
                <w:sz w:val="18"/>
                <w:szCs w:val="18"/>
                <w:lang w:val="en-US" w:eastAsia="zh-CN"/>
              </w:rPr>
              <w:t>已经</w:t>
            </w:r>
            <w:r>
              <w:rPr>
                <w:rFonts w:ascii="宋体" w:hAnsi="宋体" w:eastAsia="宋体" w:cs="宋体"/>
                <w:sz w:val="18"/>
                <w:szCs w:val="18"/>
              </w:rPr>
              <w:t>存在或可能发生的关联交易的义务。如因本承诺人未履行本承诺函所作的承诺而给西藏发展造成一切损失和后果，本承诺人承担赔偿责任。</w:t>
            </w:r>
          </w:p>
        </w:tc>
        <w:tc>
          <w:tcPr>
            <w:tcW w:w="934" w:type="dxa"/>
            <w:tcBorders>
              <w:top w:val="single" w:color="auto" w:sz="2" w:space="0"/>
              <w:left w:val="single" w:color="auto" w:sz="2" w:space="0"/>
              <w:bottom w:val="single" w:color="auto" w:sz="2" w:space="0"/>
              <w:right w:val="single" w:color="auto" w:sz="2" w:space="0"/>
            </w:tcBorders>
            <w:vAlign w:val="center"/>
          </w:tcPr>
          <w:p w14:paraId="5E9F76C5">
            <w:pPr>
              <w:spacing w:line="240" w:lineRule="exact"/>
              <w:rPr>
                <w:rFonts w:ascii="宋体" w:hAnsi="宋体" w:eastAsia="宋体" w:cs="宋体"/>
                <w:sz w:val="18"/>
                <w:szCs w:val="18"/>
              </w:rPr>
            </w:pPr>
            <w:r>
              <w:rPr>
                <w:rFonts w:ascii="宋体" w:hAnsi="宋体" w:eastAsia="宋体" w:cs="宋体"/>
                <w:sz w:val="18"/>
                <w:szCs w:val="18"/>
              </w:rPr>
              <w:t>2016年10月26日</w:t>
            </w:r>
          </w:p>
        </w:tc>
        <w:tc>
          <w:tcPr>
            <w:tcW w:w="718" w:type="dxa"/>
            <w:tcBorders>
              <w:top w:val="single" w:color="auto" w:sz="2" w:space="0"/>
              <w:left w:val="single" w:color="auto" w:sz="2" w:space="0"/>
              <w:bottom w:val="single" w:color="auto" w:sz="2" w:space="0"/>
              <w:right w:val="single" w:color="auto" w:sz="2" w:space="0"/>
            </w:tcBorders>
            <w:vAlign w:val="center"/>
          </w:tcPr>
          <w:p w14:paraId="3E8211BA">
            <w:pPr>
              <w:spacing w:line="240" w:lineRule="exact"/>
              <w:rPr>
                <w:rFonts w:ascii="宋体" w:hAnsi="宋体" w:eastAsia="宋体" w:cs="宋体"/>
                <w:sz w:val="18"/>
                <w:szCs w:val="18"/>
              </w:rPr>
            </w:pPr>
            <w:r>
              <w:rPr>
                <w:rFonts w:ascii="宋体" w:hAnsi="宋体" w:eastAsia="宋体" w:cs="宋体"/>
                <w:sz w:val="18"/>
                <w:szCs w:val="18"/>
              </w:rPr>
              <w:t>长期有效</w:t>
            </w:r>
          </w:p>
        </w:tc>
        <w:tc>
          <w:tcPr>
            <w:tcW w:w="1354" w:type="dxa"/>
            <w:tcBorders>
              <w:top w:val="single" w:color="auto" w:sz="2" w:space="0"/>
              <w:left w:val="single" w:color="auto" w:sz="2" w:space="0"/>
              <w:bottom w:val="single" w:color="auto" w:sz="2" w:space="0"/>
              <w:right w:val="single" w:color="auto" w:sz="2" w:space="0"/>
            </w:tcBorders>
            <w:vAlign w:val="center"/>
          </w:tcPr>
          <w:p w14:paraId="6D6A21A2">
            <w:pPr>
              <w:spacing w:line="240" w:lineRule="exact"/>
              <w:rPr>
                <w:rFonts w:ascii="宋体" w:hAnsi="宋体" w:eastAsia="宋体" w:cs="宋体"/>
                <w:sz w:val="18"/>
                <w:szCs w:val="18"/>
              </w:rPr>
            </w:pPr>
            <w:r>
              <w:rPr>
                <w:rFonts w:ascii="宋体" w:hAnsi="宋体" w:eastAsia="宋体" w:cs="宋体"/>
                <w:sz w:val="18"/>
                <w:szCs w:val="18"/>
              </w:rPr>
              <w:t>根据公司被立案调查情况及公司自查情况，报告期内，发现天易隆兴及关联方可能涉嫌占用资金目前尚待偿还余额约为1.85亿元。</w:t>
            </w:r>
          </w:p>
        </w:tc>
      </w:tr>
      <w:tr w14:paraId="7342377D">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43A6B9AB">
            <w:pPr>
              <w:spacing w:before="40" w:after="40" w:line="240" w:lineRule="exact"/>
              <w:rPr>
                <w:rFonts w:ascii="宋体" w:hAnsi="宋体" w:eastAsia="宋体" w:cs="宋体"/>
                <w:sz w:val="18"/>
                <w:szCs w:val="18"/>
              </w:rPr>
            </w:pPr>
            <w:r>
              <w:rPr>
                <w:rFonts w:ascii="宋体" w:hAnsi="宋体" w:eastAsia="宋体" w:cs="宋体"/>
                <w:sz w:val="18"/>
                <w:szCs w:val="18"/>
              </w:rPr>
              <w:t>其他承诺</w:t>
            </w:r>
          </w:p>
        </w:tc>
        <w:tc>
          <w:tcPr>
            <w:tcW w:w="964" w:type="dxa"/>
            <w:tcBorders>
              <w:top w:val="single" w:color="auto" w:sz="2" w:space="0"/>
              <w:left w:val="single" w:color="auto" w:sz="2" w:space="0"/>
              <w:bottom w:val="single" w:color="auto" w:sz="2" w:space="0"/>
              <w:right w:val="single" w:color="auto" w:sz="2" w:space="0"/>
            </w:tcBorders>
            <w:vAlign w:val="center"/>
          </w:tcPr>
          <w:p w14:paraId="5183F365">
            <w:pPr>
              <w:spacing w:line="240" w:lineRule="exact"/>
              <w:rPr>
                <w:rFonts w:ascii="宋体" w:hAnsi="宋体" w:eastAsia="宋体" w:cs="宋体"/>
                <w:sz w:val="18"/>
                <w:szCs w:val="18"/>
              </w:rPr>
            </w:pPr>
          </w:p>
        </w:tc>
        <w:tc>
          <w:tcPr>
            <w:tcW w:w="1221" w:type="dxa"/>
            <w:tcBorders>
              <w:top w:val="single" w:color="auto" w:sz="2" w:space="0"/>
              <w:left w:val="single" w:color="auto" w:sz="2" w:space="0"/>
              <w:bottom w:val="single" w:color="auto" w:sz="2" w:space="0"/>
              <w:right w:val="single" w:color="auto" w:sz="2" w:space="0"/>
            </w:tcBorders>
            <w:vAlign w:val="center"/>
          </w:tcPr>
          <w:p w14:paraId="224F3E1A">
            <w:pPr>
              <w:spacing w:line="240" w:lineRule="exact"/>
              <w:rPr>
                <w:rFonts w:ascii="宋体" w:hAnsi="宋体" w:eastAsia="宋体" w:cs="宋体"/>
                <w:sz w:val="18"/>
                <w:szCs w:val="18"/>
              </w:rPr>
            </w:pPr>
          </w:p>
        </w:tc>
        <w:tc>
          <w:tcPr>
            <w:tcW w:w="3525" w:type="dxa"/>
            <w:tcBorders>
              <w:top w:val="single" w:color="auto" w:sz="2" w:space="0"/>
              <w:left w:val="single" w:color="auto" w:sz="2" w:space="0"/>
              <w:bottom w:val="single" w:color="auto" w:sz="2" w:space="0"/>
              <w:right w:val="single" w:color="auto" w:sz="2" w:space="0"/>
            </w:tcBorders>
            <w:vAlign w:val="center"/>
          </w:tcPr>
          <w:p w14:paraId="5E5F2EEC">
            <w:pPr>
              <w:spacing w:line="240" w:lineRule="exact"/>
              <w:rPr>
                <w:rFonts w:ascii="宋体" w:hAnsi="宋体" w:eastAsia="宋体" w:cs="宋体"/>
                <w:sz w:val="18"/>
                <w:szCs w:val="18"/>
              </w:rPr>
            </w:pPr>
          </w:p>
        </w:tc>
        <w:tc>
          <w:tcPr>
            <w:tcW w:w="934" w:type="dxa"/>
            <w:tcBorders>
              <w:top w:val="single" w:color="auto" w:sz="2" w:space="0"/>
              <w:left w:val="single" w:color="auto" w:sz="2" w:space="0"/>
              <w:bottom w:val="single" w:color="auto" w:sz="2" w:space="0"/>
              <w:right w:val="single" w:color="auto" w:sz="2" w:space="0"/>
            </w:tcBorders>
            <w:vAlign w:val="center"/>
          </w:tcPr>
          <w:p w14:paraId="639158B8">
            <w:pPr>
              <w:spacing w:line="240" w:lineRule="exact"/>
              <w:rPr>
                <w:rFonts w:ascii="宋体" w:hAnsi="宋体" w:eastAsia="宋体" w:cs="宋体"/>
                <w:sz w:val="18"/>
                <w:szCs w:val="18"/>
              </w:rPr>
            </w:pPr>
          </w:p>
        </w:tc>
        <w:tc>
          <w:tcPr>
            <w:tcW w:w="718" w:type="dxa"/>
            <w:tcBorders>
              <w:top w:val="single" w:color="auto" w:sz="2" w:space="0"/>
              <w:left w:val="single" w:color="auto" w:sz="2" w:space="0"/>
              <w:bottom w:val="single" w:color="auto" w:sz="2" w:space="0"/>
              <w:right w:val="single" w:color="auto" w:sz="2" w:space="0"/>
            </w:tcBorders>
            <w:vAlign w:val="center"/>
          </w:tcPr>
          <w:p w14:paraId="34E65EBC">
            <w:pPr>
              <w:spacing w:line="240" w:lineRule="exact"/>
              <w:rPr>
                <w:rFonts w:ascii="宋体" w:hAnsi="宋体" w:eastAsia="宋体" w:cs="宋体"/>
                <w:sz w:val="18"/>
                <w:szCs w:val="18"/>
              </w:rPr>
            </w:pPr>
          </w:p>
        </w:tc>
        <w:tc>
          <w:tcPr>
            <w:tcW w:w="1354" w:type="dxa"/>
            <w:tcBorders>
              <w:top w:val="single" w:color="auto" w:sz="2" w:space="0"/>
              <w:left w:val="single" w:color="auto" w:sz="2" w:space="0"/>
              <w:bottom w:val="single" w:color="auto" w:sz="2" w:space="0"/>
              <w:right w:val="single" w:color="auto" w:sz="2" w:space="0"/>
            </w:tcBorders>
            <w:vAlign w:val="center"/>
          </w:tcPr>
          <w:p w14:paraId="192AE982">
            <w:pPr>
              <w:spacing w:line="240" w:lineRule="exact"/>
              <w:rPr>
                <w:rFonts w:ascii="宋体" w:hAnsi="宋体" w:eastAsia="宋体" w:cs="宋体"/>
                <w:sz w:val="18"/>
                <w:szCs w:val="18"/>
              </w:rPr>
            </w:pPr>
          </w:p>
        </w:tc>
      </w:tr>
      <w:tr w14:paraId="555BB289">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211E3B0E">
            <w:pPr>
              <w:spacing w:before="40" w:after="40" w:line="240" w:lineRule="exact"/>
              <w:rPr>
                <w:rFonts w:ascii="宋体" w:hAnsi="宋体" w:eastAsia="宋体" w:cs="宋体"/>
                <w:sz w:val="18"/>
                <w:szCs w:val="18"/>
              </w:rPr>
            </w:pPr>
            <w:r>
              <w:rPr>
                <w:rFonts w:ascii="宋体" w:hAnsi="宋体" w:eastAsia="宋体" w:cs="宋体"/>
                <w:sz w:val="18"/>
                <w:szCs w:val="18"/>
              </w:rPr>
              <w:t>承诺是否按时履行</w:t>
            </w:r>
          </w:p>
        </w:tc>
        <w:tc>
          <w:tcPr>
            <w:tcW w:w="8716" w:type="dxa"/>
            <w:gridSpan w:val="6"/>
            <w:tcBorders>
              <w:top w:val="single" w:color="auto" w:sz="2" w:space="0"/>
              <w:left w:val="single" w:color="auto" w:sz="2" w:space="0"/>
              <w:bottom w:val="single" w:color="auto" w:sz="2" w:space="0"/>
              <w:right w:val="single" w:color="auto" w:sz="2" w:space="0"/>
            </w:tcBorders>
            <w:vAlign w:val="center"/>
          </w:tcPr>
          <w:p w14:paraId="48D1DCBB">
            <w:pPr>
              <w:spacing w:line="240" w:lineRule="exact"/>
              <w:rPr>
                <w:rFonts w:ascii="宋体" w:hAnsi="宋体" w:eastAsia="宋体" w:cs="宋体"/>
                <w:sz w:val="18"/>
                <w:szCs w:val="18"/>
              </w:rPr>
            </w:pPr>
            <w:r>
              <w:rPr>
                <w:rFonts w:hint="eastAsia" w:ascii="宋体" w:hAnsi="宋体" w:eastAsia="宋体" w:cs="宋体"/>
                <w:sz w:val="18"/>
                <w:szCs w:val="18"/>
              </w:rPr>
              <w:t>是</w:t>
            </w:r>
          </w:p>
        </w:tc>
      </w:tr>
      <w:tr w14:paraId="575CA482">
        <w:trPr>
          <w:trHeight w:val="240" w:hRule="atLeast"/>
        </w:trPr>
        <w:tc>
          <w:tcPr>
            <w:tcW w:w="1436" w:type="dxa"/>
            <w:tcBorders>
              <w:top w:val="single" w:color="auto" w:sz="2" w:space="0"/>
              <w:left w:val="single" w:color="auto" w:sz="2" w:space="0"/>
              <w:bottom w:val="single" w:color="auto" w:sz="2" w:space="0"/>
              <w:right w:val="single" w:color="auto" w:sz="2" w:space="0"/>
            </w:tcBorders>
            <w:shd w:val="clear" w:color="auto" w:fill="D3D3D3"/>
            <w:vAlign w:val="center"/>
          </w:tcPr>
          <w:p w14:paraId="4EC8C1C6">
            <w:pPr>
              <w:spacing w:before="40" w:after="40" w:line="240" w:lineRule="exact"/>
              <w:rPr>
                <w:rFonts w:ascii="宋体" w:hAnsi="宋体" w:eastAsia="宋体" w:cs="宋体"/>
                <w:sz w:val="18"/>
                <w:szCs w:val="18"/>
              </w:rPr>
            </w:pPr>
            <w:r>
              <w:rPr>
                <w:rFonts w:ascii="宋体" w:hAnsi="宋体" w:eastAsia="宋体" w:cs="宋体"/>
                <w:sz w:val="18"/>
                <w:szCs w:val="18"/>
              </w:rPr>
              <w:t>如承诺超期未履行完毕的，应当详细说明未完成履行的具体原因及下一步的工作计划</w:t>
            </w:r>
          </w:p>
        </w:tc>
        <w:tc>
          <w:tcPr>
            <w:tcW w:w="8716" w:type="dxa"/>
            <w:gridSpan w:val="6"/>
            <w:tcBorders>
              <w:top w:val="single" w:color="auto" w:sz="2" w:space="0"/>
              <w:left w:val="single" w:color="auto" w:sz="2" w:space="0"/>
              <w:bottom w:val="single" w:color="auto" w:sz="2" w:space="0"/>
              <w:right w:val="single" w:color="auto" w:sz="2" w:space="0"/>
            </w:tcBorders>
            <w:vAlign w:val="center"/>
          </w:tcPr>
          <w:p w14:paraId="2F44CBDD">
            <w:pPr>
              <w:spacing w:line="240" w:lineRule="exact"/>
              <w:rPr>
                <w:rFonts w:ascii="宋体" w:hAnsi="宋体" w:eastAsia="宋体" w:cs="宋体"/>
                <w:sz w:val="18"/>
                <w:szCs w:val="18"/>
              </w:rPr>
            </w:pPr>
            <w:r>
              <w:rPr>
                <w:rFonts w:hint="eastAsia" w:ascii="宋体" w:hAnsi="宋体" w:eastAsia="宋体" w:cs="宋体"/>
                <w:sz w:val="18"/>
                <w:szCs w:val="18"/>
              </w:rPr>
              <w:t>不适用</w:t>
            </w:r>
          </w:p>
        </w:tc>
      </w:tr>
    </w:tbl>
    <w:p w14:paraId="73417EAD">
      <w:pPr>
        <w:pStyle w:val="2"/>
        <w:spacing w:before="300" w:after="300" w:line="320" w:lineRule="exact"/>
        <w:rPr>
          <w:rFonts w:ascii="宋体" w:hAnsi="宋体" w:eastAsia="宋体" w:cs="宋体"/>
          <w:b/>
          <w:bCs/>
          <w:sz w:val="24"/>
          <w:szCs w:val="24"/>
        </w:rPr>
      </w:pPr>
      <w:bookmarkStart w:id="50" w:name="_Toc988939"/>
      <w:r>
        <w:rPr>
          <w:rFonts w:ascii="宋体" w:hAnsi="宋体" w:eastAsia="宋体" w:cs="宋体"/>
          <w:b/>
          <w:bCs/>
          <w:sz w:val="24"/>
          <w:szCs w:val="24"/>
        </w:rPr>
        <w:t>二、控股股东及其他关联方对上市公司的非经营性占用资金情况</w:t>
      </w:r>
      <w:bookmarkEnd w:id="50"/>
    </w:p>
    <w:p w14:paraId="32A595FB">
      <w:pPr>
        <w:spacing w:before="40" w:after="4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15777DA7">
      <w:pPr>
        <w:spacing w:before="120" w:after="120" w:line="240" w:lineRule="exact"/>
        <w:jc w:val="right"/>
        <w:rPr>
          <w:rFonts w:ascii="宋体" w:hAnsi="宋体" w:eastAsia="宋体" w:cs="宋体"/>
          <w:sz w:val="18"/>
          <w:szCs w:val="18"/>
        </w:rPr>
      </w:pPr>
      <w:r>
        <w:rPr>
          <w:rFonts w:ascii="宋体" w:hAnsi="宋体" w:eastAsia="宋体" w:cs="宋体"/>
          <w:sz w:val="18"/>
          <w:szCs w:val="18"/>
        </w:rPr>
        <w:t>单位：万元</w:t>
      </w:r>
    </w:p>
    <w:tbl>
      <w:tblPr>
        <w:tblStyle w:val="11"/>
        <w:tblW w:w="0" w:type="auto"/>
        <w:tblInd w:w="-23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5"/>
        <w:gridCol w:w="503"/>
        <w:gridCol w:w="656"/>
        <w:gridCol w:w="1622"/>
        <w:gridCol w:w="1026"/>
        <w:gridCol w:w="567"/>
        <w:gridCol w:w="545"/>
        <w:gridCol w:w="1026"/>
        <w:gridCol w:w="1143"/>
        <w:gridCol w:w="503"/>
        <w:gridCol w:w="1058"/>
        <w:gridCol w:w="747"/>
      </w:tblGrid>
      <w:tr w14:paraId="787245D7">
        <w:trPr>
          <w:trHeight w:val="240" w:hRule="atLeast"/>
        </w:trPr>
        <w:tc>
          <w:tcPr>
            <w:tcW w:w="695" w:type="dxa"/>
            <w:tcBorders>
              <w:top w:val="single" w:color="auto" w:sz="2" w:space="0"/>
              <w:left w:val="single" w:color="auto" w:sz="2" w:space="0"/>
              <w:bottom w:val="single" w:color="auto" w:sz="2" w:space="0"/>
              <w:right w:val="single" w:color="auto" w:sz="2" w:space="0"/>
            </w:tcBorders>
            <w:shd w:val="clear" w:color="auto" w:fill="D3D3D3"/>
            <w:vAlign w:val="center"/>
          </w:tcPr>
          <w:p w14:paraId="241C1D60">
            <w:pPr>
              <w:spacing w:before="40" w:after="40" w:line="240" w:lineRule="exact"/>
              <w:jc w:val="center"/>
              <w:rPr>
                <w:rFonts w:ascii="宋体" w:hAnsi="宋体" w:eastAsia="宋体" w:cs="宋体"/>
                <w:sz w:val="18"/>
                <w:szCs w:val="18"/>
              </w:rPr>
            </w:pPr>
            <w:r>
              <w:rPr>
                <w:rFonts w:ascii="宋体" w:hAnsi="宋体" w:eastAsia="宋体" w:cs="宋体"/>
                <w:sz w:val="18"/>
                <w:szCs w:val="18"/>
              </w:rPr>
              <w:t>股东或关联人名称</w:t>
            </w:r>
          </w:p>
        </w:tc>
        <w:tc>
          <w:tcPr>
            <w:tcW w:w="503" w:type="dxa"/>
            <w:tcBorders>
              <w:top w:val="single" w:color="auto" w:sz="2" w:space="0"/>
              <w:left w:val="single" w:color="auto" w:sz="2" w:space="0"/>
              <w:bottom w:val="single" w:color="auto" w:sz="2" w:space="0"/>
              <w:right w:val="single" w:color="auto" w:sz="2" w:space="0"/>
            </w:tcBorders>
            <w:shd w:val="clear" w:color="auto" w:fill="D3D3D3"/>
            <w:vAlign w:val="center"/>
          </w:tcPr>
          <w:p w14:paraId="659FBE12">
            <w:pPr>
              <w:spacing w:before="40" w:after="40" w:line="240" w:lineRule="exact"/>
              <w:jc w:val="center"/>
              <w:rPr>
                <w:rFonts w:ascii="宋体" w:hAnsi="宋体" w:eastAsia="宋体" w:cs="宋体"/>
                <w:sz w:val="18"/>
                <w:szCs w:val="18"/>
              </w:rPr>
            </w:pPr>
            <w:r>
              <w:rPr>
                <w:rFonts w:ascii="宋体" w:hAnsi="宋体" w:eastAsia="宋体" w:cs="宋体"/>
                <w:sz w:val="18"/>
                <w:szCs w:val="18"/>
              </w:rPr>
              <w:t>关联关系类型</w:t>
            </w:r>
          </w:p>
        </w:tc>
        <w:tc>
          <w:tcPr>
            <w:tcW w:w="656" w:type="dxa"/>
            <w:tcBorders>
              <w:top w:val="single" w:color="auto" w:sz="2" w:space="0"/>
              <w:left w:val="single" w:color="auto" w:sz="2" w:space="0"/>
              <w:bottom w:val="single" w:color="auto" w:sz="2" w:space="0"/>
              <w:right w:val="single" w:color="auto" w:sz="2" w:space="0"/>
            </w:tcBorders>
            <w:shd w:val="clear" w:color="auto" w:fill="D3D3D3"/>
            <w:vAlign w:val="center"/>
          </w:tcPr>
          <w:p w14:paraId="3C4B9C58">
            <w:pPr>
              <w:spacing w:before="40" w:after="40" w:line="240" w:lineRule="exact"/>
              <w:jc w:val="center"/>
              <w:rPr>
                <w:rFonts w:ascii="宋体" w:hAnsi="宋体" w:eastAsia="宋体" w:cs="宋体"/>
                <w:sz w:val="18"/>
                <w:szCs w:val="18"/>
              </w:rPr>
            </w:pPr>
            <w:r>
              <w:rPr>
                <w:rFonts w:ascii="宋体" w:hAnsi="宋体" w:eastAsia="宋体" w:cs="宋体"/>
                <w:sz w:val="18"/>
                <w:szCs w:val="18"/>
              </w:rPr>
              <w:t>占用时间</w:t>
            </w:r>
          </w:p>
        </w:tc>
        <w:tc>
          <w:tcPr>
            <w:tcW w:w="1622" w:type="dxa"/>
            <w:tcBorders>
              <w:top w:val="single" w:color="auto" w:sz="2" w:space="0"/>
              <w:left w:val="single" w:color="auto" w:sz="2" w:space="0"/>
              <w:bottom w:val="single" w:color="auto" w:sz="2" w:space="0"/>
              <w:right w:val="single" w:color="auto" w:sz="2" w:space="0"/>
            </w:tcBorders>
            <w:shd w:val="clear" w:color="auto" w:fill="D3D3D3"/>
            <w:vAlign w:val="center"/>
          </w:tcPr>
          <w:p w14:paraId="3BB9B3B6">
            <w:pPr>
              <w:spacing w:before="40" w:after="40" w:line="240" w:lineRule="exact"/>
              <w:jc w:val="center"/>
              <w:rPr>
                <w:rFonts w:ascii="宋体" w:hAnsi="宋体" w:eastAsia="宋体" w:cs="宋体"/>
                <w:sz w:val="18"/>
                <w:szCs w:val="18"/>
              </w:rPr>
            </w:pPr>
            <w:r>
              <w:rPr>
                <w:rFonts w:ascii="宋体" w:hAnsi="宋体" w:eastAsia="宋体" w:cs="宋体"/>
                <w:sz w:val="18"/>
                <w:szCs w:val="18"/>
              </w:rPr>
              <w:t>发生原因</w:t>
            </w:r>
          </w:p>
        </w:tc>
        <w:tc>
          <w:tcPr>
            <w:tcW w:w="1026" w:type="dxa"/>
            <w:tcBorders>
              <w:top w:val="single" w:color="auto" w:sz="2" w:space="0"/>
              <w:left w:val="single" w:color="auto" w:sz="2" w:space="0"/>
              <w:bottom w:val="single" w:color="auto" w:sz="2" w:space="0"/>
              <w:right w:val="single" w:color="auto" w:sz="2" w:space="0"/>
            </w:tcBorders>
            <w:shd w:val="clear" w:color="auto" w:fill="D3D3D3"/>
            <w:vAlign w:val="center"/>
          </w:tcPr>
          <w:p w14:paraId="5E301B7E">
            <w:pPr>
              <w:spacing w:before="40" w:after="40" w:line="240" w:lineRule="exact"/>
              <w:jc w:val="center"/>
              <w:rPr>
                <w:rFonts w:ascii="宋体" w:hAnsi="宋体" w:eastAsia="宋体" w:cs="宋体"/>
                <w:sz w:val="18"/>
                <w:szCs w:val="18"/>
              </w:rPr>
            </w:pPr>
            <w:r>
              <w:rPr>
                <w:rFonts w:ascii="宋体" w:hAnsi="宋体" w:eastAsia="宋体" w:cs="宋体"/>
                <w:sz w:val="18"/>
                <w:szCs w:val="18"/>
              </w:rPr>
              <w:t>期初数</w:t>
            </w:r>
          </w:p>
        </w:tc>
        <w:tc>
          <w:tcPr>
            <w:tcW w:w="567" w:type="dxa"/>
            <w:tcBorders>
              <w:top w:val="single" w:color="auto" w:sz="2" w:space="0"/>
              <w:left w:val="single" w:color="auto" w:sz="2" w:space="0"/>
              <w:bottom w:val="single" w:color="auto" w:sz="2" w:space="0"/>
              <w:right w:val="single" w:color="auto" w:sz="2" w:space="0"/>
            </w:tcBorders>
            <w:shd w:val="clear" w:color="auto" w:fill="D3D3D3"/>
            <w:vAlign w:val="center"/>
          </w:tcPr>
          <w:p w14:paraId="769B8A76">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报告期新增占用金额</w:t>
            </w:r>
          </w:p>
        </w:tc>
        <w:tc>
          <w:tcPr>
            <w:tcW w:w="545" w:type="dxa"/>
            <w:tcBorders>
              <w:top w:val="single" w:color="auto" w:sz="2" w:space="0"/>
              <w:left w:val="single" w:color="auto" w:sz="2" w:space="0"/>
              <w:bottom w:val="single" w:color="auto" w:sz="2" w:space="0"/>
              <w:right w:val="single" w:color="auto" w:sz="2" w:space="0"/>
            </w:tcBorders>
            <w:shd w:val="clear" w:color="auto" w:fill="D3D3D3"/>
            <w:vAlign w:val="center"/>
          </w:tcPr>
          <w:p w14:paraId="481BBAF7">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报告期偿还总金额</w:t>
            </w:r>
          </w:p>
        </w:tc>
        <w:tc>
          <w:tcPr>
            <w:tcW w:w="1026" w:type="dxa"/>
            <w:tcBorders>
              <w:top w:val="single" w:color="auto" w:sz="2" w:space="0"/>
              <w:left w:val="single" w:color="auto" w:sz="2" w:space="0"/>
              <w:bottom w:val="single" w:color="auto" w:sz="2" w:space="0"/>
              <w:right w:val="single" w:color="auto" w:sz="2" w:space="0"/>
            </w:tcBorders>
            <w:shd w:val="clear" w:color="auto" w:fill="D3D3D3"/>
            <w:vAlign w:val="center"/>
          </w:tcPr>
          <w:p w14:paraId="6AE0775C">
            <w:pPr>
              <w:spacing w:before="40" w:after="40" w:line="240" w:lineRule="exact"/>
              <w:jc w:val="center"/>
              <w:rPr>
                <w:rFonts w:ascii="宋体" w:hAnsi="宋体" w:eastAsia="宋体" w:cs="宋体"/>
                <w:sz w:val="18"/>
                <w:szCs w:val="18"/>
              </w:rPr>
            </w:pPr>
            <w:r>
              <w:rPr>
                <w:rFonts w:ascii="宋体" w:hAnsi="宋体" w:eastAsia="宋体" w:cs="宋体"/>
                <w:sz w:val="18"/>
                <w:szCs w:val="18"/>
              </w:rPr>
              <w:t>期末数</w:t>
            </w:r>
          </w:p>
        </w:tc>
        <w:tc>
          <w:tcPr>
            <w:tcW w:w="1143" w:type="dxa"/>
            <w:tcBorders>
              <w:top w:val="single" w:color="auto" w:sz="2" w:space="0"/>
              <w:left w:val="single" w:color="auto" w:sz="2" w:space="0"/>
              <w:bottom w:val="single" w:color="auto" w:sz="2" w:space="0"/>
              <w:right w:val="single" w:color="auto" w:sz="2" w:space="0"/>
            </w:tcBorders>
            <w:shd w:val="clear" w:color="auto" w:fill="D3D3D3"/>
            <w:vAlign w:val="center"/>
          </w:tcPr>
          <w:p w14:paraId="404FF843">
            <w:pPr>
              <w:spacing w:before="40" w:after="40" w:line="240" w:lineRule="exact"/>
              <w:jc w:val="center"/>
              <w:rPr>
                <w:rFonts w:ascii="宋体" w:hAnsi="宋体" w:eastAsia="宋体" w:cs="宋体"/>
                <w:sz w:val="18"/>
                <w:szCs w:val="18"/>
              </w:rPr>
            </w:pPr>
            <w:r>
              <w:rPr>
                <w:rFonts w:ascii="宋体" w:hAnsi="宋体" w:eastAsia="宋体" w:cs="宋体"/>
                <w:sz w:val="18"/>
                <w:szCs w:val="18"/>
              </w:rPr>
              <w:t>截至半年报披露日余额</w:t>
            </w:r>
          </w:p>
        </w:tc>
        <w:tc>
          <w:tcPr>
            <w:tcW w:w="503" w:type="dxa"/>
            <w:tcBorders>
              <w:top w:val="single" w:color="auto" w:sz="2" w:space="0"/>
              <w:left w:val="single" w:color="auto" w:sz="2" w:space="0"/>
              <w:bottom w:val="single" w:color="auto" w:sz="2" w:space="0"/>
              <w:right w:val="single" w:color="auto" w:sz="2" w:space="0"/>
            </w:tcBorders>
            <w:shd w:val="clear" w:color="auto" w:fill="D3D3D3"/>
            <w:vAlign w:val="center"/>
          </w:tcPr>
          <w:p w14:paraId="56F3F549">
            <w:pPr>
              <w:spacing w:before="40" w:after="40" w:line="240" w:lineRule="exact"/>
              <w:jc w:val="center"/>
              <w:rPr>
                <w:rFonts w:ascii="宋体" w:hAnsi="宋体" w:eastAsia="宋体" w:cs="宋体"/>
                <w:sz w:val="18"/>
                <w:szCs w:val="18"/>
              </w:rPr>
            </w:pPr>
            <w:r>
              <w:rPr>
                <w:rFonts w:ascii="宋体" w:hAnsi="宋体" w:eastAsia="宋体" w:cs="宋体"/>
                <w:sz w:val="18"/>
                <w:szCs w:val="18"/>
              </w:rPr>
              <w:t>预计偿还方式</w:t>
            </w:r>
          </w:p>
        </w:tc>
        <w:tc>
          <w:tcPr>
            <w:tcW w:w="1058" w:type="dxa"/>
            <w:tcBorders>
              <w:top w:val="single" w:color="auto" w:sz="2" w:space="0"/>
              <w:left w:val="single" w:color="auto" w:sz="2" w:space="0"/>
              <w:bottom w:val="single" w:color="auto" w:sz="2" w:space="0"/>
              <w:right w:val="single" w:color="auto" w:sz="2" w:space="0"/>
            </w:tcBorders>
            <w:shd w:val="clear" w:color="auto" w:fill="D3D3D3"/>
            <w:vAlign w:val="center"/>
          </w:tcPr>
          <w:p w14:paraId="6815CE47">
            <w:pPr>
              <w:spacing w:before="40" w:after="40" w:line="240" w:lineRule="exact"/>
              <w:jc w:val="center"/>
              <w:rPr>
                <w:rFonts w:ascii="宋体" w:hAnsi="宋体" w:eastAsia="宋体" w:cs="宋体"/>
                <w:sz w:val="18"/>
                <w:szCs w:val="18"/>
              </w:rPr>
            </w:pPr>
            <w:r>
              <w:rPr>
                <w:rFonts w:ascii="宋体" w:hAnsi="宋体" w:eastAsia="宋体" w:cs="宋体"/>
                <w:sz w:val="18"/>
                <w:szCs w:val="18"/>
              </w:rPr>
              <w:t>预计偿还金额</w:t>
            </w:r>
          </w:p>
        </w:tc>
        <w:tc>
          <w:tcPr>
            <w:tcW w:w="747" w:type="dxa"/>
            <w:tcBorders>
              <w:top w:val="single" w:color="auto" w:sz="2" w:space="0"/>
              <w:left w:val="single" w:color="auto" w:sz="2" w:space="0"/>
              <w:bottom w:val="single" w:color="auto" w:sz="2" w:space="0"/>
              <w:right w:val="single" w:color="auto" w:sz="2" w:space="0"/>
            </w:tcBorders>
            <w:shd w:val="clear" w:color="auto" w:fill="D3D3D3"/>
            <w:vAlign w:val="center"/>
          </w:tcPr>
          <w:p w14:paraId="2797750D">
            <w:pPr>
              <w:spacing w:before="40" w:after="40" w:line="240" w:lineRule="exact"/>
              <w:jc w:val="center"/>
              <w:rPr>
                <w:rFonts w:ascii="宋体" w:hAnsi="宋体" w:eastAsia="宋体" w:cs="宋体"/>
                <w:sz w:val="18"/>
                <w:szCs w:val="18"/>
              </w:rPr>
            </w:pPr>
            <w:r>
              <w:rPr>
                <w:rFonts w:ascii="宋体" w:hAnsi="宋体" w:eastAsia="宋体" w:cs="宋体"/>
                <w:sz w:val="18"/>
                <w:szCs w:val="18"/>
              </w:rPr>
              <w:t>预计偿还时间（月份）</w:t>
            </w:r>
          </w:p>
        </w:tc>
      </w:tr>
      <w:tr w14:paraId="64C932A1">
        <w:trPr>
          <w:trHeight w:val="240" w:hRule="atLeast"/>
        </w:trPr>
        <w:tc>
          <w:tcPr>
            <w:tcW w:w="695" w:type="dxa"/>
            <w:tcBorders>
              <w:top w:val="single" w:color="auto" w:sz="2" w:space="0"/>
              <w:left w:val="single" w:color="auto" w:sz="2" w:space="0"/>
              <w:bottom w:val="single" w:color="auto" w:sz="2" w:space="0"/>
              <w:right w:val="single" w:color="auto" w:sz="2" w:space="0"/>
            </w:tcBorders>
            <w:vAlign w:val="center"/>
          </w:tcPr>
          <w:p w14:paraId="52EE4C4E">
            <w:pPr>
              <w:spacing w:line="240" w:lineRule="exact"/>
              <w:rPr>
                <w:rFonts w:ascii="宋体" w:hAnsi="宋体" w:eastAsia="宋体" w:cs="宋体"/>
                <w:sz w:val="18"/>
                <w:szCs w:val="18"/>
              </w:rPr>
            </w:pPr>
            <w:r>
              <w:rPr>
                <w:rFonts w:ascii="宋体" w:hAnsi="宋体" w:eastAsia="宋体" w:cs="宋体"/>
                <w:sz w:val="18"/>
                <w:szCs w:val="18"/>
              </w:rPr>
              <w:t>储晓晗及其他关联方</w:t>
            </w:r>
          </w:p>
        </w:tc>
        <w:tc>
          <w:tcPr>
            <w:tcW w:w="503" w:type="dxa"/>
            <w:tcBorders>
              <w:top w:val="single" w:color="auto" w:sz="2" w:space="0"/>
              <w:left w:val="single" w:color="auto" w:sz="2" w:space="0"/>
              <w:bottom w:val="single" w:color="auto" w:sz="2" w:space="0"/>
              <w:right w:val="single" w:color="auto" w:sz="2" w:space="0"/>
            </w:tcBorders>
            <w:vAlign w:val="center"/>
          </w:tcPr>
          <w:p w14:paraId="1AF22847">
            <w:pPr>
              <w:spacing w:line="240" w:lineRule="exact"/>
              <w:rPr>
                <w:rFonts w:ascii="宋体" w:hAnsi="宋体" w:eastAsia="宋体" w:cs="宋体"/>
                <w:sz w:val="18"/>
                <w:szCs w:val="18"/>
              </w:rPr>
            </w:pPr>
            <w:r>
              <w:rPr>
                <w:rFonts w:ascii="宋体" w:hAnsi="宋体" w:eastAsia="宋体" w:cs="宋体"/>
                <w:sz w:val="18"/>
                <w:szCs w:val="18"/>
              </w:rPr>
              <w:t>其他</w:t>
            </w:r>
          </w:p>
        </w:tc>
        <w:tc>
          <w:tcPr>
            <w:tcW w:w="656" w:type="dxa"/>
            <w:tcBorders>
              <w:top w:val="single" w:color="auto" w:sz="2" w:space="0"/>
              <w:left w:val="single" w:color="auto" w:sz="2" w:space="0"/>
              <w:bottom w:val="single" w:color="auto" w:sz="2" w:space="0"/>
              <w:right w:val="single" w:color="auto" w:sz="2" w:space="0"/>
            </w:tcBorders>
            <w:vAlign w:val="center"/>
          </w:tcPr>
          <w:p w14:paraId="56FFDA66">
            <w:pPr>
              <w:spacing w:line="240" w:lineRule="exact"/>
              <w:rPr>
                <w:rFonts w:ascii="宋体" w:hAnsi="宋体" w:eastAsia="宋体" w:cs="宋体"/>
                <w:sz w:val="18"/>
                <w:szCs w:val="18"/>
              </w:rPr>
            </w:pPr>
            <w:r>
              <w:rPr>
                <w:rFonts w:ascii="宋体" w:hAnsi="宋体" w:eastAsia="宋体" w:cs="宋体"/>
                <w:sz w:val="18"/>
                <w:szCs w:val="18"/>
              </w:rPr>
              <w:t>2018年2月</w:t>
            </w:r>
          </w:p>
        </w:tc>
        <w:tc>
          <w:tcPr>
            <w:tcW w:w="1622" w:type="dxa"/>
            <w:tcBorders>
              <w:top w:val="single" w:color="auto" w:sz="2" w:space="0"/>
              <w:left w:val="single" w:color="auto" w:sz="2" w:space="0"/>
              <w:bottom w:val="single" w:color="auto" w:sz="2" w:space="0"/>
              <w:right w:val="single" w:color="auto" w:sz="2" w:space="0"/>
            </w:tcBorders>
            <w:vAlign w:val="center"/>
          </w:tcPr>
          <w:p w14:paraId="306A5425">
            <w:pPr>
              <w:spacing w:line="240" w:lineRule="exact"/>
              <w:rPr>
                <w:rFonts w:ascii="宋体" w:hAnsi="宋体" w:eastAsia="宋体" w:cs="宋体"/>
                <w:sz w:val="18"/>
                <w:szCs w:val="18"/>
              </w:rPr>
            </w:pPr>
            <w:r>
              <w:rPr>
                <w:rFonts w:hint="eastAsia" w:ascii="Courier New" w:hAnsi="Courier New" w:eastAsia="宋体" w:cs="Courier New"/>
                <w:kern w:val="0"/>
                <w:sz w:val="18"/>
                <w:szCs w:val="18"/>
              </w:rPr>
              <w:t>报</w:t>
            </w:r>
            <w:r>
              <w:rPr>
                <w:rFonts w:hint="eastAsia" w:ascii="Courier New" w:hAnsi="Courier New" w:eastAsia="宋体" w:cs="Courier New"/>
                <w:kern w:val="0"/>
                <w:sz w:val="18"/>
                <w:szCs w:val="18"/>
                <w:highlight w:val="none"/>
              </w:rPr>
              <w:t>告期，公司收到中国证监会下发的《行政处罚及市场禁入事先告知书》</w:t>
            </w:r>
            <w:r>
              <w:rPr>
                <w:rFonts w:hint="eastAsia" w:ascii="Courier New" w:hAnsi="Courier New" w:eastAsia="宋体" w:cs="Courier New"/>
                <w:kern w:val="0"/>
                <w:sz w:val="18"/>
                <w:szCs w:val="18"/>
              </w:rPr>
              <w:t>，根据</w:t>
            </w:r>
            <w:r>
              <w:rPr>
                <w:rFonts w:hint="eastAsia" w:ascii="Courier New" w:hAnsi="Courier New" w:eastAsia="宋体" w:cs="Courier New"/>
                <w:kern w:val="0"/>
                <w:sz w:val="18"/>
                <w:szCs w:val="18"/>
                <w:highlight w:val="none"/>
              </w:rPr>
              <w:t>事先告知书，涉及</w:t>
            </w:r>
            <w:r>
              <w:rPr>
                <w:rFonts w:hint="eastAsia" w:ascii="Courier New" w:hAnsi="Courier New" w:eastAsia="宋体" w:cs="Courier New"/>
                <w:kern w:val="0"/>
                <w:sz w:val="18"/>
                <w:szCs w:val="18"/>
              </w:rPr>
              <w:t>汶锦案借入资金转出公司后，最终被储小晗及其关联方实际占用，本项金额及关联性根据</w:t>
            </w:r>
            <w:r>
              <w:rPr>
                <w:rFonts w:hint="eastAsia" w:ascii="Courier New" w:hAnsi="Courier New" w:eastAsia="宋体" w:cs="Courier New"/>
                <w:kern w:val="0"/>
                <w:sz w:val="18"/>
                <w:szCs w:val="18"/>
                <w:highlight w:val="none"/>
              </w:rPr>
              <w:t>立案调查最终结果确定。</w:t>
            </w:r>
          </w:p>
        </w:tc>
        <w:tc>
          <w:tcPr>
            <w:tcW w:w="1026" w:type="dxa"/>
            <w:tcBorders>
              <w:top w:val="single" w:color="auto" w:sz="2" w:space="0"/>
              <w:left w:val="single" w:color="auto" w:sz="2" w:space="0"/>
              <w:bottom w:val="single" w:color="auto" w:sz="2" w:space="0"/>
              <w:right w:val="single" w:color="auto" w:sz="2" w:space="0"/>
            </w:tcBorders>
            <w:vAlign w:val="center"/>
          </w:tcPr>
          <w:p w14:paraId="7A2AE827">
            <w:pPr>
              <w:spacing w:line="240" w:lineRule="exact"/>
              <w:jc w:val="right"/>
              <w:rPr>
                <w:rFonts w:ascii="宋体" w:hAnsi="宋体" w:eastAsia="宋体" w:cs="宋体"/>
                <w:sz w:val="18"/>
                <w:szCs w:val="18"/>
              </w:rPr>
            </w:pPr>
            <w:r>
              <w:rPr>
                <w:rFonts w:ascii="宋体" w:hAnsi="宋体" w:eastAsia="宋体" w:cs="宋体"/>
                <w:sz w:val="18"/>
                <w:szCs w:val="18"/>
              </w:rPr>
              <w:t>13,728.75</w:t>
            </w:r>
          </w:p>
        </w:tc>
        <w:tc>
          <w:tcPr>
            <w:tcW w:w="567" w:type="dxa"/>
            <w:tcBorders>
              <w:top w:val="single" w:color="auto" w:sz="2" w:space="0"/>
              <w:left w:val="single" w:color="auto" w:sz="2" w:space="0"/>
              <w:bottom w:val="single" w:color="auto" w:sz="2" w:space="0"/>
              <w:right w:val="single" w:color="auto" w:sz="2" w:space="0"/>
            </w:tcBorders>
            <w:vAlign w:val="center"/>
          </w:tcPr>
          <w:p w14:paraId="5B1922C4">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6E57AA1E">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342636D6">
            <w:pPr>
              <w:spacing w:line="240" w:lineRule="exact"/>
              <w:jc w:val="right"/>
              <w:rPr>
                <w:rFonts w:ascii="宋体" w:hAnsi="宋体" w:eastAsia="宋体" w:cs="宋体"/>
                <w:sz w:val="18"/>
                <w:szCs w:val="18"/>
              </w:rPr>
            </w:pPr>
            <w:r>
              <w:rPr>
                <w:rFonts w:ascii="宋体" w:hAnsi="宋体" w:eastAsia="宋体" w:cs="宋体"/>
                <w:sz w:val="18"/>
                <w:szCs w:val="18"/>
              </w:rPr>
              <w:t>13,728.75</w:t>
            </w:r>
          </w:p>
        </w:tc>
        <w:tc>
          <w:tcPr>
            <w:tcW w:w="1143" w:type="dxa"/>
            <w:tcBorders>
              <w:top w:val="single" w:color="auto" w:sz="2" w:space="0"/>
              <w:left w:val="single" w:color="auto" w:sz="2" w:space="0"/>
              <w:bottom w:val="single" w:color="auto" w:sz="2" w:space="0"/>
              <w:right w:val="single" w:color="auto" w:sz="2" w:space="0"/>
            </w:tcBorders>
            <w:vAlign w:val="center"/>
          </w:tcPr>
          <w:p w14:paraId="391285FC">
            <w:pPr>
              <w:spacing w:line="240" w:lineRule="exact"/>
              <w:jc w:val="right"/>
              <w:rPr>
                <w:rFonts w:ascii="宋体" w:hAnsi="宋体" w:eastAsia="宋体" w:cs="宋体"/>
                <w:sz w:val="18"/>
                <w:szCs w:val="18"/>
              </w:rPr>
            </w:pPr>
            <w:r>
              <w:rPr>
                <w:rFonts w:ascii="宋体" w:hAnsi="宋体" w:eastAsia="宋体" w:cs="宋体"/>
                <w:sz w:val="18"/>
                <w:szCs w:val="18"/>
              </w:rPr>
              <w:t>13,728.75</w:t>
            </w:r>
          </w:p>
        </w:tc>
        <w:tc>
          <w:tcPr>
            <w:tcW w:w="503" w:type="dxa"/>
            <w:tcBorders>
              <w:top w:val="single" w:color="auto" w:sz="2" w:space="0"/>
              <w:left w:val="single" w:color="auto" w:sz="2" w:space="0"/>
              <w:bottom w:val="single" w:color="auto" w:sz="2" w:space="0"/>
              <w:right w:val="single" w:color="auto" w:sz="2" w:space="0"/>
            </w:tcBorders>
            <w:vAlign w:val="center"/>
          </w:tcPr>
          <w:p w14:paraId="16AAF103">
            <w:pPr>
              <w:spacing w:line="240" w:lineRule="exact"/>
              <w:rPr>
                <w:rFonts w:ascii="宋体" w:hAnsi="宋体" w:eastAsia="宋体" w:cs="宋体"/>
                <w:sz w:val="18"/>
                <w:szCs w:val="18"/>
              </w:rPr>
            </w:pPr>
            <w:r>
              <w:rPr>
                <w:rFonts w:ascii="宋体" w:hAnsi="宋体" w:eastAsia="宋体" w:cs="宋体"/>
                <w:sz w:val="18"/>
                <w:szCs w:val="18"/>
              </w:rPr>
              <w:t>其他</w:t>
            </w:r>
          </w:p>
        </w:tc>
        <w:tc>
          <w:tcPr>
            <w:tcW w:w="1058" w:type="dxa"/>
            <w:tcBorders>
              <w:top w:val="single" w:color="auto" w:sz="2" w:space="0"/>
              <w:left w:val="single" w:color="auto" w:sz="2" w:space="0"/>
              <w:bottom w:val="single" w:color="auto" w:sz="2" w:space="0"/>
              <w:right w:val="single" w:color="auto" w:sz="2" w:space="0"/>
            </w:tcBorders>
            <w:vAlign w:val="center"/>
          </w:tcPr>
          <w:p w14:paraId="36ECB91C">
            <w:pPr>
              <w:spacing w:line="240" w:lineRule="exact"/>
              <w:jc w:val="right"/>
              <w:rPr>
                <w:rFonts w:ascii="宋体" w:hAnsi="宋体" w:eastAsia="宋体" w:cs="宋体"/>
                <w:sz w:val="18"/>
                <w:szCs w:val="18"/>
              </w:rPr>
            </w:pPr>
            <w:r>
              <w:rPr>
                <w:rFonts w:ascii="宋体" w:hAnsi="宋体" w:eastAsia="宋体" w:cs="宋体"/>
                <w:sz w:val="18"/>
                <w:szCs w:val="18"/>
              </w:rPr>
              <w:t>13,728.75</w:t>
            </w:r>
          </w:p>
        </w:tc>
        <w:tc>
          <w:tcPr>
            <w:tcW w:w="747" w:type="dxa"/>
            <w:tcBorders>
              <w:top w:val="single" w:color="auto" w:sz="2" w:space="0"/>
              <w:left w:val="single" w:color="auto" w:sz="2" w:space="0"/>
              <w:bottom w:val="single" w:color="auto" w:sz="2" w:space="0"/>
              <w:right w:val="single" w:color="auto" w:sz="2" w:space="0"/>
            </w:tcBorders>
            <w:vAlign w:val="center"/>
          </w:tcPr>
          <w:p w14:paraId="328649C7">
            <w:pPr>
              <w:spacing w:line="240" w:lineRule="exact"/>
              <w:rPr>
                <w:rFonts w:ascii="宋体" w:hAnsi="宋体" w:eastAsia="宋体" w:cs="宋体"/>
                <w:sz w:val="18"/>
                <w:szCs w:val="18"/>
              </w:rPr>
            </w:pPr>
            <w:r>
              <w:rPr>
                <w:rFonts w:ascii="宋体" w:hAnsi="宋体" w:eastAsia="宋体" w:cs="宋体"/>
                <w:sz w:val="18"/>
                <w:szCs w:val="18"/>
              </w:rPr>
              <w:t>2024年度</w:t>
            </w:r>
          </w:p>
        </w:tc>
      </w:tr>
      <w:tr w14:paraId="38B74DD9">
        <w:trPr>
          <w:trHeight w:val="240" w:hRule="atLeast"/>
        </w:trPr>
        <w:tc>
          <w:tcPr>
            <w:tcW w:w="695" w:type="dxa"/>
            <w:tcBorders>
              <w:top w:val="single" w:color="auto" w:sz="2" w:space="0"/>
              <w:left w:val="single" w:color="auto" w:sz="2" w:space="0"/>
              <w:bottom w:val="single" w:color="auto" w:sz="2" w:space="0"/>
              <w:right w:val="single" w:color="auto" w:sz="2" w:space="0"/>
            </w:tcBorders>
            <w:vAlign w:val="center"/>
          </w:tcPr>
          <w:p w14:paraId="15A83471">
            <w:pPr>
              <w:spacing w:line="240" w:lineRule="exact"/>
              <w:rPr>
                <w:rFonts w:ascii="宋体" w:hAnsi="宋体" w:eastAsia="宋体" w:cs="宋体"/>
                <w:sz w:val="18"/>
                <w:szCs w:val="18"/>
              </w:rPr>
            </w:pPr>
            <w:r>
              <w:rPr>
                <w:rFonts w:ascii="宋体" w:hAnsi="宋体" w:eastAsia="宋体" w:cs="宋体"/>
                <w:sz w:val="18"/>
                <w:szCs w:val="18"/>
              </w:rPr>
              <w:t>储晓晗及其他关联方</w:t>
            </w:r>
          </w:p>
        </w:tc>
        <w:tc>
          <w:tcPr>
            <w:tcW w:w="503" w:type="dxa"/>
            <w:tcBorders>
              <w:top w:val="single" w:color="auto" w:sz="2" w:space="0"/>
              <w:left w:val="single" w:color="auto" w:sz="2" w:space="0"/>
              <w:bottom w:val="single" w:color="auto" w:sz="2" w:space="0"/>
              <w:right w:val="single" w:color="auto" w:sz="2" w:space="0"/>
            </w:tcBorders>
            <w:vAlign w:val="center"/>
          </w:tcPr>
          <w:p w14:paraId="70F08061">
            <w:pPr>
              <w:spacing w:line="240" w:lineRule="exact"/>
              <w:rPr>
                <w:rFonts w:ascii="宋体" w:hAnsi="宋体" w:eastAsia="宋体" w:cs="宋体"/>
                <w:sz w:val="18"/>
                <w:szCs w:val="18"/>
              </w:rPr>
            </w:pPr>
            <w:r>
              <w:rPr>
                <w:rFonts w:ascii="宋体" w:hAnsi="宋体" w:eastAsia="宋体" w:cs="宋体"/>
                <w:sz w:val="18"/>
                <w:szCs w:val="18"/>
              </w:rPr>
              <w:t>其他</w:t>
            </w:r>
          </w:p>
        </w:tc>
        <w:tc>
          <w:tcPr>
            <w:tcW w:w="656" w:type="dxa"/>
            <w:tcBorders>
              <w:top w:val="single" w:color="auto" w:sz="2" w:space="0"/>
              <w:left w:val="single" w:color="auto" w:sz="2" w:space="0"/>
              <w:bottom w:val="single" w:color="auto" w:sz="2" w:space="0"/>
              <w:right w:val="single" w:color="auto" w:sz="2" w:space="0"/>
            </w:tcBorders>
            <w:vAlign w:val="center"/>
          </w:tcPr>
          <w:p w14:paraId="557A0552">
            <w:pPr>
              <w:spacing w:line="240" w:lineRule="exact"/>
              <w:rPr>
                <w:rFonts w:ascii="宋体" w:hAnsi="宋体" w:eastAsia="宋体" w:cs="宋体"/>
                <w:sz w:val="18"/>
                <w:szCs w:val="18"/>
              </w:rPr>
            </w:pPr>
            <w:r>
              <w:rPr>
                <w:rFonts w:ascii="宋体" w:hAnsi="宋体" w:eastAsia="宋体" w:cs="宋体"/>
                <w:sz w:val="18"/>
                <w:szCs w:val="18"/>
              </w:rPr>
              <w:t>2018年5月</w:t>
            </w:r>
          </w:p>
        </w:tc>
        <w:tc>
          <w:tcPr>
            <w:tcW w:w="1622" w:type="dxa"/>
            <w:tcBorders>
              <w:top w:val="single" w:color="auto" w:sz="2" w:space="0"/>
              <w:left w:val="single" w:color="auto" w:sz="2" w:space="0"/>
              <w:bottom w:val="single" w:color="auto" w:sz="2" w:space="0"/>
              <w:right w:val="single" w:color="auto" w:sz="2" w:space="0"/>
            </w:tcBorders>
            <w:vAlign w:val="center"/>
          </w:tcPr>
          <w:p w14:paraId="452AECD6">
            <w:pPr>
              <w:spacing w:line="240" w:lineRule="exact"/>
              <w:rPr>
                <w:rFonts w:ascii="宋体" w:hAnsi="宋体" w:eastAsia="宋体" w:cs="宋体"/>
                <w:sz w:val="18"/>
                <w:szCs w:val="18"/>
              </w:rPr>
            </w:pPr>
            <w:r>
              <w:rPr>
                <w:rFonts w:hint="eastAsia" w:ascii="Courier New" w:hAnsi="Courier New" w:eastAsia="宋体" w:cs="Courier New"/>
                <w:kern w:val="0"/>
                <w:sz w:val="18"/>
                <w:szCs w:val="18"/>
              </w:rPr>
              <w:t>报</w:t>
            </w:r>
            <w:r>
              <w:rPr>
                <w:rFonts w:hint="eastAsia" w:ascii="Courier New" w:hAnsi="Courier New" w:eastAsia="宋体" w:cs="Courier New"/>
                <w:kern w:val="0"/>
                <w:sz w:val="18"/>
                <w:szCs w:val="18"/>
                <w:highlight w:val="none"/>
              </w:rPr>
              <w:t>告期，公司收到中国证监会下发的《行政处罚及市场禁入事先告知书》</w:t>
            </w:r>
            <w:r>
              <w:rPr>
                <w:rFonts w:hint="eastAsia" w:ascii="Courier New" w:hAnsi="Courier New" w:eastAsia="宋体" w:cs="Courier New"/>
                <w:kern w:val="0"/>
                <w:sz w:val="18"/>
                <w:szCs w:val="18"/>
              </w:rPr>
              <w:t>，根据</w:t>
            </w:r>
            <w:r>
              <w:rPr>
                <w:rFonts w:hint="eastAsia" w:ascii="Courier New" w:hAnsi="Courier New" w:eastAsia="宋体" w:cs="Courier New"/>
                <w:kern w:val="0"/>
                <w:sz w:val="18"/>
                <w:szCs w:val="18"/>
                <w:highlight w:val="none"/>
              </w:rPr>
              <w:t>事先告知书，涉及</w:t>
            </w:r>
            <w:r>
              <w:rPr>
                <w:rFonts w:hint="eastAsia" w:ascii="Courier New" w:hAnsi="Courier New" w:eastAsia="宋体" w:cs="Courier New"/>
                <w:kern w:val="0"/>
                <w:sz w:val="18"/>
                <w:szCs w:val="18"/>
              </w:rPr>
              <w:t>阿拉丁案借入资金转出公司后最终被储小晗及其关联方实际占用。本项金额及关联性根据</w:t>
            </w:r>
            <w:r>
              <w:rPr>
                <w:rFonts w:hint="eastAsia" w:ascii="Courier New" w:hAnsi="Courier New" w:eastAsia="宋体" w:cs="Courier New"/>
                <w:kern w:val="0"/>
                <w:sz w:val="18"/>
                <w:szCs w:val="18"/>
                <w:highlight w:val="none"/>
              </w:rPr>
              <w:t>立案调查最终结果确定。</w:t>
            </w:r>
          </w:p>
        </w:tc>
        <w:tc>
          <w:tcPr>
            <w:tcW w:w="1026" w:type="dxa"/>
            <w:tcBorders>
              <w:top w:val="single" w:color="auto" w:sz="2" w:space="0"/>
              <w:left w:val="single" w:color="auto" w:sz="2" w:space="0"/>
              <w:bottom w:val="single" w:color="auto" w:sz="2" w:space="0"/>
              <w:right w:val="single" w:color="auto" w:sz="2" w:space="0"/>
            </w:tcBorders>
            <w:vAlign w:val="center"/>
          </w:tcPr>
          <w:p w14:paraId="1ACCA39D">
            <w:pPr>
              <w:spacing w:line="240" w:lineRule="exact"/>
              <w:jc w:val="right"/>
              <w:rPr>
                <w:rFonts w:ascii="宋体" w:hAnsi="宋体" w:eastAsia="宋体" w:cs="宋体"/>
                <w:sz w:val="18"/>
                <w:szCs w:val="18"/>
              </w:rPr>
            </w:pPr>
            <w:r>
              <w:rPr>
                <w:rFonts w:ascii="宋体" w:hAnsi="宋体" w:eastAsia="宋体" w:cs="宋体"/>
                <w:sz w:val="18"/>
                <w:szCs w:val="18"/>
              </w:rPr>
              <w:t>3,543.56</w:t>
            </w:r>
          </w:p>
        </w:tc>
        <w:tc>
          <w:tcPr>
            <w:tcW w:w="567" w:type="dxa"/>
            <w:tcBorders>
              <w:top w:val="single" w:color="auto" w:sz="2" w:space="0"/>
              <w:left w:val="single" w:color="auto" w:sz="2" w:space="0"/>
              <w:bottom w:val="single" w:color="auto" w:sz="2" w:space="0"/>
              <w:right w:val="single" w:color="auto" w:sz="2" w:space="0"/>
            </w:tcBorders>
            <w:vAlign w:val="center"/>
          </w:tcPr>
          <w:p w14:paraId="37AD77A8">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14D435A9">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2C1B4EC4">
            <w:pPr>
              <w:spacing w:line="240" w:lineRule="exact"/>
              <w:jc w:val="right"/>
              <w:rPr>
                <w:rFonts w:ascii="宋体" w:hAnsi="宋体" w:eastAsia="宋体" w:cs="宋体"/>
                <w:sz w:val="18"/>
                <w:szCs w:val="18"/>
              </w:rPr>
            </w:pPr>
            <w:r>
              <w:rPr>
                <w:rFonts w:ascii="宋体" w:hAnsi="宋体" w:eastAsia="宋体" w:cs="宋体"/>
                <w:sz w:val="18"/>
                <w:szCs w:val="18"/>
              </w:rPr>
              <w:t>3,543.56</w:t>
            </w:r>
          </w:p>
        </w:tc>
        <w:tc>
          <w:tcPr>
            <w:tcW w:w="1143" w:type="dxa"/>
            <w:tcBorders>
              <w:top w:val="single" w:color="auto" w:sz="2" w:space="0"/>
              <w:left w:val="single" w:color="auto" w:sz="2" w:space="0"/>
              <w:bottom w:val="single" w:color="auto" w:sz="2" w:space="0"/>
              <w:right w:val="single" w:color="auto" w:sz="2" w:space="0"/>
            </w:tcBorders>
            <w:vAlign w:val="center"/>
          </w:tcPr>
          <w:p w14:paraId="2EA97BC9">
            <w:pPr>
              <w:spacing w:line="240" w:lineRule="exact"/>
              <w:jc w:val="right"/>
              <w:rPr>
                <w:rFonts w:ascii="宋体" w:hAnsi="宋体" w:eastAsia="宋体" w:cs="宋体"/>
                <w:sz w:val="18"/>
                <w:szCs w:val="18"/>
              </w:rPr>
            </w:pPr>
            <w:r>
              <w:rPr>
                <w:rFonts w:ascii="宋体" w:hAnsi="宋体" w:eastAsia="宋体" w:cs="宋体"/>
                <w:sz w:val="18"/>
                <w:szCs w:val="18"/>
              </w:rPr>
              <w:t>3,543.56</w:t>
            </w:r>
          </w:p>
        </w:tc>
        <w:tc>
          <w:tcPr>
            <w:tcW w:w="503" w:type="dxa"/>
            <w:tcBorders>
              <w:top w:val="single" w:color="auto" w:sz="2" w:space="0"/>
              <w:left w:val="single" w:color="auto" w:sz="2" w:space="0"/>
              <w:bottom w:val="single" w:color="auto" w:sz="2" w:space="0"/>
              <w:right w:val="single" w:color="auto" w:sz="2" w:space="0"/>
            </w:tcBorders>
            <w:vAlign w:val="center"/>
          </w:tcPr>
          <w:p w14:paraId="36FEABE8">
            <w:pPr>
              <w:spacing w:line="240" w:lineRule="exact"/>
              <w:rPr>
                <w:rFonts w:ascii="宋体" w:hAnsi="宋体" w:eastAsia="宋体" w:cs="宋体"/>
                <w:sz w:val="18"/>
                <w:szCs w:val="18"/>
              </w:rPr>
            </w:pPr>
            <w:r>
              <w:rPr>
                <w:rFonts w:ascii="宋体" w:hAnsi="宋体" w:eastAsia="宋体" w:cs="宋体"/>
                <w:sz w:val="18"/>
                <w:szCs w:val="18"/>
              </w:rPr>
              <w:t>其他</w:t>
            </w:r>
          </w:p>
        </w:tc>
        <w:tc>
          <w:tcPr>
            <w:tcW w:w="1058" w:type="dxa"/>
            <w:tcBorders>
              <w:top w:val="single" w:color="auto" w:sz="2" w:space="0"/>
              <w:left w:val="single" w:color="auto" w:sz="2" w:space="0"/>
              <w:bottom w:val="single" w:color="auto" w:sz="2" w:space="0"/>
              <w:right w:val="single" w:color="auto" w:sz="2" w:space="0"/>
            </w:tcBorders>
            <w:vAlign w:val="center"/>
          </w:tcPr>
          <w:p w14:paraId="6315AD9C">
            <w:pPr>
              <w:spacing w:line="240" w:lineRule="exact"/>
              <w:jc w:val="right"/>
              <w:rPr>
                <w:rFonts w:ascii="宋体" w:hAnsi="宋体" w:eastAsia="宋体" w:cs="宋体"/>
                <w:sz w:val="18"/>
                <w:szCs w:val="18"/>
              </w:rPr>
            </w:pPr>
            <w:r>
              <w:rPr>
                <w:rFonts w:ascii="宋体" w:hAnsi="宋体" w:eastAsia="宋体" w:cs="宋体"/>
                <w:sz w:val="18"/>
                <w:szCs w:val="18"/>
              </w:rPr>
              <w:t>3,543.56</w:t>
            </w:r>
          </w:p>
        </w:tc>
        <w:tc>
          <w:tcPr>
            <w:tcW w:w="747" w:type="dxa"/>
            <w:tcBorders>
              <w:top w:val="single" w:color="auto" w:sz="2" w:space="0"/>
              <w:left w:val="single" w:color="auto" w:sz="2" w:space="0"/>
              <w:bottom w:val="single" w:color="auto" w:sz="2" w:space="0"/>
              <w:right w:val="single" w:color="auto" w:sz="2" w:space="0"/>
            </w:tcBorders>
            <w:vAlign w:val="center"/>
          </w:tcPr>
          <w:p w14:paraId="51B21AB4">
            <w:pPr>
              <w:spacing w:line="240" w:lineRule="exact"/>
              <w:rPr>
                <w:rFonts w:ascii="宋体" w:hAnsi="宋体" w:eastAsia="宋体" w:cs="宋体"/>
                <w:sz w:val="18"/>
                <w:szCs w:val="18"/>
              </w:rPr>
            </w:pPr>
            <w:r>
              <w:rPr>
                <w:rFonts w:ascii="宋体" w:hAnsi="宋体" w:eastAsia="宋体" w:cs="宋体"/>
                <w:sz w:val="18"/>
                <w:szCs w:val="18"/>
              </w:rPr>
              <w:t>2024年度</w:t>
            </w:r>
          </w:p>
        </w:tc>
      </w:tr>
      <w:tr w14:paraId="4D19542C">
        <w:trPr>
          <w:trHeight w:val="240" w:hRule="atLeast"/>
        </w:trPr>
        <w:tc>
          <w:tcPr>
            <w:tcW w:w="695" w:type="dxa"/>
            <w:tcBorders>
              <w:top w:val="single" w:color="auto" w:sz="2" w:space="0"/>
              <w:left w:val="single" w:color="auto" w:sz="2" w:space="0"/>
              <w:bottom w:val="single" w:color="auto" w:sz="2" w:space="0"/>
              <w:right w:val="single" w:color="auto" w:sz="2" w:space="0"/>
            </w:tcBorders>
            <w:vAlign w:val="center"/>
          </w:tcPr>
          <w:p w14:paraId="6B324B3B">
            <w:pPr>
              <w:spacing w:line="240" w:lineRule="exact"/>
              <w:rPr>
                <w:rFonts w:ascii="宋体" w:hAnsi="宋体" w:eastAsia="宋体" w:cs="宋体"/>
                <w:sz w:val="18"/>
                <w:szCs w:val="18"/>
              </w:rPr>
            </w:pPr>
            <w:r>
              <w:rPr>
                <w:rFonts w:ascii="宋体" w:hAnsi="宋体" w:eastAsia="宋体" w:cs="宋体"/>
                <w:sz w:val="18"/>
                <w:szCs w:val="18"/>
              </w:rPr>
              <w:t>储小晗及其关联方</w:t>
            </w:r>
          </w:p>
        </w:tc>
        <w:tc>
          <w:tcPr>
            <w:tcW w:w="503" w:type="dxa"/>
            <w:tcBorders>
              <w:top w:val="single" w:color="auto" w:sz="2" w:space="0"/>
              <w:left w:val="single" w:color="auto" w:sz="2" w:space="0"/>
              <w:bottom w:val="single" w:color="auto" w:sz="2" w:space="0"/>
              <w:right w:val="single" w:color="auto" w:sz="2" w:space="0"/>
            </w:tcBorders>
            <w:vAlign w:val="center"/>
          </w:tcPr>
          <w:p w14:paraId="037D08A1">
            <w:pPr>
              <w:spacing w:line="240" w:lineRule="exact"/>
              <w:rPr>
                <w:rFonts w:ascii="宋体" w:hAnsi="宋体" w:eastAsia="宋体" w:cs="宋体"/>
                <w:sz w:val="18"/>
                <w:szCs w:val="18"/>
              </w:rPr>
            </w:pPr>
            <w:r>
              <w:rPr>
                <w:rFonts w:ascii="宋体" w:hAnsi="宋体" w:eastAsia="宋体" w:cs="宋体"/>
                <w:sz w:val="18"/>
                <w:szCs w:val="18"/>
              </w:rPr>
              <w:t>其他</w:t>
            </w:r>
          </w:p>
        </w:tc>
        <w:tc>
          <w:tcPr>
            <w:tcW w:w="656" w:type="dxa"/>
            <w:tcBorders>
              <w:top w:val="single" w:color="auto" w:sz="2" w:space="0"/>
              <w:left w:val="single" w:color="auto" w:sz="2" w:space="0"/>
              <w:bottom w:val="single" w:color="auto" w:sz="2" w:space="0"/>
              <w:right w:val="single" w:color="auto" w:sz="2" w:space="0"/>
            </w:tcBorders>
            <w:vAlign w:val="center"/>
          </w:tcPr>
          <w:p w14:paraId="6EC0B511">
            <w:pPr>
              <w:spacing w:line="240" w:lineRule="exact"/>
              <w:rPr>
                <w:rFonts w:ascii="宋体" w:hAnsi="宋体" w:eastAsia="宋体" w:cs="宋体"/>
                <w:sz w:val="18"/>
                <w:szCs w:val="18"/>
              </w:rPr>
            </w:pPr>
            <w:r>
              <w:rPr>
                <w:rFonts w:ascii="宋体" w:hAnsi="宋体" w:eastAsia="宋体" w:cs="宋体"/>
                <w:sz w:val="18"/>
                <w:szCs w:val="18"/>
              </w:rPr>
              <w:t>2017年12月</w:t>
            </w:r>
          </w:p>
        </w:tc>
        <w:tc>
          <w:tcPr>
            <w:tcW w:w="1622" w:type="dxa"/>
            <w:tcBorders>
              <w:top w:val="single" w:color="auto" w:sz="2" w:space="0"/>
              <w:left w:val="single" w:color="auto" w:sz="2" w:space="0"/>
              <w:bottom w:val="single" w:color="auto" w:sz="2" w:space="0"/>
              <w:right w:val="single" w:color="auto" w:sz="2" w:space="0"/>
            </w:tcBorders>
            <w:vAlign w:val="center"/>
          </w:tcPr>
          <w:p w14:paraId="71EF504C">
            <w:pPr>
              <w:spacing w:line="240" w:lineRule="exact"/>
              <w:rPr>
                <w:rFonts w:ascii="宋体" w:hAnsi="宋体" w:eastAsia="宋体" w:cs="宋体"/>
                <w:sz w:val="18"/>
                <w:szCs w:val="18"/>
              </w:rPr>
            </w:pPr>
            <w:r>
              <w:rPr>
                <w:rFonts w:hint="eastAsia" w:ascii="Courier New" w:hAnsi="Courier New" w:eastAsia="宋体" w:cs="Courier New"/>
                <w:kern w:val="0"/>
                <w:sz w:val="18"/>
                <w:szCs w:val="18"/>
              </w:rPr>
              <w:t>报</w:t>
            </w:r>
            <w:r>
              <w:rPr>
                <w:rFonts w:hint="eastAsia" w:ascii="Courier New" w:hAnsi="Courier New" w:eastAsia="宋体" w:cs="Courier New"/>
                <w:kern w:val="0"/>
                <w:sz w:val="18"/>
                <w:szCs w:val="18"/>
                <w:highlight w:val="none"/>
              </w:rPr>
              <w:t>告期，公司收到中国证监会下发的《行政处罚及市场禁入事先告知书》</w:t>
            </w:r>
            <w:r>
              <w:rPr>
                <w:rFonts w:hint="eastAsia" w:ascii="Courier New" w:hAnsi="Courier New" w:eastAsia="宋体" w:cs="Courier New"/>
                <w:kern w:val="0"/>
                <w:sz w:val="18"/>
                <w:szCs w:val="18"/>
              </w:rPr>
              <w:t>，根据</w:t>
            </w:r>
            <w:r>
              <w:rPr>
                <w:rFonts w:hint="eastAsia" w:ascii="Courier New" w:hAnsi="Courier New" w:eastAsia="宋体" w:cs="Courier New"/>
                <w:kern w:val="0"/>
                <w:sz w:val="18"/>
                <w:szCs w:val="18"/>
                <w:highlight w:val="none"/>
              </w:rPr>
              <w:t>事先告知书，涉及</w:t>
            </w:r>
            <w:r>
              <w:rPr>
                <w:rFonts w:hint="eastAsia" w:ascii="Courier New" w:hAnsi="Courier New" w:eastAsia="宋体" w:cs="Courier New"/>
                <w:kern w:val="0"/>
                <w:sz w:val="18"/>
                <w:szCs w:val="18"/>
              </w:rPr>
              <w:t>公司及四川永成实业有限公司共同向海尔小贷借款，实际资金为永成实业使用，该案和解结案后实际损失金额构成实际性资金占用。本项金额及关联性根据</w:t>
            </w:r>
            <w:r>
              <w:rPr>
                <w:rFonts w:hint="eastAsia" w:ascii="Courier New" w:hAnsi="Courier New" w:eastAsia="宋体" w:cs="Courier New"/>
                <w:kern w:val="0"/>
                <w:sz w:val="18"/>
                <w:szCs w:val="18"/>
                <w:highlight w:val="none"/>
              </w:rPr>
              <w:t>立案调查最终结果确定。</w:t>
            </w:r>
          </w:p>
        </w:tc>
        <w:tc>
          <w:tcPr>
            <w:tcW w:w="1026" w:type="dxa"/>
            <w:tcBorders>
              <w:top w:val="single" w:color="auto" w:sz="2" w:space="0"/>
              <w:left w:val="single" w:color="auto" w:sz="2" w:space="0"/>
              <w:bottom w:val="single" w:color="auto" w:sz="2" w:space="0"/>
              <w:right w:val="single" w:color="auto" w:sz="2" w:space="0"/>
            </w:tcBorders>
            <w:vAlign w:val="center"/>
          </w:tcPr>
          <w:p w14:paraId="04E86F05">
            <w:pPr>
              <w:spacing w:line="240" w:lineRule="exact"/>
              <w:jc w:val="right"/>
              <w:rPr>
                <w:rFonts w:ascii="宋体" w:hAnsi="宋体" w:eastAsia="宋体" w:cs="宋体"/>
                <w:sz w:val="18"/>
                <w:szCs w:val="18"/>
              </w:rPr>
            </w:pPr>
            <w:r>
              <w:rPr>
                <w:rFonts w:ascii="宋体" w:hAnsi="宋体" w:eastAsia="宋体" w:cs="宋体"/>
                <w:sz w:val="18"/>
                <w:szCs w:val="18"/>
              </w:rPr>
              <w:t>550</w:t>
            </w:r>
          </w:p>
        </w:tc>
        <w:tc>
          <w:tcPr>
            <w:tcW w:w="567" w:type="dxa"/>
            <w:tcBorders>
              <w:top w:val="single" w:color="auto" w:sz="2" w:space="0"/>
              <w:left w:val="single" w:color="auto" w:sz="2" w:space="0"/>
              <w:bottom w:val="single" w:color="auto" w:sz="2" w:space="0"/>
              <w:right w:val="single" w:color="auto" w:sz="2" w:space="0"/>
            </w:tcBorders>
            <w:vAlign w:val="center"/>
          </w:tcPr>
          <w:p w14:paraId="63F7CC96">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3470720E">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58D45B93">
            <w:pPr>
              <w:spacing w:line="240" w:lineRule="exact"/>
              <w:jc w:val="right"/>
              <w:rPr>
                <w:rFonts w:ascii="宋体" w:hAnsi="宋体" w:eastAsia="宋体" w:cs="宋体"/>
                <w:sz w:val="18"/>
                <w:szCs w:val="18"/>
              </w:rPr>
            </w:pPr>
            <w:r>
              <w:rPr>
                <w:rFonts w:ascii="宋体" w:hAnsi="宋体" w:eastAsia="宋体" w:cs="宋体"/>
                <w:sz w:val="18"/>
                <w:szCs w:val="18"/>
              </w:rPr>
              <w:t>550</w:t>
            </w:r>
          </w:p>
        </w:tc>
        <w:tc>
          <w:tcPr>
            <w:tcW w:w="1143" w:type="dxa"/>
            <w:tcBorders>
              <w:top w:val="single" w:color="auto" w:sz="2" w:space="0"/>
              <w:left w:val="single" w:color="auto" w:sz="2" w:space="0"/>
              <w:bottom w:val="single" w:color="auto" w:sz="2" w:space="0"/>
              <w:right w:val="single" w:color="auto" w:sz="2" w:space="0"/>
            </w:tcBorders>
            <w:vAlign w:val="center"/>
          </w:tcPr>
          <w:p w14:paraId="65CA0418">
            <w:pPr>
              <w:spacing w:line="240" w:lineRule="exact"/>
              <w:jc w:val="right"/>
              <w:rPr>
                <w:rFonts w:ascii="宋体" w:hAnsi="宋体" w:eastAsia="宋体" w:cs="宋体"/>
                <w:sz w:val="18"/>
                <w:szCs w:val="18"/>
              </w:rPr>
            </w:pPr>
            <w:r>
              <w:rPr>
                <w:rFonts w:ascii="宋体" w:hAnsi="宋体" w:eastAsia="宋体" w:cs="宋体"/>
                <w:sz w:val="18"/>
                <w:szCs w:val="18"/>
              </w:rPr>
              <w:t>550</w:t>
            </w:r>
          </w:p>
        </w:tc>
        <w:tc>
          <w:tcPr>
            <w:tcW w:w="503" w:type="dxa"/>
            <w:tcBorders>
              <w:top w:val="single" w:color="auto" w:sz="2" w:space="0"/>
              <w:left w:val="single" w:color="auto" w:sz="2" w:space="0"/>
              <w:bottom w:val="single" w:color="auto" w:sz="2" w:space="0"/>
              <w:right w:val="single" w:color="auto" w:sz="2" w:space="0"/>
            </w:tcBorders>
            <w:vAlign w:val="center"/>
          </w:tcPr>
          <w:p w14:paraId="120C09ED">
            <w:pPr>
              <w:spacing w:line="240" w:lineRule="exact"/>
              <w:rPr>
                <w:rFonts w:ascii="宋体" w:hAnsi="宋体" w:eastAsia="宋体" w:cs="宋体"/>
                <w:sz w:val="18"/>
                <w:szCs w:val="18"/>
              </w:rPr>
            </w:pPr>
            <w:r>
              <w:rPr>
                <w:rFonts w:ascii="宋体" w:hAnsi="宋体" w:eastAsia="宋体" w:cs="宋体"/>
                <w:sz w:val="18"/>
                <w:szCs w:val="18"/>
              </w:rPr>
              <w:t>其他</w:t>
            </w:r>
          </w:p>
        </w:tc>
        <w:tc>
          <w:tcPr>
            <w:tcW w:w="1058" w:type="dxa"/>
            <w:tcBorders>
              <w:top w:val="single" w:color="auto" w:sz="2" w:space="0"/>
              <w:left w:val="single" w:color="auto" w:sz="2" w:space="0"/>
              <w:bottom w:val="single" w:color="auto" w:sz="2" w:space="0"/>
              <w:right w:val="single" w:color="auto" w:sz="2" w:space="0"/>
            </w:tcBorders>
            <w:vAlign w:val="center"/>
          </w:tcPr>
          <w:p w14:paraId="72E59094">
            <w:pPr>
              <w:spacing w:line="240" w:lineRule="exact"/>
              <w:jc w:val="right"/>
              <w:rPr>
                <w:rFonts w:ascii="宋体" w:hAnsi="宋体" w:eastAsia="宋体" w:cs="宋体"/>
                <w:sz w:val="18"/>
                <w:szCs w:val="18"/>
              </w:rPr>
            </w:pPr>
            <w:r>
              <w:rPr>
                <w:rFonts w:ascii="宋体" w:hAnsi="宋体" w:eastAsia="宋体" w:cs="宋体"/>
                <w:sz w:val="18"/>
                <w:szCs w:val="18"/>
              </w:rPr>
              <w:t>550</w:t>
            </w:r>
          </w:p>
        </w:tc>
        <w:tc>
          <w:tcPr>
            <w:tcW w:w="747" w:type="dxa"/>
            <w:tcBorders>
              <w:top w:val="single" w:color="auto" w:sz="2" w:space="0"/>
              <w:left w:val="single" w:color="auto" w:sz="2" w:space="0"/>
              <w:bottom w:val="single" w:color="auto" w:sz="2" w:space="0"/>
              <w:right w:val="single" w:color="auto" w:sz="2" w:space="0"/>
            </w:tcBorders>
            <w:vAlign w:val="center"/>
          </w:tcPr>
          <w:p w14:paraId="6BE8628B">
            <w:pPr>
              <w:spacing w:line="240" w:lineRule="exact"/>
              <w:rPr>
                <w:rFonts w:ascii="宋体" w:hAnsi="宋体" w:eastAsia="宋体" w:cs="宋体"/>
                <w:sz w:val="18"/>
                <w:szCs w:val="18"/>
              </w:rPr>
            </w:pPr>
            <w:r>
              <w:rPr>
                <w:rFonts w:ascii="宋体" w:hAnsi="宋体" w:eastAsia="宋体" w:cs="宋体"/>
                <w:sz w:val="18"/>
                <w:szCs w:val="18"/>
              </w:rPr>
              <w:t>2024年度</w:t>
            </w:r>
          </w:p>
        </w:tc>
      </w:tr>
      <w:tr w14:paraId="5764CC4C">
        <w:trPr>
          <w:trHeight w:val="240" w:hRule="atLeast"/>
        </w:trPr>
        <w:tc>
          <w:tcPr>
            <w:tcW w:w="695" w:type="dxa"/>
            <w:tcBorders>
              <w:top w:val="single" w:color="auto" w:sz="2" w:space="0"/>
              <w:left w:val="single" w:color="auto" w:sz="2" w:space="0"/>
              <w:bottom w:val="single" w:color="auto" w:sz="2" w:space="0"/>
              <w:right w:val="single" w:color="auto" w:sz="2" w:space="0"/>
            </w:tcBorders>
            <w:vAlign w:val="center"/>
          </w:tcPr>
          <w:p w14:paraId="5FBF088E">
            <w:pPr>
              <w:spacing w:line="240" w:lineRule="exact"/>
              <w:rPr>
                <w:rFonts w:ascii="宋体" w:hAnsi="宋体" w:eastAsia="宋体" w:cs="宋体"/>
                <w:sz w:val="18"/>
                <w:szCs w:val="18"/>
              </w:rPr>
            </w:pPr>
            <w:r>
              <w:rPr>
                <w:rFonts w:ascii="宋体" w:hAnsi="宋体" w:eastAsia="宋体" w:cs="宋体"/>
                <w:sz w:val="18"/>
                <w:szCs w:val="18"/>
              </w:rPr>
              <w:t>储小晗及其关联方</w:t>
            </w:r>
          </w:p>
        </w:tc>
        <w:tc>
          <w:tcPr>
            <w:tcW w:w="503" w:type="dxa"/>
            <w:tcBorders>
              <w:top w:val="single" w:color="auto" w:sz="2" w:space="0"/>
              <w:left w:val="single" w:color="auto" w:sz="2" w:space="0"/>
              <w:bottom w:val="single" w:color="auto" w:sz="2" w:space="0"/>
              <w:right w:val="single" w:color="auto" w:sz="2" w:space="0"/>
            </w:tcBorders>
            <w:vAlign w:val="center"/>
          </w:tcPr>
          <w:p w14:paraId="3EB810FE">
            <w:pPr>
              <w:spacing w:line="240" w:lineRule="exact"/>
              <w:rPr>
                <w:rFonts w:ascii="宋体" w:hAnsi="宋体" w:eastAsia="宋体" w:cs="宋体"/>
                <w:sz w:val="18"/>
                <w:szCs w:val="18"/>
              </w:rPr>
            </w:pPr>
            <w:r>
              <w:rPr>
                <w:rFonts w:ascii="宋体" w:hAnsi="宋体" w:eastAsia="宋体" w:cs="宋体"/>
                <w:sz w:val="18"/>
                <w:szCs w:val="18"/>
              </w:rPr>
              <w:t>其他</w:t>
            </w:r>
          </w:p>
        </w:tc>
        <w:tc>
          <w:tcPr>
            <w:tcW w:w="656" w:type="dxa"/>
            <w:tcBorders>
              <w:top w:val="single" w:color="auto" w:sz="2" w:space="0"/>
              <w:left w:val="single" w:color="auto" w:sz="2" w:space="0"/>
              <w:bottom w:val="single" w:color="auto" w:sz="2" w:space="0"/>
              <w:right w:val="single" w:color="auto" w:sz="2" w:space="0"/>
            </w:tcBorders>
            <w:vAlign w:val="center"/>
          </w:tcPr>
          <w:p w14:paraId="3670BF35">
            <w:pPr>
              <w:spacing w:line="240" w:lineRule="exact"/>
              <w:rPr>
                <w:rFonts w:ascii="宋体" w:hAnsi="宋体" w:eastAsia="宋体" w:cs="宋体"/>
                <w:sz w:val="18"/>
                <w:szCs w:val="18"/>
              </w:rPr>
            </w:pPr>
            <w:r>
              <w:rPr>
                <w:rFonts w:ascii="宋体" w:hAnsi="宋体" w:eastAsia="宋体" w:cs="宋体"/>
                <w:sz w:val="18"/>
                <w:szCs w:val="18"/>
              </w:rPr>
              <w:t>2018年1月</w:t>
            </w:r>
          </w:p>
        </w:tc>
        <w:tc>
          <w:tcPr>
            <w:tcW w:w="1622" w:type="dxa"/>
            <w:tcBorders>
              <w:top w:val="single" w:color="auto" w:sz="2" w:space="0"/>
              <w:left w:val="single" w:color="auto" w:sz="2" w:space="0"/>
              <w:bottom w:val="single" w:color="auto" w:sz="2" w:space="0"/>
              <w:right w:val="single" w:color="auto" w:sz="2" w:space="0"/>
            </w:tcBorders>
            <w:vAlign w:val="center"/>
          </w:tcPr>
          <w:p w14:paraId="1E64336A">
            <w:pPr>
              <w:spacing w:line="240" w:lineRule="exact"/>
              <w:rPr>
                <w:rFonts w:ascii="宋体" w:hAnsi="宋体" w:eastAsia="宋体" w:cs="宋体"/>
                <w:sz w:val="18"/>
                <w:szCs w:val="18"/>
              </w:rPr>
            </w:pPr>
            <w:r>
              <w:rPr>
                <w:rFonts w:hint="eastAsia" w:ascii="Courier New" w:hAnsi="Courier New" w:eastAsia="宋体" w:cs="Courier New"/>
                <w:kern w:val="0"/>
                <w:sz w:val="18"/>
                <w:szCs w:val="18"/>
              </w:rPr>
              <w:t>报</w:t>
            </w:r>
            <w:r>
              <w:rPr>
                <w:rFonts w:hint="eastAsia" w:ascii="Courier New" w:hAnsi="Courier New" w:eastAsia="宋体" w:cs="Courier New"/>
                <w:kern w:val="0"/>
                <w:sz w:val="18"/>
                <w:szCs w:val="18"/>
                <w:highlight w:val="none"/>
              </w:rPr>
              <w:t>告期，公司收到中国证监会下发的《行政处罚及市场禁入事先告知书》</w:t>
            </w:r>
            <w:r>
              <w:rPr>
                <w:rFonts w:hint="eastAsia" w:ascii="Courier New" w:hAnsi="Courier New" w:eastAsia="宋体" w:cs="Courier New"/>
                <w:kern w:val="0"/>
                <w:sz w:val="18"/>
                <w:szCs w:val="18"/>
              </w:rPr>
              <w:t>，根据</w:t>
            </w:r>
            <w:r>
              <w:rPr>
                <w:rFonts w:hint="eastAsia" w:ascii="Courier New" w:hAnsi="Courier New" w:eastAsia="宋体" w:cs="Courier New"/>
                <w:kern w:val="0"/>
                <w:sz w:val="18"/>
                <w:szCs w:val="18"/>
                <w:highlight w:val="none"/>
              </w:rPr>
              <w:t>事先告知书，涉及</w:t>
            </w:r>
            <w:r>
              <w:rPr>
                <w:rFonts w:hint="eastAsia" w:ascii="Courier New" w:hAnsi="Courier New" w:eastAsia="宋体" w:cs="Courier New"/>
                <w:kern w:val="0"/>
                <w:sz w:val="18"/>
                <w:szCs w:val="18"/>
              </w:rPr>
              <w:t>公司为四川永成实业有限公司及永登信用社商业承兑票据案背书担保，该案最终和解结案实际损失金额构成资金占用。本项金额及关联性根据</w:t>
            </w:r>
            <w:r>
              <w:rPr>
                <w:rFonts w:hint="eastAsia" w:ascii="Courier New" w:hAnsi="Courier New" w:eastAsia="宋体" w:cs="Courier New"/>
                <w:kern w:val="0"/>
                <w:sz w:val="18"/>
                <w:szCs w:val="18"/>
                <w:highlight w:val="none"/>
              </w:rPr>
              <w:t>立案调查最终结果确定。</w:t>
            </w:r>
          </w:p>
        </w:tc>
        <w:tc>
          <w:tcPr>
            <w:tcW w:w="1026" w:type="dxa"/>
            <w:tcBorders>
              <w:top w:val="single" w:color="auto" w:sz="2" w:space="0"/>
              <w:left w:val="single" w:color="auto" w:sz="2" w:space="0"/>
              <w:bottom w:val="single" w:color="auto" w:sz="2" w:space="0"/>
              <w:right w:val="single" w:color="auto" w:sz="2" w:space="0"/>
            </w:tcBorders>
            <w:vAlign w:val="center"/>
          </w:tcPr>
          <w:p w14:paraId="05153736">
            <w:pPr>
              <w:spacing w:line="240" w:lineRule="exact"/>
              <w:jc w:val="right"/>
              <w:rPr>
                <w:rFonts w:ascii="宋体" w:hAnsi="宋体" w:eastAsia="宋体" w:cs="宋体"/>
                <w:sz w:val="18"/>
                <w:szCs w:val="18"/>
              </w:rPr>
            </w:pPr>
            <w:r>
              <w:rPr>
                <w:rFonts w:ascii="宋体" w:hAnsi="宋体" w:eastAsia="宋体" w:cs="宋体"/>
                <w:sz w:val="18"/>
                <w:szCs w:val="18"/>
              </w:rPr>
              <w:t>700</w:t>
            </w:r>
          </w:p>
        </w:tc>
        <w:tc>
          <w:tcPr>
            <w:tcW w:w="567" w:type="dxa"/>
            <w:tcBorders>
              <w:top w:val="single" w:color="auto" w:sz="2" w:space="0"/>
              <w:left w:val="single" w:color="auto" w:sz="2" w:space="0"/>
              <w:bottom w:val="single" w:color="auto" w:sz="2" w:space="0"/>
              <w:right w:val="single" w:color="auto" w:sz="2" w:space="0"/>
            </w:tcBorders>
            <w:vAlign w:val="center"/>
          </w:tcPr>
          <w:p w14:paraId="19F3D3F5">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3A172077">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2445537E">
            <w:pPr>
              <w:spacing w:line="240" w:lineRule="exact"/>
              <w:jc w:val="right"/>
              <w:rPr>
                <w:rFonts w:ascii="宋体" w:hAnsi="宋体" w:eastAsia="宋体" w:cs="宋体"/>
                <w:sz w:val="18"/>
                <w:szCs w:val="18"/>
              </w:rPr>
            </w:pPr>
            <w:r>
              <w:rPr>
                <w:rFonts w:ascii="宋体" w:hAnsi="宋体" w:eastAsia="宋体" w:cs="宋体"/>
                <w:sz w:val="18"/>
                <w:szCs w:val="18"/>
              </w:rPr>
              <w:t>700</w:t>
            </w:r>
          </w:p>
        </w:tc>
        <w:tc>
          <w:tcPr>
            <w:tcW w:w="1143" w:type="dxa"/>
            <w:tcBorders>
              <w:top w:val="single" w:color="auto" w:sz="2" w:space="0"/>
              <w:left w:val="single" w:color="auto" w:sz="2" w:space="0"/>
              <w:bottom w:val="single" w:color="auto" w:sz="2" w:space="0"/>
              <w:right w:val="single" w:color="auto" w:sz="2" w:space="0"/>
            </w:tcBorders>
            <w:vAlign w:val="center"/>
          </w:tcPr>
          <w:p w14:paraId="12A0CF95">
            <w:pPr>
              <w:spacing w:line="240" w:lineRule="exact"/>
              <w:jc w:val="right"/>
              <w:rPr>
                <w:rFonts w:ascii="宋体" w:hAnsi="宋体" w:eastAsia="宋体" w:cs="宋体"/>
                <w:sz w:val="18"/>
                <w:szCs w:val="18"/>
              </w:rPr>
            </w:pPr>
            <w:r>
              <w:rPr>
                <w:rFonts w:ascii="宋体" w:hAnsi="宋体" w:eastAsia="宋体" w:cs="宋体"/>
                <w:sz w:val="18"/>
                <w:szCs w:val="18"/>
              </w:rPr>
              <w:t>700</w:t>
            </w:r>
          </w:p>
        </w:tc>
        <w:tc>
          <w:tcPr>
            <w:tcW w:w="503" w:type="dxa"/>
            <w:tcBorders>
              <w:top w:val="single" w:color="auto" w:sz="2" w:space="0"/>
              <w:left w:val="single" w:color="auto" w:sz="2" w:space="0"/>
              <w:bottom w:val="single" w:color="auto" w:sz="2" w:space="0"/>
              <w:right w:val="single" w:color="auto" w:sz="2" w:space="0"/>
            </w:tcBorders>
            <w:vAlign w:val="center"/>
          </w:tcPr>
          <w:p w14:paraId="3E48538E">
            <w:pPr>
              <w:spacing w:line="240" w:lineRule="exact"/>
              <w:rPr>
                <w:rFonts w:ascii="宋体" w:hAnsi="宋体" w:eastAsia="宋体" w:cs="宋体"/>
                <w:sz w:val="18"/>
                <w:szCs w:val="18"/>
              </w:rPr>
            </w:pPr>
            <w:r>
              <w:rPr>
                <w:rFonts w:ascii="宋体" w:hAnsi="宋体" w:eastAsia="宋体" w:cs="宋体"/>
                <w:sz w:val="18"/>
                <w:szCs w:val="18"/>
              </w:rPr>
              <w:t>其他</w:t>
            </w:r>
          </w:p>
        </w:tc>
        <w:tc>
          <w:tcPr>
            <w:tcW w:w="1058" w:type="dxa"/>
            <w:tcBorders>
              <w:top w:val="single" w:color="auto" w:sz="2" w:space="0"/>
              <w:left w:val="single" w:color="auto" w:sz="2" w:space="0"/>
              <w:bottom w:val="single" w:color="auto" w:sz="2" w:space="0"/>
              <w:right w:val="single" w:color="auto" w:sz="2" w:space="0"/>
            </w:tcBorders>
            <w:vAlign w:val="center"/>
          </w:tcPr>
          <w:p w14:paraId="77BA52E9">
            <w:pPr>
              <w:spacing w:line="240" w:lineRule="exact"/>
              <w:jc w:val="right"/>
              <w:rPr>
                <w:rFonts w:ascii="宋体" w:hAnsi="宋体" w:eastAsia="宋体" w:cs="宋体"/>
                <w:sz w:val="18"/>
                <w:szCs w:val="18"/>
              </w:rPr>
            </w:pPr>
            <w:r>
              <w:rPr>
                <w:rFonts w:ascii="宋体" w:hAnsi="宋体" w:eastAsia="宋体" w:cs="宋体"/>
                <w:sz w:val="18"/>
                <w:szCs w:val="18"/>
              </w:rPr>
              <w:t>700</w:t>
            </w:r>
          </w:p>
        </w:tc>
        <w:tc>
          <w:tcPr>
            <w:tcW w:w="747" w:type="dxa"/>
            <w:tcBorders>
              <w:top w:val="single" w:color="auto" w:sz="2" w:space="0"/>
              <w:left w:val="single" w:color="auto" w:sz="2" w:space="0"/>
              <w:bottom w:val="single" w:color="auto" w:sz="2" w:space="0"/>
              <w:right w:val="single" w:color="auto" w:sz="2" w:space="0"/>
            </w:tcBorders>
            <w:vAlign w:val="center"/>
          </w:tcPr>
          <w:p w14:paraId="420BBD2A">
            <w:pPr>
              <w:spacing w:line="240" w:lineRule="exact"/>
              <w:rPr>
                <w:rFonts w:ascii="宋体" w:hAnsi="宋体" w:eastAsia="宋体" w:cs="宋体"/>
                <w:sz w:val="18"/>
                <w:szCs w:val="18"/>
              </w:rPr>
            </w:pPr>
            <w:r>
              <w:rPr>
                <w:rFonts w:ascii="宋体" w:hAnsi="宋体" w:eastAsia="宋体" w:cs="宋体"/>
                <w:sz w:val="18"/>
                <w:szCs w:val="18"/>
              </w:rPr>
              <w:t>2024年度</w:t>
            </w:r>
          </w:p>
        </w:tc>
      </w:tr>
      <w:tr w14:paraId="25D76221">
        <w:trPr>
          <w:trHeight w:val="240" w:hRule="atLeast"/>
        </w:trPr>
        <w:tc>
          <w:tcPr>
            <w:tcW w:w="695" w:type="dxa"/>
            <w:tcBorders>
              <w:top w:val="single" w:color="auto" w:sz="2" w:space="0"/>
              <w:left w:val="single" w:color="auto" w:sz="2" w:space="0"/>
              <w:bottom w:val="single" w:color="auto" w:sz="2" w:space="0"/>
              <w:right w:val="single" w:color="auto" w:sz="2" w:space="0"/>
            </w:tcBorders>
            <w:vAlign w:val="center"/>
          </w:tcPr>
          <w:p w14:paraId="50FE69DB">
            <w:pPr>
              <w:spacing w:line="240" w:lineRule="exact"/>
              <w:rPr>
                <w:rFonts w:ascii="宋体" w:hAnsi="宋体" w:eastAsia="宋体" w:cs="宋体"/>
                <w:sz w:val="18"/>
                <w:szCs w:val="18"/>
              </w:rPr>
            </w:pPr>
            <w:r>
              <w:rPr>
                <w:rFonts w:ascii="宋体" w:hAnsi="宋体" w:eastAsia="宋体" w:cs="宋体"/>
                <w:sz w:val="18"/>
                <w:szCs w:val="18"/>
              </w:rPr>
              <w:t>深圳市金脉青枫投资管理有限公司</w:t>
            </w:r>
          </w:p>
        </w:tc>
        <w:tc>
          <w:tcPr>
            <w:tcW w:w="503" w:type="dxa"/>
            <w:tcBorders>
              <w:top w:val="single" w:color="auto" w:sz="2" w:space="0"/>
              <w:left w:val="single" w:color="auto" w:sz="2" w:space="0"/>
              <w:bottom w:val="single" w:color="auto" w:sz="2" w:space="0"/>
              <w:right w:val="single" w:color="auto" w:sz="2" w:space="0"/>
            </w:tcBorders>
            <w:vAlign w:val="center"/>
          </w:tcPr>
          <w:p w14:paraId="4B2FE620">
            <w:pPr>
              <w:spacing w:line="240" w:lineRule="exact"/>
              <w:rPr>
                <w:rFonts w:ascii="宋体" w:hAnsi="宋体" w:eastAsia="宋体" w:cs="宋体"/>
                <w:sz w:val="18"/>
                <w:szCs w:val="18"/>
              </w:rPr>
            </w:pPr>
            <w:r>
              <w:rPr>
                <w:rFonts w:ascii="宋体" w:hAnsi="宋体" w:eastAsia="宋体" w:cs="宋体"/>
                <w:sz w:val="18"/>
                <w:szCs w:val="18"/>
              </w:rPr>
              <w:t>其他</w:t>
            </w:r>
          </w:p>
        </w:tc>
        <w:tc>
          <w:tcPr>
            <w:tcW w:w="656" w:type="dxa"/>
            <w:tcBorders>
              <w:top w:val="single" w:color="auto" w:sz="2" w:space="0"/>
              <w:left w:val="single" w:color="auto" w:sz="2" w:space="0"/>
              <w:bottom w:val="single" w:color="auto" w:sz="2" w:space="0"/>
              <w:right w:val="single" w:color="auto" w:sz="2" w:space="0"/>
            </w:tcBorders>
            <w:vAlign w:val="center"/>
          </w:tcPr>
          <w:p w14:paraId="079C453A">
            <w:pPr>
              <w:spacing w:line="240" w:lineRule="exact"/>
              <w:rPr>
                <w:rFonts w:ascii="宋体" w:hAnsi="宋体" w:eastAsia="宋体" w:cs="宋体"/>
                <w:sz w:val="18"/>
                <w:szCs w:val="18"/>
              </w:rPr>
            </w:pPr>
            <w:r>
              <w:rPr>
                <w:rFonts w:ascii="宋体" w:hAnsi="宋体" w:eastAsia="宋体" w:cs="宋体"/>
                <w:sz w:val="18"/>
                <w:szCs w:val="18"/>
              </w:rPr>
              <w:t>2018年7月</w:t>
            </w:r>
          </w:p>
        </w:tc>
        <w:tc>
          <w:tcPr>
            <w:tcW w:w="1622" w:type="dxa"/>
            <w:tcBorders>
              <w:top w:val="single" w:color="auto" w:sz="2" w:space="0"/>
              <w:left w:val="single" w:color="auto" w:sz="2" w:space="0"/>
              <w:bottom w:val="single" w:color="auto" w:sz="2" w:space="0"/>
              <w:right w:val="single" w:color="auto" w:sz="2" w:space="0"/>
            </w:tcBorders>
            <w:vAlign w:val="center"/>
          </w:tcPr>
          <w:p w14:paraId="11186F41">
            <w:pPr>
              <w:spacing w:line="240" w:lineRule="exact"/>
              <w:rPr>
                <w:rFonts w:ascii="宋体" w:hAnsi="宋体" w:eastAsia="宋体" w:cs="宋体"/>
                <w:sz w:val="18"/>
                <w:szCs w:val="18"/>
              </w:rPr>
            </w:pPr>
            <w:r>
              <w:rPr>
                <w:rFonts w:hint="eastAsia" w:ascii="Courier New" w:hAnsi="Courier New" w:eastAsia="宋体" w:cs="Courier New"/>
                <w:kern w:val="0"/>
                <w:sz w:val="18"/>
                <w:szCs w:val="18"/>
              </w:rPr>
              <w:t>报</w:t>
            </w:r>
            <w:r>
              <w:rPr>
                <w:rFonts w:hint="eastAsia" w:ascii="Courier New" w:hAnsi="Courier New" w:eastAsia="宋体" w:cs="Courier New"/>
                <w:kern w:val="0"/>
                <w:sz w:val="18"/>
                <w:szCs w:val="18"/>
                <w:highlight w:val="none"/>
              </w:rPr>
              <w:t>告期，公司收到中国证监会下发的《行政处罚及市场禁入事先告知书》</w:t>
            </w:r>
            <w:r>
              <w:rPr>
                <w:rFonts w:hint="eastAsia" w:ascii="Courier New" w:hAnsi="Courier New" w:eastAsia="宋体" w:cs="Courier New"/>
                <w:kern w:val="0"/>
                <w:sz w:val="18"/>
                <w:szCs w:val="18"/>
              </w:rPr>
              <w:t>，根据</w:t>
            </w:r>
            <w:r>
              <w:rPr>
                <w:rFonts w:hint="eastAsia" w:ascii="Courier New" w:hAnsi="Courier New" w:eastAsia="宋体" w:cs="Courier New"/>
                <w:kern w:val="0"/>
                <w:sz w:val="18"/>
                <w:szCs w:val="18"/>
                <w:highlight w:val="none"/>
              </w:rPr>
              <w:t>事先告知书，</w:t>
            </w:r>
            <w:r>
              <w:rPr>
                <w:rFonts w:hint="eastAsia" w:ascii="Courier New" w:hAnsi="Courier New" w:eastAsia="宋体" w:cs="Courier New"/>
                <w:kern w:val="0"/>
                <w:sz w:val="18"/>
                <w:szCs w:val="18"/>
              </w:rPr>
              <w:t>2018年深圳市金脉青枫投资管理有限公司通过子公司拉啤分红形成的资金占用；本项金额及关联性根据</w:t>
            </w:r>
            <w:r>
              <w:rPr>
                <w:rFonts w:hint="eastAsia" w:ascii="Courier New" w:hAnsi="Courier New" w:eastAsia="宋体" w:cs="Courier New"/>
                <w:kern w:val="0"/>
                <w:sz w:val="18"/>
                <w:szCs w:val="18"/>
                <w:highlight w:val="none"/>
              </w:rPr>
              <w:t>立案调查结果或诉讼</w:t>
            </w:r>
            <w:r>
              <w:rPr>
                <w:rFonts w:hint="eastAsia" w:ascii="Courier New" w:hAnsi="Courier New" w:eastAsia="宋体" w:cs="Courier New"/>
                <w:kern w:val="0"/>
                <w:sz w:val="18"/>
                <w:szCs w:val="18"/>
              </w:rPr>
              <w:t>判决结果最终确定。</w:t>
            </w:r>
          </w:p>
        </w:tc>
        <w:tc>
          <w:tcPr>
            <w:tcW w:w="1026" w:type="dxa"/>
            <w:tcBorders>
              <w:top w:val="single" w:color="auto" w:sz="2" w:space="0"/>
              <w:left w:val="single" w:color="auto" w:sz="2" w:space="0"/>
              <w:bottom w:val="single" w:color="auto" w:sz="2" w:space="0"/>
              <w:right w:val="single" w:color="auto" w:sz="2" w:space="0"/>
            </w:tcBorders>
            <w:vAlign w:val="center"/>
          </w:tcPr>
          <w:p w14:paraId="7170D864">
            <w:pPr>
              <w:spacing w:line="240" w:lineRule="exact"/>
              <w:jc w:val="right"/>
              <w:rPr>
                <w:rFonts w:ascii="宋体" w:hAnsi="宋体" w:eastAsia="宋体" w:cs="宋体"/>
                <w:sz w:val="18"/>
                <w:szCs w:val="18"/>
              </w:rPr>
            </w:pPr>
            <w:r>
              <w:rPr>
                <w:rFonts w:ascii="宋体" w:hAnsi="宋体" w:eastAsia="宋体" w:cs="宋体"/>
                <w:sz w:val="18"/>
                <w:szCs w:val="18"/>
              </w:rPr>
              <w:t>9,500</w:t>
            </w:r>
          </w:p>
        </w:tc>
        <w:tc>
          <w:tcPr>
            <w:tcW w:w="567" w:type="dxa"/>
            <w:tcBorders>
              <w:top w:val="single" w:color="auto" w:sz="2" w:space="0"/>
              <w:left w:val="single" w:color="auto" w:sz="2" w:space="0"/>
              <w:bottom w:val="single" w:color="auto" w:sz="2" w:space="0"/>
              <w:right w:val="single" w:color="auto" w:sz="2" w:space="0"/>
            </w:tcBorders>
            <w:vAlign w:val="center"/>
          </w:tcPr>
          <w:p w14:paraId="112A74FC">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24D69661">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5753CEDE">
            <w:pPr>
              <w:spacing w:line="240" w:lineRule="exact"/>
              <w:jc w:val="right"/>
              <w:rPr>
                <w:rFonts w:ascii="宋体" w:hAnsi="宋体" w:eastAsia="宋体" w:cs="宋体"/>
                <w:sz w:val="18"/>
                <w:szCs w:val="18"/>
              </w:rPr>
            </w:pPr>
            <w:r>
              <w:rPr>
                <w:rFonts w:ascii="宋体" w:hAnsi="宋体" w:eastAsia="宋体" w:cs="宋体"/>
                <w:sz w:val="18"/>
                <w:szCs w:val="18"/>
              </w:rPr>
              <w:t>9,500</w:t>
            </w:r>
          </w:p>
        </w:tc>
        <w:tc>
          <w:tcPr>
            <w:tcW w:w="1143" w:type="dxa"/>
            <w:tcBorders>
              <w:top w:val="single" w:color="auto" w:sz="2" w:space="0"/>
              <w:left w:val="single" w:color="auto" w:sz="2" w:space="0"/>
              <w:bottom w:val="single" w:color="auto" w:sz="2" w:space="0"/>
              <w:right w:val="single" w:color="auto" w:sz="2" w:space="0"/>
            </w:tcBorders>
            <w:vAlign w:val="center"/>
          </w:tcPr>
          <w:p w14:paraId="45340D5D">
            <w:pPr>
              <w:spacing w:line="240" w:lineRule="exact"/>
              <w:jc w:val="right"/>
              <w:rPr>
                <w:rFonts w:ascii="宋体" w:hAnsi="宋体" w:eastAsia="宋体" w:cs="宋体"/>
                <w:sz w:val="18"/>
                <w:szCs w:val="18"/>
              </w:rPr>
            </w:pPr>
            <w:r>
              <w:rPr>
                <w:rFonts w:ascii="宋体" w:hAnsi="宋体" w:eastAsia="宋体" w:cs="宋体"/>
                <w:sz w:val="18"/>
                <w:szCs w:val="18"/>
              </w:rPr>
              <w:t>9,500</w:t>
            </w:r>
          </w:p>
        </w:tc>
        <w:tc>
          <w:tcPr>
            <w:tcW w:w="503" w:type="dxa"/>
            <w:tcBorders>
              <w:top w:val="single" w:color="auto" w:sz="2" w:space="0"/>
              <w:left w:val="single" w:color="auto" w:sz="2" w:space="0"/>
              <w:bottom w:val="single" w:color="auto" w:sz="2" w:space="0"/>
              <w:right w:val="single" w:color="auto" w:sz="2" w:space="0"/>
            </w:tcBorders>
            <w:vAlign w:val="center"/>
          </w:tcPr>
          <w:p w14:paraId="78F18625">
            <w:pPr>
              <w:spacing w:line="240" w:lineRule="exact"/>
              <w:rPr>
                <w:rFonts w:ascii="宋体" w:hAnsi="宋体" w:eastAsia="宋体" w:cs="宋体"/>
                <w:sz w:val="18"/>
                <w:szCs w:val="18"/>
              </w:rPr>
            </w:pPr>
            <w:r>
              <w:rPr>
                <w:rFonts w:ascii="宋体" w:hAnsi="宋体" w:eastAsia="宋体" w:cs="宋体"/>
                <w:sz w:val="18"/>
                <w:szCs w:val="18"/>
              </w:rPr>
              <w:t>其他</w:t>
            </w:r>
          </w:p>
        </w:tc>
        <w:tc>
          <w:tcPr>
            <w:tcW w:w="1058" w:type="dxa"/>
            <w:tcBorders>
              <w:top w:val="single" w:color="auto" w:sz="2" w:space="0"/>
              <w:left w:val="single" w:color="auto" w:sz="2" w:space="0"/>
              <w:bottom w:val="single" w:color="auto" w:sz="2" w:space="0"/>
              <w:right w:val="single" w:color="auto" w:sz="2" w:space="0"/>
            </w:tcBorders>
            <w:vAlign w:val="center"/>
          </w:tcPr>
          <w:p w14:paraId="64B41FB7">
            <w:pPr>
              <w:spacing w:line="240" w:lineRule="exact"/>
              <w:jc w:val="right"/>
              <w:rPr>
                <w:rFonts w:ascii="宋体" w:hAnsi="宋体" w:eastAsia="宋体" w:cs="宋体"/>
                <w:sz w:val="18"/>
                <w:szCs w:val="18"/>
              </w:rPr>
            </w:pPr>
            <w:r>
              <w:rPr>
                <w:rFonts w:ascii="宋体" w:hAnsi="宋体" w:eastAsia="宋体" w:cs="宋体"/>
                <w:sz w:val="18"/>
                <w:szCs w:val="18"/>
              </w:rPr>
              <w:t>9,500</w:t>
            </w:r>
          </w:p>
        </w:tc>
        <w:tc>
          <w:tcPr>
            <w:tcW w:w="747" w:type="dxa"/>
            <w:tcBorders>
              <w:top w:val="single" w:color="auto" w:sz="2" w:space="0"/>
              <w:left w:val="single" w:color="auto" w:sz="2" w:space="0"/>
              <w:bottom w:val="single" w:color="auto" w:sz="2" w:space="0"/>
              <w:right w:val="single" w:color="auto" w:sz="2" w:space="0"/>
            </w:tcBorders>
            <w:vAlign w:val="center"/>
          </w:tcPr>
          <w:p w14:paraId="6D31AD6F">
            <w:pPr>
              <w:spacing w:line="240" w:lineRule="exact"/>
              <w:rPr>
                <w:rFonts w:ascii="宋体" w:hAnsi="宋体" w:eastAsia="宋体" w:cs="宋体"/>
                <w:sz w:val="18"/>
                <w:szCs w:val="18"/>
              </w:rPr>
            </w:pPr>
            <w:r>
              <w:rPr>
                <w:rFonts w:ascii="宋体" w:hAnsi="宋体" w:eastAsia="宋体" w:cs="宋体"/>
                <w:sz w:val="18"/>
                <w:szCs w:val="18"/>
              </w:rPr>
              <w:t>2024年度</w:t>
            </w:r>
          </w:p>
        </w:tc>
      </w:tr>
      <w:tr w14:paraId="542CDA6D">
        <w:trPr>
          <w:trHeight w:val="240" w:hRule="atLeast"/>
        </w:trPr>
        <w:tc>
          <w:tcPr>
            <w:tcW w:w="695" w:type="dxa"/>
            <w:tcBorders>
              <w:top w:val="single" w:color="auto" w:sz="2" w:space="0"/>
              <w:left w:val="single" w:color="auto" w:sz="2" w:space="0"/>
              <w:bottom w:val="single" w:color="auto" w:sz="2" w:space="0"/>
              <w:right w:val="single" w:color="auto" w:sz="2" w:space="0"/>
            </w:tcBorders>
            <w:vAlign w:val="center"/>
          </w:tcPr>
          <w:p w14:paraId="52DC478E">
            <w:pPr>
              <w:spacing w:line="240" w:lineRule="exact"/>
              <w:rPr>
                <w:rFonts w:ascii="宋体" w:hAnsi="宋体" w:eastAsia="宋体" w:cs="宋体"/>
                <w:sz w:val="18"/>
                <w:szCs w:val="18"/>
              </w:rPr>
            </w:pPr>
            <w:r>
              <w:rPr>
                <w:rFonts w:ascii="宋体" w:hAnsi="宋体" w:eastAsia="宋体" w:cs="宋体"/>
                <w:sz w:val="18"/>
                <w:szCs w:val="18"/>
              </w:rPr>
              <w:t>西藏远征包装有限公司</w:t>
            </w:r>
          </w:p>
        </w:tc>
        <w:tc>
          <w:tcPr>
            <w:tcW w:w="503" w:type="dxa"/>
            <w:tcBorders>
              <w:top w:val="single" w:color="auto" w:sz="2" w:space="0"/>
              <w:left w:val="single" w:color="auto" w:sz="2" w:space="0"/>
              <w:bottom w:val="single" w:color="auto" w:sz="2" w:space="0"/>
              <w:right w:val="single" w:color="auto" w:sz="2" w:space="0"/>
            </w:tcBorders>
            <w:vAlign w:val="center"/>
          </w:tcPr>
          <w:p w14:paraId="67B1FBEF">
            <w:pPr>
              <w:spacing w:line="240" w:lineRule="exact"/>
              <w:rPr>
                <w:rFonts w:ascii="宋体" w:hAnsi="宋体" w:eastAsia="宋体" w:cs="宋体"/>
                <w:sz w:val="18"/>
                <w:szCs w:val="18"/>
              </w:rPr>
            </w:pPr>
            <w:r>
              <w:rPr>
                <w:rFonts w:ascii="宋体" w:hAnsi="宋体" w:eastAsia="宋体" w:cs="宋体"/>
                <w:sz w:val="18"/>
                <w:szCs w:val="18"/>
              </w:rPr>
              <w:t>其他</w:t>
            </w:r>
          </w:p>
        </w:tc>
        <w:tc>
          <w:tcPr>
            <w:tcW w:w="656" w:type="dxa"/>
            <w:tcBorders>
              <w:top w:val="single" w:color="auto" w:sz="2" w:space="0"/>
              <w:left w:val="single" w:color="auto" w:sz="2" w:space="0"/>
              <w:bottom w:val="single" w:color="auto" w:sz="2" w:space="0"/>
              <w:right w:val="single" w:color="auto" w:sz="2" w:space="0"/>
            </w:tcBorders>
            <w:vAlign w:val="center"/>
          </w:tcPr>
          <w:p w14:paraId="321AE880">
            <w:pPr>
              <w:spacing w:line="240" w:lineRule="exact"/>
              <w:rPr>
                <w:rFonts w:ascii="宋体" w:hAnsi="宋体" w:eastAsia="宋体" w:cs="宋体"/>
                <w:sz w:val="18"/>
                <w:szCs w:val="18"/>
              </w:rPr>
            </w:pPr>
            <w:r>
              <w:rPr>
                <w:rFonts w:ascii="宋体" w:hAnsi="宋体" w:eastAsia="宋体" w:cs="宋体"/>
                <w:sz w:val="18"/>
                <w:szCs w:val="18"/>
              </w:rPr>
              <w:t>2017年6月</w:t>
            </w:r>
          </w:p>
        </w:tc>
        <w:tc>
          <w:tcPr>
            <w:tcW w:w="1622" w:type="dxa"/>
            <w:tcBorders>
              <w:top w:val="single" w:color="auto" w:sz="2" w:space="0"/>
              <w:left w:val="single" w:color="auto" w:sz="2" w:space="0"/>
              <w:bottom w:val="single" w:color="auto" w:sz="2" w:space="0"/>
              <w:right w:val="single" w:color="auto" w:sz="2" w:space="0"/>
            </w:tcBorders>
            <w:vAlign w:val="center"/>
          </w:tcPr>
          <w:p w14:paraId="4D5646D3">
            <w:pPr>
              <w:spacing w:line="240" w:lineRule="exact"/>
              <w:rPr>
                <w:rFonts w:ascii="宋体" w:hAnsi="宋体" w:eastAsia="宋体" w:cs="宋体"/>
                <w:sz w:val="18"/>
                <w:szCs w:val="18"/>
              </w:rPr>
            </w:pPr>
            <w:r>
              <w:rPr>
                <w:rFonts w:hint="eastAsia" w:ascii="Courier New" w:hAnsi="Courier New" w:eastAsia="宋体" w:cs="Courier New"/>
                <w:kern w:val="0"/>
                <w:sz w:val="18"/>
                <w:szCs w:val="18"/>
              </w:rPr>
              <w:t>报</w:t>
            </w:r>
            <w:r>
              <w:rPr>
                <w:rFonts w:hint="eastAsia" w:ascii="Courier New" w:hAnsi="Courier New" w:eastAsia="宋体" w:cs="Courier New"/>
                <w:kern w:val="0"/>
                <w:sz w:val="18"/>
                <w:szCs w:val="18"/>
                <w:highlight w:val="none"/>
              </w:rPr>
              <w:t>告期，公司收到中国证监会下发的《行政处罚及市场禁入事先告知书》</w:t>
            </w:r>
            <w:r>
              <w:rPr>
                <w:rFonts w:hint="eastAsia" w:ascii="Courier New" w:hAnsi="Courier New" w:eastAsia="宋体" w:cs="Courier New"/>
                <w:kern w:val="0"/>
                <w:sz w:val="18"/>
                <w:szCs w:val="18"/>
              </w:rPr>
              <w:t>，根据</w:t>
            </w:r>
            <w:r>
              <w:rPr>
                <w:rFonts w:hint="eastAsia" w:ascii="Courier New" w:hAnsi="Courier New" w:eastAsia="宋体" w:cs="Courier New"/>
                <w:kern w:val="0"/>
                <w:sz w:val="18"/>
                <w:szCs w:val="18"/>
                <w:highlight w:val="none"/>
              </w:rPr>
              <w:t>事先告知书，</w:t>
            </w:r>
            <w:r>
              <w:rPr>
                <w:rFonts w:hint="eastAsia" w:ascii="Courier New" w:hAnsi="Courier New" w:eastAsia="宋体" w:cs="Courier New"/>
                <w:kern w:val="0"/>
                <w:sz w:val="18"/>
                <w:szCs w:val="18"/>
              </w:rPr>
              <w:t>西藏远征包装有限公司与西藏拉萨啤酒有限公司签订供应纸箱合同，支付保证金及预付款形成的间接占用。本项金额及关联性根据立案调查结果或诉讼判决结果最终确定。</w:t>
            </w:r>
          </w:p>
        </w:tc>
        <w:tc>
          <w:tcPr>
            <w:tcW w:w="1026" w:type="dxa"/>
            <w:tcBorders>
              <w:top w:val="single" w:color="auto" w:sz="2" w:space="0"/>
              <w:left w:val="single" w:color="auto" w:sz="2" w:space="0"/>
              <w:bottom w:val="single" w:color="auto" w:sz="2" w:space="0"/>
              <w:right w:val="single" w:color="auto" w:sz="2" w:space="0"/>
            </w:tcBorders>
            <w:vAlign w:val="center"/>
          </w:tcPr>
          <w:p w14:paraId="01E7DBB5">
            <w:pPr>
              <w:spacing w:line="240" w:lineRule="exact"/>
              <w:jc w:val="right"/>
              <w:rPr>
                <w:rFonts w:ascii="宋体" w:hAnsi="宋体" w:eastAsia="宋体" w:cs="宋体"/>
                <w:sz w:val="18"/>
                <w:szCs w:val="18"/>
              </w:rPr>
            </w:pPr>
            <w:r>
              <w:rPr>
                <w:rFonts w:ascii="宋体" w:hAnsi="宋体" w:eastAsia="宋体" w:cs="宋体"/>
                <w:sz w:val="18"/>
                <w:szCs w:val="18"/>
              </w:rPr>
              <w:t>5,116.76</w:t>
            </w:r>
          </w:p>
        </w:tc>
        <w:tc>
          <w:tcPr>
            <w:tcW w:w="567" w:type="dxa"/>
            <w:tcBorders>
              <w:top w:val="single" w:color="auto" w:sz="2" w:space="0"/>
              <w:left w:val="single" w:color="auto" w:sz="2" w:space="0"/>
              <w:bottom w:val="single" w:color="auto" w:sz="2" w:space="0"/>
              <w:right w:val="single" w:color="auto" w:sz="2" w:space="0"/>
            </w:tcBorders>
            <w:vAlign w:val="center"/>
          </w:tcPr>
          <w:p w14:paraId="36E45412">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7079FB8C">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12B425DE">
            <w:pPr>
              <w:spacing w:line="240" w:lineRule="exact"/>
              <w:jc w:val="right"/>
              <w:rPr>
                <w:rFonts w:ascii="宋体" w:hAnsi="宋体" w:eastAsia="宋体" w:cs="宋体"/>
                <w:sz w:val="18"/>
                <w:szCs w:val="18"/>
              </w:rPr>
            </w:pPr>
            <w:r>
              <w:rPr>
                <w:rFonts w:ascii="宋体" w:hAnsi="宋体" w:eastAsia="宋体" w:cs="宋体"/>
                <w:sz w:val="18"/>
                <w:szCs w:val="18"/>
              </w:rPr>
              <w:t>5,116.76</w:t>
            </w:r>
          </w:p>
        </w:tc>
        <w:tc>
          <w:tcPr>
            <w:tcW w:w="1143" w:type="dxa"/>
            <w:tcBorders>
              <w:top w:val="single" w:color="auto" w:sz="2" w:space="0"/>
              <w:left w:val="single" w:color="auto" w:sz="2" w:space="0"/>
              <w:bottom w:val="single" w:color="auto" w:sz="2" w:space="0"/>
              <w:right w:val="single" w:color="auto" w:sz="2" w:space="0"/>
            </w:tcBorders>
            <w:vAlign w:val="center"/>
          </w:tcPr>
          <w:p w14:paraId="241D80CE">
            <w:pPr>
              <w:spacing w:line="240" w:lineRule="exact"/>
              <w:jc w:val="right"/>
              <w:rPr>
                <w:rFonts w:ascii="宋体" w:hAnsi="宋体" w:eastAsia="宋体" w:cs="宋体"/>
                <w:sz w:val="18"/>
                <w:szCs w:val="18"/>
              </w:rPr>
            </w:pPr>
            <w:r>
              <w:rPr>
                <w:rFonts w:ascii="宋体" w:hAnsi="宋体" w:eastAsia="宋体" w:cs="宋体"/>
                <w:sz w:val="18"/>
                <w:szCs w:val="18"/>
              </w:rPr>
              <w:t>5,116.76</w:t>
            </w:r>
          </w:p>
        </w:tc>
        <w:tc>
          <w:tcPr>
            <w:tcW w:w="503" w:type="dxa"/>
            <w:tcBorders>
              <w:top w:val="single" w:color="auto" w:sz="2" w:space="0"/>
              <w:left w:val="single" w:color="auto" w:sz="2" w:space="0"/>
              <w:bottom w:val="single" w:color="auto" w:sz="2" w:space="0"/>
              <w:right w:val="single" w:color="auto" w:sz="2" w:space="0"/>
            </w:tcBorders>
            <w:vAlign w:val="center"/>
          </w:tcPr>
          <w:p w14:paraId="1AE3196F">
            <w:pPr>
              <w:spacing w:line="240" w:lineRule="exact"/>
              <w:rPr>
                <w:rFonts w:ascii="宋体" w:hAnsi="宋体" w:eastAsia="宋体" w:cs="宋体"/>
                <w:sz w:val="18"/>
                <w:szCs w:val="18"/>
              </w:rPr>
            </w:pPr>
            <w:r>
              <w:rPr>
                <w:rFonts w:ascii="宋体" w:hAnsi="宋体" w:eastAsia="宋体" w:cs="宋体"/>
                <w:sz w:val="18"/>
                <w:szCs w:val="18"/>
              </w:rPr>
              <w:t>其他</w:t>
            </w:r>
          </w:p>
        </w:tc>
        <w:tc>
          <w:tcPr>
            <w:tcW w:w="1058" w:type="dxa"/>
            <w:tcBorders>
              <w:top w:val="single" w:color="auto" w:sz="2" w:space="0"/>
              <w:left w:val="single" w:color="auto" w:sz="2" w:space="0"/>
              <w:bottom w:val="single" w:color="auto" w:sz="2" w:space="0"/>
              <w:right w:val="single" w:color="auto" w:sz="2" w:space="0"/>
            </w:tcBorders>
            <w:vAlign w:val="center"/>
          </w:tcPr>
          <w:p w14:paraId="15536C74">
            <w:pPr>
              <w:spacing w:line="240" w:lineRule="exact"/>
              <w:jc w:val="right"/>
              <w:rPr>
                <w:rFonts w:ascii="宋体" w:hAnsi="宋体" w:eastAsia="宋体" w:cs="宋体"/>
                <w:sz w:val="18"/>
                <w:szCs w:val="18"/>
              </w:rPr>
            </w:pPr>
            <w:r>
              <w:rPr>
                <w:rFonts w:ascii="宋体" w:hAnsi="宋体" w:eastAsia="宋体" w:cs="宋体"/>
                <w:sz w:val="18"/>
                <w:szCs w:val="18"/>
              </w:rPr>
              <w:t>5,116.76</w:t>
            </w:r>
          </w:p>
        </w:tc>
        <w:tc>
          <w:tcPr>
            <w:tcW w:w="747" w:type="dxa"/>
            <w:tcBorders>
              <w:top w:val="single" w:color="auto" w:sz="2" w:space="0"/>
              <w:left w:val="single" w:color="auto" w:sz="2" w:space="0"/>
              <w:bottom w:val="single" w:color="auto" w:sz="2" w:space="0"/>
              <w:right w:val="single" w:color="auto" w:sz="2" w:space="0"/>
            </w:tcBorders>
            <w:vAlign w:val="center"/>
          </w:tcPr>
          <w:p w14:paraId="3C74494D">
            <w:pPr>
              <w:spacing w:line="240" w:lineRule="exact"/>
              <w:rPr>
                <w:rFonts w:ascii="宋体" w:hAnsi="宋体" w:eastAsia="宋体" w:cs="宋体"/>
                <w:sz w:val="18"/>
                <w:szCs w:val="18"/>
              </w:rPr>
            </w:pPr>
            <w:r>
              <w:rPr>
                <w:rFonts w:ascii="宋体" w:hAnsi="宋体" w:eastAsia="宋体" w:cs="宋体"/>
                <w:sz w:val="18"/>
                <w:szCs w:val="18"/>
              </w:rPr>
              <w:t>2024年度</w:t>
            </w:r>
          </w:p>
        </w:tc>
      </w:tr>
      <w:tr w14:paraId="164B25B6">
        <w:trPr>
          <w:trHeight w:val="240" w:hRule="atLeast"/>
        </w:trPr>
        <w:tc>
          <w:tcPr>
            <w:tcW w:w="347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7C45E10">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026" w:type="dxa"/>
            <w:tcBorders>
              <w:top w:val="single" w:color="auto" w:sz="2" w:space="0"/>
              <w:left w:val="single" w:color="auto" w:sz="2" w:space="0"/>
              <w:bottom w:val="single" w:color="auto" w:sz="2" w:space="0"/>
              <w:right w:val="single" w:color="auto" w:sz="2" w:space="0"/>
            </w:tcBorders>
            <w:vAlign w:val="center"/>
          </w:tcPr>
          <w:p w14:paraId="23597D2E">
            <w:pPr>
              <w:spacing w:line="240" w:lineRule="exact"/>
              <w:jc w:val="right"/>
              <w:rPr>
                <w:rFonts w:ascii="宋体" w:hAnsi="宋体" w:eastAsia="宋体" w:cs="宋体"/>
                <w:sz w:val="18"/>
                <w:szCs w:val="18"/>
              </w:rPr>
            </w:pPr>
            <w:r>
              <w:rPr>
                <w:rFonts w:ascii="宋体" w:hAnsi="宋体" w:eastAsia="宋体" w:cs="宋体"/>
                <w:sz w:val="18"/>
                <w:szCs w:val="18"/>
              </w:rPr>
              <w:t>33,139.07</w:t>
            </w:r>
          </w:p>
        </w:tc>
        <w:tc>
          <w:tcPr>
            <w:tcW w:w="567" w:type="dxa"/>
            <w:tcBorders>
              <w:top w:val="single" w:color="auto" w:sz="2" w:space="0"/>
              <w:left w:val="single" w:color="auto" w:sz="2" w:space="0"/>
              <w:bottom w:val="single" w:color="auto" w:sz="2" w:space="0"/>
              <w:right w:val="single" w:color="auto" w:sz="2" w:space="0"/>
            </w:tcBorders>
            <w:vAlign w:val="center"/>
          </w:tcPr>
          <w:p w14:paraId="3B2420BB">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545" w:type="dxa"/>
            <w:tcBorders>
              <w:top w:val="single" w:color="auto" w:sz="2" w:space="0"/>
              <w:left w:val="single" w:color="auto" w:sz="2" w:space="0"/>
              <w:bottom w:val="single" w:color="auto" w:sz="2" w:space="0"/>
              <w:right w:val="single" w:color="auto" w:sz="2" w:space="0"/>
            </w:tcBorders>
            <w:vAlign w:val="center"/>
          </w:tcPr>
          <w:p w14:paraId="740889A9">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26" w:type="dxa"/>
            <w:tcBorders>
              <w:top w:val="single" w:color="auto" w:sz="2" w:space="0"/>
              <w:left w:val="single" w:color="auto" w:sz="2" w:space="0"/>
              <w:bottom w:val="single" w:color="auto" w:sz="2" w:space="0"/>
              <w:right w:val="single" w:color="auto" w:sz="2" w:space="0"/>
            </w:tcBorders>
            <w:vAlign w:val="center"/>
          </w:tcPr>
          <w:p w14:paraId="06960F89">
            <w:pPr>
              <w:spacing w:line="240" w:lineRule="exact"/>
              <w:jc w:val="right"/>
              <w:rPr>
                <w:rFonts w:ascii="宋体" w:hAnsi="宋体" w:eastAsia="宋体" w:cs="宋体"/>
                <w:sz w:val="18"/>
                <w:szCs w:val="18"/>
              </w:rPr>
            </w:pPr>
            <w:r>
              <w:rPr>
                <w:rFonts w:ascii="宋体" w:hAnsi="宋体" w:eastAsia="宋体" w:cs="宋体"/>
                <w:sz w:val="18"/>
                <w:szCs w:val="18"/>
              </w:rPr>
              <w:t>33,139.07</w:t>
            </w:r>
          </w:p>
        </w:tc>
        <w:tc>
          <w:tcPr>
            <w:tcW w:w="1143" w:type="dxa"/>
            <w:tcBorders>
              <w:top w:val="single" w:color="auto" w:sz="2" w:space="0"/>
              <w:left w:val="single" w:color="auto" w:sz="2" w:space="0"/>
              <w:bottom w:val="single" w:color="auto" w:sz="2" w:space="0"/>
              <w:right w:val="single" w:color="auto" w:sz="2" w:space="0"/>
            </w:tcBorders>
            <w:vAlign w:val="center"/>
          </w:tcPr>
          <w:p w14:paraId="45DEA70D">
            <w:pPr>
              <w:spacing w:line="240" w:lineRule="exact"/>
              <w:jc w:val="right"/>
              <w:rPr>
                <w:rFonts w:ascii="宋体" w:hAnsi="宋体" w:eastAsia="宋体" w:cs="宋体"/>
                <w:sz w:val="18"/>
                <w:szCs w:val="18"/>
              </w:rPr>
            </w:pPr>
            <w:r>
              <w:rPr>
                <w:rFonts w:ascii="宋体" w:hAnsi="宋体" w:eastAsia="宋体" w:cs="宋体"/>
                <w:sz w:val="18"/>
                <w:szCs w:val="18"/>
              </w:rPr>
              <w:t>33,139.07</w:t>
            </w:r>
          </w:p>
        </w:tc>
        <w:tc>
          <w:tcPr>
            <w:tcW w:w="503" w:type="dxa"/>
            <w:tcBorders>
              <w:top w:val="single" w:color="auto" w:sz="2" w:space="0"/>
              <w:left w:val="single" w:color="auto" w:sz="2" w:space="0"/>
              <w:bottom w:val="single" w:color="auto" w:sz="2" w:space="0"/>
              <w:right w:val="single" w:color="auto" w:sz="2" w:space="0"/>
            </w:tcBorders>
            <w:shd w:val="clear" w:color="auto" w:fill="D3D3D3"/>
            <w:vAlign w:val="center"/>
          </w:tcPr>
          <w:p w14:paraId="09BB84F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058" w:type="dxa"/>
            <w:tcBorders>
              <w:top w:val="single" w:color="auto" w:sz="2" w:space="0"/>
              <w:left w:val="single" w:color="auto" w:sz="2" w:space="0"/>
              <w:bottom w:val="single" w:color="auto" w:sz="2" w:space="0"/>
              <w:right w:val="single" w:color="auto" w:sz="2" w:space="0"/>
            </w:tcBorders>
            <w:vAlign w:val="center"/>
          </w:tcPr>
          <w:p w14:paraId="79E929D5">
            <w:pPr>
              <w:spacing w:line="240" w:lineRule="exact"/>
              <w:jc w:val="right"/>
              <w:rPr>
                <w:rFonts w:ascii="宋体" w:hAnsi="宋体" w:eastAsia="宋体" w:cs="宋体"/>
                <w:sz w:val="18"/>
                <w:szCs w:val="18"/>
              </w:rPr>
            </w:pPr>
            <w:r>
              <w:rPr>
                <w:rFonts w:ascii="宋体" w:hAnsi="宋体" w:eastAsia="宋体" w:cs="宋体"/>
                <w:sz w:val="18"/>
                <w:szCs w:val="18"/>
              </w:rPr>
              <w:t>33,139.07</w:t>
            </w:r>
          </w:p>
        </w:tc>
        <w:tc>
          <w:tcPr>
            <w:tcW w:w="747" w:type="dxa"/>
            <w:tcBorders>
              <w:top w:val="single" w:color="auto" w:sz="2" w:space="0"/>
              <w:left w:val="single" w:color="auto" w:sz="2" w:space="0"/>
              <w:bottom w:val="single" w:color="auto" w:sz="2" w:space="0"/>
              <w:right w:val="single" w:color="auto" w:sz="2" w:space="0"/>
            </w:tcBorders>
            <w:shd w:val="clear" w:color="auto" w:fill="D3D3D3"/>
            <w:vAlign w:val="center"/>
          </w:tcPr>
          <w:p w14:paraId="00F6C75F">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5F524D24">
        <w:trPr>
          <w:trHeight w:val="240" w:hRule="atLeast"/>
        </w:trPr>
        <w:tc>
          <w:tcPr>
            <w:tcW w:w="347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BF2724F">
            <w:pPr>
              <w:spacing w:before="40" w:after="40" w:line="240" w:lineRule="exact"/>
              <w:rPr>
                <w:rFonts w:ascii="宋体" w:hAnsi="宋体" w:eastAsia="宋体" w:cs="宋体"/>
                <w:sz w:val="18"/>
                <w:szCs w:val="18"/>
              </w:rPr>
            </w:pPr>
            <w:r>
              <w:rPr>
                <w:rFonts w:ascii="宋体" w:hAnsi="宋体" w:eastAsia="宋体" w:cs="宋体"/>
                <w:sz w:val="18"/>
                <w:szCs w:val="18"/>
              </w:rPr>
              <w:t>期末合计值占最近一期经审计净资产的比例</w:t>
            </w:r>
          </w:p>
        </w:tc>
        <w:tc>
          <w:tcPr>
            <w:tcW w:w="6615" w:type="dxa"/>
            <w:gridSpan w:val="8"/>
            <w:tcBorders>
              <w:top w:val="single" w:color="auto" w:sz="2" w:space="0"/>
              <w:left w:val="single" w:color="auto" w:sz="2" w:space="0"/>
              <w:bottom w:val="single" w:color="auto" w:sz="2" w:space="0"/>
              <w:right w:val="single" w:color="auto" w:sz="2" w:space="0"/>
            </w:tcBorders>
            <w:vAlign w:val="center"/>
          </w:tcPr>
          <w:p w14:paraId="7F183911">
            <w:pPr>
              <w:spacing w:line="240" w:lineRule="exact"/>
              <w:jc w:val="right"/>
              <w:rPr>
                <w:rFonts w:ascii="宋体" w:hAnsi="宋体" w:eastAsia="宋体" w:cs="宋体"/>
                <w:sz w:val="18"/>
                <w:szCs w:val="18"/>
              </w:rPr>
            </w:pPr>
            <w:r>
              <w:rPr>
                <w:rFonts w:ascii="宋体" w:hAnsi="宋体" w:eastAsia="宋体" w:cs="宋体"/>
                <w:sz w:val="18"/>
                <w:szCs w:val="18"/>
              </w:rPr>
              <w:t>296.91%</w:t>
            </w:r>
          </w:p>
        </w:tc>
      </w:tr>
      <w:tr w14:paraId="6A9C7A7A">
        <w:trPr>
          <w:trHeight w:val="240" w:hRule="atLeast"/>
        </w:trPr>
        <w:tc>
          <w:tcPr>
            <w:tcW w:w="347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366439A">
            <w:pPr>
              <w:spacing w:before="40" w:after="40" w:line="240" w:lineRule="exact"/>
              <w:rPr>
                <w:rFonts w:ascii="宋体" w:hAnsi="宋体" w:eastAsia="宋体" w:cs="宋体"/>
                <w:sz w:val="18"/>
                <w:szCs w:val="18"/>
              </w:rPr>
            </w:pPr>
            <w:r>
              <w:rPr>
                <w:rFonts w:ascii="宋体" w:hAnsi="宋体" w:eastAsia="宋体" w:cs="宋体"/>
                <w:sz w:val="18"/>
                <w:szCs w:val="18"/>
              </w:rPr>
              <w:t>相关决策程序</w:t>
            </w:r>
          </w:p>
        </w:tc>
        <w:tc>
          <w:tcPr>
            <w:tcW w:w="6615" w:type="dxa"/>
            <w:gridSpan w:val="8"/>
            <w:tcBorders>
              <w:top w:val="single" w:color="auto" w:sz="2" w:space="0"/>
              <w:left w:val="single" w:color="auto" w:sz="2" w:space="0"/>
              <w:bottom w:val="single" w:color="auto" w:sz="2" w:space="0"/>
              <w:right w:val="single" w:color="auto" w:sz="2" w:space="0"/>
            </w:tcBorders>
            <w:vAlign w:val="center"/>
          </w:tcPr>
          <w:p w14:paraId="353C6FDE">
            <w:pPr>
              <w:spacing w:line="240" w:lineRule="exact"/>
              <w:rPr>
                <w:rFonts w:ascii="宋体" w:hAnsi="宋体" w:eastAsia="宋体" w:cs="宋体"/>
                <w:sz w:val="18"/>
                <w:szCs w:val="18"/>
              </w:rPr>
            </w:pPr>
            <w:r>
              <w:rPr>
                <w:rFonts w:ascii="宋体" w:hAnsi="宋体" w:eastAsia="宋体" w:cs="宋体"/>
                <w:sz w:val="18"/>
                <w:szCs w:val="18"/>
              </w:rPr>
              <w:t>无</w:t>
            </w:r>
          </w:p>
        </w:tc>
      </w:tr>
      <w:tr w14:paraId="15B1B360">
        <w:trPr>
          <w:trHeight w:val="240" w:hRule="atLeast"/>
        </w:trPr>
        <w:tc>
          <w:tcPr>
            <w:tcW w:w="347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0138A91">
            <w:pPr>
              <w:spacing w:before="40" w:after="40" w:line="240" w:lineRule="exact"/>
              <w:rPr>
                <w:rFonts w:ascii="宋体" w:hAnsi="宋体" w:eastAsia="宋体" w:cs="宋体"/>
                <w:sz w:val="18"/>
                <w:szCs w:val="18"/>
              </w:rPr>
            </w:pPr>
            <w:r>
              <w:rPr>
                <w:rFonts w:ascii="宋体" w:hAnsi="宋体" w:eastAsia="宋体" w:cs="宋体"/>
                <w:sz w:val="18"/>
                <w:szCs w:val="18"/>
              </w:rPr>
              <w:t>当期新增控股股东及其他关联方非经营性资金占用情况的原因、责任人追究及董事会拟定采取措施的情况说明</w:t>
            </w:r>
          </w:p>
        </w:tc>
        <w:tc>
          <w:tcPr>
            <w:tcW w:w="6615" w:type="dxa"/>
            <w:gridSpan w:val="8"/>
            <w:tcBorders>
              <w:top w:val="single" w:color="auto" w:sz="2" w:space="0"/>
              <w:left w:val="single" w:color="auto" w:sz="2" w:space="0"/>
              <w:bottom w:val="single" w:color="auto" w:sz="2" w:space="0"/>
              <w:right w:val="single" w:color="auto" w:sz="2" w:space="0"/>
            </w:tcBorders>
            <w:vAlign w:val="center"/>
          </w:tcPr>
          <w:p w14:paraId="58B793E6">
            <w:pPr>
              <w:spacing w:line="240" w:lineRule="exact"/>
              <w:rPr>
                <w:rFonts w:ascii="宋体" w:hAnsi="宋体" w:eastAsia="宋体" w:cs="宋体"/>
                <w:sz w:val="18"/>
                <w:szCs w:val="18"/>
              </w:rPr>
            </w:pPr>
            <w:r>
              <w:rPr>
                <w:rFonts w:ascii="宋体" w:hAnsi="宋体" w:eastAsia="宋体" w:cs="宋体"/>
                <w:sz w:val="18"/>
                <w:szCs w:val="18"/>
              </w:rPr>
              <w:t>不适用</w:t>
            </w:r>
          </w:p>
        </w:tc>
      </w:tr>
      <w:tr w14:paraId="74FABFFC">
        <w:trPr>
          <w:trHeight w:val="240" w:hRule="atLeast"/>
        </w:trPr>
        <w:tc>
          <w:tcPr>
            <w:tcW w:w="347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D3B3507">
            <w:pPr>
              <w:spacing w:before="40" w:after="40" w:line="240" w:lineRule="exact"/>
              <w:rPr>
                <w:rFonts w:ascii="宋体" w:hAnsi="宋体" w:eastAsia="宋体" w:cs="宋体"/>
                <w:sz w:val="18"/>
                <w:szCs w:val="18"/>
              </w:rPr>
            </w:pPr>
            <w:r>
              <w:rPr>
                <w:rFonts w:ascii="宋体" w:hAnsi="宋体" w:eastAsia="宋体" w:cs="宋体"/>
                <w:sz w:val="18"/>
                <w:szCs w:val="18"/>
              </w:rPr>
              <w:t>未能按计划清偿非经营性资金占用的原因、责任追究情况及董事会拟定采取的措施说明</w:t>
            </w:r>
          </w:p>
        </w:tc>
        <w:tc>
          <w:tcPr>
            <w:tcW w:w="6615" w:type="dxa"/>
            <w:gridSpan w:val="8"/>
            <w:tcBorders>
              <w:top w:val="single" w:color="auto" w:sz="2" w:space="0"/>
              <w:left w:val="single" w:color="auto" w:sz="2" w:space="0"/>
              <w:bottom w:val="single" w:color="auto" w:sz="2" w:space="0"/>
              <w:right w:val="single" w:color="auto" w:sz="2" w:space="0"/>
            </w:tcBorders>
            <w:vAlign w:val="center"/>
          </w:tcPr>
          <w:p w14:paraId="436E2E80">
            <w:pPr>
              <w:spacing w:line="240" w:lineRule="exact"/>
              <w:rPr>
                <w:rFonts w:ascii="宋体" w:hAnsi="宋体" w:eastAsia="宋体" w:cs="宋体"/>
                <w:sz w:val="18"/>
                <w:szCs w:val="18"/>
              </w:rPr>
            </w:pPr>
            <w:r>
              <w:rPr>
                <w:rFonts w:ascii="宋体" w:hAnsi="宋体" w:eastAsia="宋体" w:cs="宋体"/>
                <w:sz w:val="18"/>
                <w:szCs w:val="18"/>
              </w:rPr>
              <w:t>无</w:t>
            </w:r>
          </w:p>
        </w:tc>
      </w:tr>
    </w:tbl>
    <w:p w14:paraId="52A41E6E">
      <w:pPr>
        <w:pStyle w:val="2"/>
        <w:spacing w:before="300" w:after="300" w:line="320" w:lineRule="exact"/>
        <w:rPr>
          <w:rFonts w:ascii="宋体" w:hAnsi="宋体" w:eastAsia="宋体" w:cs="宋体"/>
          <w:b/>
          <w:bCs/>
          <w:sz w:val="24"/>
          <w:szCs w:val="24"/>
        </w:rPr>
      </w:pPr>
      <w:bookmarkStart w:id="51" w:name="_Toc988940"/>
      <w:r>
        <w:rPr>
          <w:rFonts w:ascii="宋体" w:hAnsi="宋体" w:eastAsia="宋体" w:cs="宋体"/>
          <w:b/>
          <w:bCs/>
          <w:sz w:val="24"/>
          <w:szCs w:val="24"/>
        </w:rPr>
        <w:t>三、违规对外担保情况</w:t>
      </w:r>
      <w:bookmarkEnd w:id="51"/>
    </w:p>
    <w:p w14:paraId="7D3053C6">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20ACFC3">
      <w:pPr>
        <w:spacing w:before="100" w:after="100" w:line="240" w:lineRule="exact"/>
        <w:rPr>
          <w:rFonts w:ascii="宋体" w:hAnsi="宋体" w:eastAsia="宋体" w:cs="宋体"/>
          <w:sz w:val="18"/>
          <w:szCs w:val="18"/>
        </w:rPr>
      </w:pPr>
      <w:r>
        <w:rPr>
          <w:rFonts w:ascii="宋体" w:hAnsi="宋体" w:eastAsia="宋体" w:cs="宋体"/>
          <w:sz w:val="18"/>
          <w:szCs w:val="18"/>
        </w:rPr>
        <w:t>公司报告期无违规对外担保情况。</w:t>
      </w:r>
    </w:p>
    <w:p w14:paraId="33D136FE">
      <w:pPr>
        <w:pStyle w:val="2"/>
        <w:spacing w:before="300" w:after="300" w:line="320" w:lineRule="exact"/>
        <w:rPr>
          <w:rFonts w:ascii="宋体" w:hAnsi="宋体" w:eastAsia="宋体" w:cs="宋体"/>
          <w:b/>
          <w:bCs/>
          <w:sz w:val="24"/>
          <w:szCs w:val="24"/>
        </w:rPr>
      </w:pPr>
      <w:bookmarkStart w:id="52" w:name="_Toc988941"/>
      <w:r>
        <w:rPr>
          <w:rFonts w:ascii="宋体" w:hAnsi="宋体" w:eastAsia="宋体" w:cs="宋体"/>
          <w:b/>
          <w:bCs/>
          <w:sz w:val="24"/>
          <w:szCs w:val="24"/>
        </w:rPr>
        <w:t>四、聘任、解聘会计师事务所情况</w:t>
      </w:r>
      <w:bookmarkEnd w:id="52"/>
    </w:p>
    <w:p w14:paraId="7C378F3A">
      <w:pPr>
        <w:spacing w:before="100" w:after="100" w:line="240" w:lineRule="exact"/>
        <w:rPr>
          <w:rFonts w:ascii="宋体" w:hAnsi="宋体" w:eastAsia="宋体" w:cs="宋体"/>
          <w:sz w:val="18"/>
          <w:szCs w:val="18"/>
        </w:rPr>
      </w:pPr>
      <w:r>
        <w:rPr>
          <w:rFonts w:ascii="宋体" w:hAnsi="宋体" w:eastAsia="宋体" w:cs="宋体"/>
          <w:sz w:val="18"/>
          <w:szCs w:val="18"/>
        </w:rPr>
        <w:t>半年度财务报告是否已经审计</w:t>
      </w:r>
    </w:p>
    <w:p w14:paraId="7A7EA5EB">
      <w:pPr>
        <w:spacing w:before="100"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67B02054">
      <w:pPr>
        <w:spacing w:before="100" w:after="100" w:line="240" w:lineRule="exact"/>
        <w:rPr>
          <w:rFonts w:ascii="宋体" w:hAnsi="宋体" w:eastAsia="宋体" w:cs="宋体"/>
          <w:sz w:val="18"/>
          <w:szCs w:val="18"/>
        </w:rPr>
      </w:pPr>
      <w:r>
        <w:rPr>
          <w:rFonts w:ascii="宋体" w:hAnsi="宋体" w:eastAsia="宋体" w:cs="宋体"/>
          <w:sz w:val="18"/>
          <w:szCs w:val="18"/>
        </w:rPr>
        <w:t>公司半年度报告未经审计。</w:t>
      </w:r>
    </w:p>
    <w:p w14:paraId="6AD52F5F">
      <w:pPr>
        <w:pStyle w:val="2"/>
        <w:spacing w:before="300" w:after="300" w:line="320" w:lineRule="exact"/>
        <w:rPr>
          <w:rFonts w:ascii="宋体" w:hAnsi="宋体" w:eastAsia="宋体" w:cs="宋体"/>
          <w:b/>
          <w:bCs/>
          <w:sz w:val="24"/>
          <w:szCs w:val="24"/>
        </w:rPr>
      </w:pPr>
      <w:bookmarkStart w:id="53" w:name="_Toc988942"/>
      <w:r>
        <w:rPr>
          <w:rFonts w:ascii="宋体" w:hAnsi="宋体" w:eastAsia="宋体" w:cs="宋体"/>
          <w:b/>
          <w:bCs/>
          <w:sz w:val="24"/>
          <w:szCs w:val="24"/>
        </w:rPr>
        <w:t>五、董事会、监事会对会计师事务所本报告期“非标准审计报告”的说明</w:t>
      </w:r>
      <w:bookmarkEnd w:id="53"/>
    </w:p>
    <w:p w14:paraId="0F874F31">
      <w:pPr>
        <w:spacing w:before="100" w:after="100" w:line="240" w:lineRule="exac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 xml:space="preserve">适用 </w:t>
      </w:r>
      <w:r>
        <w:rPr>
          <w:rFonts w:ascii="宋体" w:hAnsi="宋体" w:eastAsia="宋体" w:cs="宋体"/>
          <w:sz w:val="18"/>
          <w:szCs w:val="18"/>
        </w:rPr>
        <w:sym w:font="Wingdings 2" w:char="00A3"/>
      </w:r>
      <w:r>
        <w:rPr>
          <w:rFonts w:ascii="宋体" w:hAnsi="宋体" w:eastAsia="宋体" w:cs="宋体"/>
          <w:sz w:val="18"/>
          <w:szCs w:val="18"/>
        </w:rPr>
        <w:t>不适用</w:t>
      </w:r>
    </w:p>
    <w:p w14:paraId="54F5D20E">
      <w:pPr>
        <w:pStyle w:val="2"/>
        <w:spacing w:before="300" w:after="300" w:line="320" w:lineRule="exact"/>
        <w:rPr>
          <w:rFonts w:ascii="宋体" w:hAnsi="宋体" w:eastAsia="宋体" w:cs="宋体"/>
          <w:b/>
          <w:bCs/>
          <w:sz w:val="24"/>
          <w:szCs w:val="24"/>
        </w:rPr>
      </w:pPr>
      <w:bookmarkStart w:id="54" w:name="_Toc988943"/>
      <w:r>
        <w:rPr>
          <w:rFonts w:ascii="宋体" w:hAnsi="宋体" w:eastAsia="宋体" w:cs="宋体"/>
          <w:b/>
          <w:bCs/>
          <w:sz w:val="24"/>
          <w:szCs w:val="24"/>
        </w:rPr>
        <w:t>六、董事会对上年度“非标准审计报告”相关情况的说明</w:t>
      </w:r>
      <w:bookmarkEnd w:id="54"/>
    </w:p>
    <w:p w14:paraId="75885952">
      <w:pPr>
        <w:spacing w:before="100" w:after="100" w:line="240" w:lineRule="exact"/>
        <w:rPr>
          <w:rFonts w:ascii="宋体" w:hAnsi="宋体" w:eastAsia="宋体" w:cs="宋体"/>
          <w:sz w:val="18"/>
          <w:szCs w:val="18"/>
        </w:rPr>
      </w:pPr>
      <w:r>
        <w:rPr>
          <w:rFonts w:hint="eastAsia" w:ascii="宋体" w:hAnsi="宋体" w:eastAsia="宋体" w:cs="宋体"/>
          <w:sz w:val="18"/>
          <w:szCs w:val="18"/>
          <w:lang w:eastAsia="zh-CN"/>
        </w:rPr>
        <w:t>☑</w:t>
      </w:r>
      <w:r>
        <w:rPr>
          <w:rFonts w:ascii="宋体" w:hAnsi="宋体" w:eastAsia="宋体" w:cs="宋体"/>
          <w:sz w:val="18"/>
          <w:szCs w:val="18"/>
        </w:rPr>
        <w:t xml:space="preserve">适用 </w:t>
      </w:r>
      <w:r>
        <w:rPr>
          <w:rFonts w:ascii="宋体" w:hAnsi="宋体" w:eastAsia="宋体" w:cs="宋体"/>
          <w:sz w:val="18"/>
          <w:szCs w:val="18"/>
        </w:rPr>
        <w:sym w:font="Wingdings 2" w:char="00A3"/>
      </w:r>
      <w:r>
        <w:rPr>
          <w:rFonts w:ascii="宋体" w:hAnsi="宋体" w:eastAsia="宋体" w:cs="宋体"/>
          <w:sz w:val="18"/>
          <w:szCs w:val="18"/>
        </w:rPr>
        <w:t>不适用</w:t>
      </w:r>
    </w:p>
    <w:p w14:paraId="35A0C44E">
      <w:pPr>
        <w:numPr>
          <w:ilvl w:val="0"/>
          <w:numId w:val="3"/>
        </w:numPr>
        <w:spacing w:before="0" w:after="0" w:line="240" w:lineRule="auto"/>
        <w:rPr>
          <w:rFonts w:ascii="宋体" w:hAnsi="宋体" w:eastAsia="宋体" w:cs="宋体"/>
          <w:color w:val="000000"/>
          <w:sz w:val="18"/>
          <w:szCs w:val="18"/>
        </w:rPr>
      </w:pPr>
      <w:r>
        <w:rPr>
          <w:rFonts w:hint="eastAsia" w:ascii="宋体" w:hAnsi="宋体" w:eastAsia="宋体" w:cs="宋体"/>
          <w:color w:val="000000"/>
          <w:sz w:val="18"/>
          <w:szCs w:val="18"/>
        </w:rPr>
        <w:t>董事会对审计报告涉及事项的意见</w:t>
      </w:r>
    </w:p>
    <w:p w14:paraId="1F68C454">
      <w:pPr>
        <w:numPr>
          <w:ilvl w:val="255"/>
          <w:numId w:val="0"/>
        </w:numPr>
        <w:ind w:firstLine="360" w:firstLineChars="200"/>
        <w:rPr>
          <w:rFonts w:ascii="宋体" w:hAnsi="宋体" w:eastAsia="宋体" w:cs="宋体"/>
          <w:color w:val="000000"/>
          <w:sz w:val="18"/>
          <w:szCs w:val="18"/>
        </w:rPr>
      </w:pPr>
      <w:r>
        <w:rPr>
          <w:rFonts w:hint="eastAsia" w:ascii="宋体" w:hAnsi="宋体" w:eastAsia="宋体" w:cs="宋体"/>
          <w:color w:val="000000"/>
          <w:sz w:val="18"/>
          <w:szCs w:val="18"/>
        </w:rPr>
        <w:t>公司董事会认为，会计师事务所对公司2023年度财务报告出具了带持续经营重大不确定性及强调事项段的无保留意见的审计报告，客观、真实地反映了公司实际的财务状况。公司尊重会计师事务所独立判断，并高度重视上述意见涉及事项对公司产生的不利影响，公司董事会将推动相关方积极采取有效措施，尽快解决上述问题。</w:t>
      </w:r>
    </w:p>
    <w:p w14:paraId="4AC7AE10">
      <w:pPr>
        <w:numPr>
          <w:ilvl w:val="0"/>
          <w:numId w:val="3"/>
        </w:numPr>
        <w:rPr>
          <w:rFonts w:ascii="宋体" w:hAnsi="宋体" w:eastAsia="宋体" w:cs="宋体"/>
          <w:sz w:val="18"/>
          <w:szCs w:val="18"/>
        </w:rPr>
      </w:pPr>
      <w:r>
        <w:rPr>
          <w:rFonts w:hint="eastAsia" w:ascii="宋体" w:hAnsi="宋体" w:eastAsia="宋体" w:cs="宋体"/>
          <w:color w:val="000000"/>
          <w:sz w:val="18"/>
          <w:szCs w:val="18"/>
        </w:rPr>
        <w:t>关于消除该事项及其影响的措施、可能性</w:t>
      </w:r>
    </w:p>
    <w:p w14:paraId="60976BCD">
      <w:pPr>
        <w:numPr>
          <w:ilvl w:val="255"/>
          <w:numId w:val="0"/>
        </w:numPr>
        <w:ind w:firstLine="360" w:firstLineChars="200"/>
        <w:rPr>
          <w:rFonts w:ascii="宋体" w:hAnsi="宋体" w:eastAsia="宋体" w:cs="宋体"/>
          <w:color w:val="000000"/>
          <w:sz w:val="18"/>
          <w:szCs w:val="18"/>
        </w:rPr>
      </w:pPr>
      <w:r>
        <w:rPr>
          <w:rFonts w:hint="eastAsia" w:ascii="宋体" w:hAnsi="宋体" w:eastAsia="宋体" w:cs="宋体"/>
          <w:color w:val="000000"/>
          <w:sz w:val="18"/>
          <w:szCs w:val="18"/>
        </w:rPr>
        <w:t>董事会认为，上述审计意见客观、真实地反映了公司的实际情况，揭示了公司面临的风险，及可能对本公司可能造成的不利影响，公司已积极采取相关措施解决上述问题，2023年7月，公司已经通过司法程序进入预重整阶段，公司将继续采取有效措施以推动尽快清除此类事项对公司的影响，改善公司持续经营能力，维护公司和投资者的合法权益。公司将采取以下措施消除该事项及其影响：</w:t>
      </w:r>
    </w:p>
    <w:p w14:paraId="73BA96B6">
      <w:pPr>
        <w:numPr>
          <w:ilvl w:val="0"/>
          <w:numId w:val="4"/>
        </w:numPr>
        <w:ind w:firstLine="360" w:firstLineChars="200"/>
        <w:rPr>
          <w:rFonts w:ascii="宋体" w:hAnsi="宋体" w:eastAsia="宋体" w:cs="宋体"/>
          <w:sz w:val="18"/>
          <w:szCs w:val="18"/>
        </w:rPr>
      </w:pPr>
      <w:r>
        <w:rPr>
          <w:rFonts w:hint="eastAsia" w:ascii="宋体" w:hAnsi="宋体" w:eastAsia="宋体" w:cs="宋体"/>
          <w:color w:val="000000"/>
          <w:sz w:val="18"/>
          <w:szCs w:val="18"/>
        </w:rPr>
        <w:t>在历史债务部分解决的基础上，将加大解决力度，采取多种措施，以消除债务问题对公司的持续经营能力的不利影响。</w:t>
      </w:r>
    </w:p>
    <w:p w14:paraId="02898886">
      <w:pPr>
        <w:numPr>
          <w:ilvl w:val="0"/>
          <w:numId w:val="4"/>
        </w:numPr>
        <w:ind w:firstLine="360" w:firstLineChars="200"/>
        <w:rPr>
          <w:rFonts w:ascii="宋体" w:hAnsi="宋体" w:eastAsia="宋体" w:cs="宋体"/>
          <w:sz w:val="18"/>
          <w:szCs w:val="18"/>
        </w:rPr>
      </w:pPr>
      <w:r>
        <w:rPr>
          <w:rFonts w:hint="eastAsia" w:ascii="宋体" w:hAnsi="宋体" w:eastAsia="宋体" w:cs="宋体"/>
          <w:color w:val="000000"/>
          <w:sz w:val="18"/>
          <w:szCs w:val="18"/>
        </w:rPr>
        <w:t>夯实管理基础，降本增效，围绕核心主业进一步优化资源配置，提升核心生产力，促进公司啤酒业务的提升和主业利润，进一步改善公司财务状况努力改善公司经营业绩。</w:t>
      </w:r>
    </w:p>
    <w:p w14:paraId="005D3105">
      <w:pPr>
        <w:numPr>
          <w:ilvl w:val="0"/>
          <w:numId w:val="4"/>
        </w:numPr>
        <w:ind w:firstLine="360" w:firstLineChars="200"/>
        <w:rPr>
          <w:rFonts w:ascii="宋体" w:hAnsi="宋体" w:eastAsia="宋体" w:cs="宋体"/>
          <w:sz w:val="18"/>
          <w:szCs w:val="18"/>
        </w:rPr>
      </w:pPr>
      <w:r>
        <w:rPr>
          <w:rFonts w:hint="eastAsia" w:ascii="宋体" w:hAnsi="宋体" w:eastAsia="宋体" w:cs="宋体"/>
          <w:color w:val="000000"/>
          <w:sz w:val="18"/>
          <w:szCs w:val="18"/>
        </w:rPr>
        <w:t>目前公司处于预重整阶段，公司将积极推进破产重整工作，全面配合法院及临时管理人开展预重整相关工作，通过重整彻底解决公司历史债务问题，改善公司的资产负债结构，提高公司净资产和实收资本水平，推动公司回归可持续发展轨道。</w:t>
      </w:r>
    </w:p>
    <w:p w14:paraId="4C800CDA">
      <w:pPr>
        <w:numPr>
          <w:ilvl w:val="0"/>
          <w:numId w:val="3"/>
        </w:numPr>
        <w:ind w:firstLine="0" w:firstLineChars="0"/>
        <w:rPr>
          <w:rFonts w:ascii="宋体" w:hAnsi="宋体" w:eastAsia="宋体" w:cs="宋体"/>
          <w:sz w:val="18"/>
          <w:szCs w:val="18"/>
        </w:rPr>
      </w:pPr>
      <w:r>
        <w:rPr>
          <w:rFonts w:hint="eastAsia" w:ascii="宋体" w:hAnsi="宋体" w:eastAsia="宋体" w:cs="宋体"/>
          <w:color w:val="000000"/>
          <w:sz w:val="18"/>
          <w:szCs w:val="18"/>
        </w:rPr>
        <w:t>独立董事意见</w:t>
      </w:r>
    </w:p>
    <w:p w14:paraId="1E34D208">
      <w:pPr>
        <w:numPr>
          <w:ilvl w:val="255"/>
          <w:numId w:val="0"/>
        </w:numPr>
        <w:ind w:firstLine="360" w:firstLineChars="200"/>
        <w:rPr>
          <w:rFonts w:ascii="宋体" w:hAnsi="宋体" w:eastAsia="宋体" w:cs="宋体"/>
          <w:color w:val="000000"/>
          <w:sz w:val="18"/>
          <w:szCs w:val="18"/>
        </w:rPr>
      </w:pPr>
      <w:r>
        <w:rPr>
          <w:rFonts w:hint="eastAsia" w:ascii="宋体" w:hAnsi="宋体" w:eastAsia="宋体" w:cs="宋体"/>
          <w:color w:val="000000"/>
          <w:sz w:val="18"/>
          <w:szCs w:val="18"/>
        </w:rPr>
        <w:t>公司独立董事对会计师事务所出具的审计报告进行了认真核查，尊重并同意会计师事务所出具的审计意见，同时提请公司董事会和管理层积极地采取有效措施，努力降低和消除所涉事项对公司带来的不利影响，努力改善公司财务状况，降低经营风险，我们将持续关注、监督公司解决落实情况，督促推动消除相关事项影响，切实维护公司及全体股东权益特别是中小股东的合法权益。</w:t>
      </w:r>
    </w:p>
    <w:p w14:paraId="022E7BB9">
      <w:pPr>
        <w:numPr>
          <w:ilvl w:val="0"/>
          <w:numId w:val="3"/>
        </w:numPr>
        <w:ind w:firstLine="0" w:firstLineChars="0"/>
        <w:rPr>
          <w:rFonts w:ascii="宋体" w:hAnsi="宋体" w:eastAsia="宋体" w:cs="宋体"/>
          <w:sz w:val="18"/>
          <w:szCs w:val="18"/>
        </w:rPr>
      </w:pPr>
      <w:r>
        <w:rPr>
          <w:rFonts w:hint="eastAsia" w:ascii="宋体" w:hAnsi="宋体" w:eastAsia="宋体" w:cs="宋体"/>
          <w:color w:val="000000"/>
          <w:sz w:val="18"/>
          <w:szCs w:val="18"/>
        </w:rPr>
        <w:t>监事会意见</w:t>
      </w:r>
    </w:p>
    <w:p w14:paraId="432D4141">
      <w:pPr>
        <w:numPr>
          <w:ilvl w:val="255"/>
          <w:numId w:val="0"/>
        </w:numPr>
        <w:ind w:firstLine="360" w:firstLineChars="200"/>
        <w:rPr>
          <w:rFonts w:ascii="宋体" w:hAnsi="宋体" w:eastAsia="宋体" w:cs="宋体"/>
          <w:sz w:val="18"/>
          <w:szCs w:val="18"/>
        </w:rPr>
      </w:pPr>
      <w:r>
        <w:rPr>
          <w:rFonts w:hint="eastAsia" w:ascii="宋体" w:hAnsi="宋体" w:eastAsia="宋体" w:cs="宋体"/>
          <w:color w:val="000000"/>
          <w:sz w:val="18"/>
          <w:szCs w:val="18"/>
        </w:rPr>
        <w:t>公司监事会审阅了会计师事务所出具的审计报告及董事会对该事项出具的专项说明，同意董事会对该事项的意见。希望公司董事会及管理层继续积极采取有效措施以推动尽快清除此类事项对公司的影响，改善公司持续经营能力，推动公司回归可持续发展轨道，维护公司和投资者的合法权益。公司监事会将认真履行职责，对董事会及管理层的具体措施落实情况进行监督，切实维护公司和投资者的利益。</w:t>
      </w:r>
    </w:p>
    <w:p w14:paraId="0AD790C2">
      <w:pPr>
        <w:pStyle w:val="2"/>
        <w:spacing w:before="300" w:after="300" w:line="320" w:lineRule="exact"/>
        <w:rPr>
          <w:rFonts w:ascii="宋体" w:hAnsi="宋体" w:eastAsia="宋体" w:cs="宋体"/>
          <w:b/>
          <w:bCs/>
          <w:sz w:val="24"/>
          <w:szCs w:val="24"/>
        </w:rPr>
      </w:pPr>
      <w:bookmarkStart w:id="55" w:name="_Toc988944"/>
      <w:r>
        <w:rPr>
          <w:rFonts w:ascii="宋体" w:hAnsi="宋体" w:eastAsia="宋体" w:cs="宋体"/>
          <w:b/>
          <w:bCs/>
          <w:sz w:val="24"/>
          <w:szCs w:val="24"/>
        </w:rPr>
        <w:t>七、破产重整相关事项</w:t>
      </w:r>
      <w:bookmarkEnd w:id="55"/>
    </w:p>
    <w:p w14:paraId="0AD92098">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46C430F3">
      <w:pPr>
        <w:pStyle w:val="9"/>
        <w:ind w:firstLine="360" w:firstLineChars="200"/>
        <w:rPr>
          <w:sz w:val="18"/>
          <w:szCs w:val="18"/>
        </w:rPr>
      </w:pPr>
      <w:r>
        <w:rPr>
          <w:rFonts w:hint="eastAsia"/>
          <w:sz w:val="18"/>
          <w:szCs w:val="18"/>
        </w:rPr>
        <w:t>公司于2023年7月21日披露了《关于债权人向法院申请公司预重整及重整的提示性公告》，债权人达州百益以上市公司不能清偿到期债务，为维护其合法利益为由，向拉萨中院提交了对公司的预重整及重整申请。2023年7月25日，公司收到拉萨中院送达的《决定书》，拉萨中院决定对公司进行预重整，并指定上海市锦天城律师事务所担任公司预重整临时管理人。预重整为拉萨中院正式受理重整前的程序，不代表拉萨中院正式受理申请人对公司提出的重整申请，公司是否能进入重整程序尚存在不确定性。如果公司顺利实施重整并执行完毕重整计划，将有利于优化公司资产负债结构，减轻公司债务压力，提升公司的持续经营及盈利能力。预重整期间，公司日常经营管理工作正常开展，为提高重整效率，公司将积极主动配合法院及临时管理人开展预重整相关工作，履行债务人义务，在平等保护各方合法权益的前提下，积极与各方共同论证解决公司债务问题和未来经营发展问题的方案，全力推动公司重整工作进展。</w:t>
      </w:r>
    </w:p>
    <w:p w14:paraId="6F96A9EC">
      <w:pPr>
        <w:pStyle w:val="2"/>
        <w:spacing w:before="300" w:after="300" w:line="320" w:lineRule="exact"/>
        <w:rPr>
          <w:rFonts w:ascii="宋体" w:hAnsi="宋体" w:eastAsia="宋体" w:cs="宋体"/>
          <w:b/>
          <w:bCs/>
          <w:sz w:val="24"/>
          <w:szCs w:val="24"/>
        </w:rPr>
      </w:pPr>
      <w:bookmarkStart w:id="56" w:name="_Toc988945"/>
      <w:r>
        <w:rPr>
          <w:rFonts w:ascii="宋体" w:hAnsi="宋体" w:eastAsia="宋体" w:cs="宋体"/>
          <w:b/>
          <w:bCs/>
          <w:sz w:val="24"/>
          <w:szCs w:val="24"/>
        </w:rPr>
        <w:t>八、诉讼事项</w:t>
      </w:r>
      <w:bookmarkEnd w:id="56"/>
    </w:p>
    <w:p w14:paraId="0201C62A">
      <w:pPr>
        <w:spacing w:before="100" w:after="100" w:line="240" w:lineRule="exact"/>
        <w:rPr>
          <w:rFonts w:ascii="宋体" w:hAnsi="宋体" w:eastAsia="宋体" w:cs="宋体"/>
          <w:sz w:val="18"/>
          <w:szCs w:val="18"/>
        </w:rPr>
      </w:pPr>
      <w:r>
        <w:rPr>
          <w:rFonts w:ascii="宋体" w:hAnsi="宋体" w:eastAsia="宋体" w:cs="宋体"/>
          <w:sz w:val="18"/>
          <w:szCs w:val="18"/>
        </w:rPr>
        <w:t>重大诉讼仲裁事项</w:t>
      </w:r>
    </w:p>
    <w:p w14:paraId="191BDD73">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11"/>
        <w:tblW w:w="10376"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70"/>
        <w:gridCol w:w="987"/>
        <w:gridCol w:w="600"/>
        <w:gridCol w:w="1660"/>
        <w:gridCol w:w="1565"/>
        <w:gridCol w:w="1018"/>
        <w:gridCol w:w="589"/>
        <w:gridCol w:w="1987"/>
      </w:tblGrid>
      <w:tr w14:paraId="184E897E">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shd w:val="clear" w:color="auto" w:fill="D3D3D3"/>
            <w:vAlign w:val="center"/>
          </w:tcPr>
          <w:p w14:paraId="5D0B545A">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诉讼(仲裁)基本情况</w:t>
            </w:r>
          </w:p>
        </w:tc>
        <w:tc>
          <w:tcPr>
            <w:tcW w:w="987" w:type="dxa"/>
            <w:tcBorders>
              <w:top w:val="single" w:color="auto" w:sz="2" w:space="0"/>
              <w:left w:val="single" w:color="auto" w:sz="2" w:space="0"/>
              <w:bottom w:val="single" w:color="auto" w:sz="2" w:space="0"/>
              <w:right w:val="single" w:color="auto" w:sz="2" w:space="0"/>
            </w:tcBorders>
            <w:shd w:val="clear" w:color="auto" w:fill="D3D3D3"/>
            <w:vAlign w:val="center"/>
          </w:tcPr>
          <w:p w14:paraId="16AFEDCB">
            <w:pPr>
              <w:spacing w:before="40" w:after="40" w:line="240" w:lineRule="exact"/>
              <w:jc w:val="center"/>
              <w:rPr>
                <w:rFonts w:ascii="宋体" w:hAnsi="宋体" w:eastAsia="宋体" w:cs="宋体"/>
                <w:sz w:val="18"/>
                <w:szCs w:val="18"/>
              </w:rPr>
            </w:pPr>
            <w:r>
              <w:rPr>
                <w:rFonts w:ascii="宋体" w:hAnsi="宋体" w:eastAsia="宋体" w:cs="宋体"/>
                <w:sz w:val="18"/>
                <w:szCs w:val="18"/>
              </w:rPr>
              <w:t>涉案金额（万元）</w:t>
            </w:r>
          </w:p>
        </w:tc>
        <w:tc>
          <w:tcPr>
            <w:tcW w:w="600" w:type="dxa"/>
            <w:tcBorders>
              <w:top w:val="single" w:color="auto" w:sz="2" w:space="0"/>
              <w:left w:val="single" w:color="auto" w:sz="2" w:space="0"/>
              <w:bottom w:val="single" w:color="auto" w:sz="2" w:space="0"/>
              <w:right w:val="single" w:color="auto" w:sz="2" w:space="0"/>
            </w:tcBorders>
            <w:shd w:val="clear" w:color="auto" w:fill="D3D3D3"/>
            <w:vAlign w:val="center"/>
          </w:tcPr>
          <w:p w14:paraId="76424A34">
            <w:pPr>
              <w:spacing w:before="40" w:after="40" w:line="240" w:lineRule="exact"/>
              <w:jc w:val="center"/>
              <w:rPr>
                <w:rFonts w:ascii="宋体" w:hAnsi="宋体" w:eastAsia="宋体" w:cs="宋体"/>
                <w:sz w:val="18"/>
                <w:szCs w:val="18"/>
              </w:rPr>
            </w:pPr>
            <w:r>
              <w:rPr>
                <w:rFonts w:ascii="宋体" w:hAnsi="宋体" w:eastAsia="宋体" w:cs="宋体"/>
                <w:sz w:val="18"/>
                <w:szCs w:val="18"/>
              </w:rPr>
              <w:t>是否形成预计负债</w:t>
            </w:r>
          </w:p>
        </w:tc>
        <w:tc>
          <w:tcPr>
            <w:tcW w:w="1660" w:type="dxa"/>
            <w:tcBorders>
              <w:top w:val="single" w:color="auto" w:sz="2" w:space="0"/>
              <w:left w:val="single" w:color="auto" w:sz="2" w:space="0"/>
              <w:bottom w:val="single" w:color="auto" w:sz="2" w:space="0"/>
              <w:right w:val="single" w:color="auto" w:sz="2" w:space="0"/>
            </w:tcBorders>
            <w:shd w:val="clear" w:color="auto" w:fill="D3D3D3"/>
            <w:vAlign w:val="center"/>
          </w:tcPr>
          <w:p w14:paraId="68259557">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诉讼(仲裁)进展</w:t>
            </w:r>
          </w:p>
        </w:tc>
        <w:tc>
          <w:tcPr>
            <w:tcW w:w="1565" w:type="dxa"/>
            <w:tcBorders>
              <w:top w:val="single" w:color="auto" w:sz="2" w:space="0"/>
              <w:left w:val="single" w:color="auto" w:sz="2" w:space="0"/>
              <w:bottom w:val="single" w:color="auto" w:sz="2" w:space="0"/>
              <w:right w:val="single" w:color="auto" w:sz="2" w:space="0"/>
            </w:tcBorders>
            <w:shd w:val="clear" w:color="auto" w:fill="D3D3D3"/>
            <w:vAlign w:val="center"/>
          </w:tcPr>
          <w:p w14:paraId="04DF0C8A">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诉讼(仲裁)审理结果及影响</w:t>
            </w:r>
          </w:p>
        </w:tc>
        <w:tc>
          <w:tcPr>
            <w:tcW w:w="1018" w:type="dxa"/>
            <w:tcBorders>
              <w:top w:val="single" w:color="auto" w:sz="2" w:space="0"/>
              <w:left w:val="single" w:color="auto" w:sz="2" w:space="0"/>
              <w:bottom w:val="single" w:color="auto" w:sz="2" w:space="0"/>
              <w:right w:val="single" w:color="auto" w:sz="2" w:space="0"/>
            </w:tcBorders>
            <w:shd w:val="clear" w:color="auto" w:fill="D3D3D3"/>
            <w:vAlign w:val="center"/>
          </w:tcPr>
          <w:p w14:paraId="7BF0CD1E">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诉讼(仲裁)判决执行情况</w:t>
            </w:r>
          </w:p>
        </w:tc>
        <w:tc>
          <w:tcPr>
            <w:tcW w:w="589" w:type="dxa"/>
            <w:tcBorders>
              <w:top w:val="single" w:color="auto" w:sz="2" w:space="0"/>
              <w:left w:val="single" w:color="auto" w:sz="2" w:space="0"/>
              <w:bottom w:val="single" w:color="auto" w:sz="2" w:space="0"/>
              <w:right w:val="single" w:color="auto" w:sz="2" w:space="0"/>
            </w:tcBorders>
            <w:shd w:val="clear" w:color="auto" w:fill="D3D3D3"/>
            <w:vAlign w:val="center"/>
          </w:tcPr>
          <w:p w14:paraId="5FF9E092">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1987" w:type="dxa"/>
            <w:tcBorders>
              <w:top w:val="single" w:color="auto" w:sz="2" w:space="0"/>
              <w:left w:val="single" w:color="auto" w:sz="2" w:space="0"/>
              <w:bottom w:val="single" w:color="auto" w:sz="2" w:space="0"/>
              <w:right w:val="single" w:color="auto" w:sz="2" w:space="0"/>
            </w:tcBorders>
            <w:shd w:val="clear" w:color="auto" w:fill="D3D3D3"/>
            <w:vAlign w:val="center"/>
          </w:tcPr>
          <w:p w14:paraId="102937CE">
            <w:pPr>
              <w:spacing w:before="40" w:after="40" w:line="240" w:lineRule="exact"/>
              <w:jc w:val="center"/>
              <w:rPr>
                <w:rFonts w:ascii="宋体" w:hAnsi="宋体" w:eastAsia="宋体" w:cs="宋体"/>
                <w:sz w:val="18"/>
                <w:szCs w:val="18"/>
              </w:rPr>
            </w:pPr>
            <w:r>
              <w:rPr>
                <w:rFonts w:ascii="宋体" w:hAnsi="宋体" w:eastAsia="宋体" w:cs="宋体"/>
                <w:sz w:val="18"/>
                <w:szCs w:val="18"/>
              </w:rPr>
              <w:t>披露索引</w:t>
            </w:r>
          </w:p>
        </w:tc>
      </w:tr>
      <w:tr w14:paraId="20B6A52A">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17FD6E55">
            <w:pPr>
              <w:spacing w:line="240" w:lineRule="exact"/>
              <w:rPr>
                <w:rFonts w:ascii="宋体" w:hAnsi="宋体" w:eastAsia="宋体" w:cs="宋体"/>
                <w:sz w:val="18"/>
                <w:szCs w:val="18"/>
              </w:rPr>
            </w:pPr>
            <w:r>
              <w:rPr>
                <w:rFonts w:ascii="宋体" w:hAnsi="宋体" w:eastAsia="宋体" w:cs="宋体"/>
                <w:sz w:val="18"/>
                <w:szCs w:val="18"/>
              </w:rPr>
              <w:t>（2023）藏01民初19号：西藏道合实业有限公司作为原告就其与西藏发展控股子公司拉萨啤酒工商登记纠纷事项向拉萨市城关区人民法院提起诉讼，并申请公司作为第三人参加诉讼。原告主要诉讼请求：1.判令拉萨啤酒向道合公司签发出资证明书；2.判令拉萨啤酒向其登记机关申请办理股东信息登记变更，即将CarLsberg International A/S 持有拉萨啤酒的50%股权变更至道合公司名下。</w:t>
            </w:r>
          </w:p>
        </w:tc>
        <w:tc>
          <w:tcPr>
            <w:tcW w:w="987" w:type="dxa"/>
            <w:tcBorders>
              <w:top w:val="single" w:color="auto" w:sz="2" w:space="0"/>
              <w:left w:val="single" w:color="auto" w:sz="2" w:space="0"/>
              <w:bottom w:val="single" w:color="auto" w:sz="2" w:space="0"/>
              <w:right w:val="single" w:color="auto" w:sz="2" w:space="0"/>
            </w:tcBorders>
            <w:vAlign w:val="center"/>
          </w:tcPr>
          <w:p w14:paraId="707E7843">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600" w:type="dxa"/>
            <w:tcBorders>
              <w:top w:val="single" w:color="auto" w:sz="2" w:space="0"/>
              <w:left w:val="single" w:color="auto" w:sz="2" w:space="0"/>
              <w:bottom w:val="single" w:color="auto" w:sz="2" w:space="0"/>
              <w:right w:val="single" w:color="auto" w:sz="2" w:space="0"/>
            </w:tcBorders>
            <w:vAlign w:val="center"/>
          </w:tcPr>
          <w:p w14:paraId="3ED883D2">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1345F545">
            <w:pPr>
              <w:spacing w:line="240" w:lineRule="exact"/>
              <w:rPr>
                <w:rFonts w:ascii="宋体" w:hAnsi="宋体" w:eastAsia="宋体" w:cs="宋体"/>
                <w:sz w:val="18"/>
                <w:szCs w:val="18"/>
              </w:rPr>
            </w:pPr>
            <w:r>
              <w:rPr>
                <w:rFonts w:ascii="宋体" w:hAnsi="宋体" w:eastAsia="宋体" w:cs="宋体"/>
                <w:sz w:val="18"/>
                <w:szCs w:val="18"/>
              </w:rPr>
              <w:t>公司于2024年1月3日收到拉萨中院《民事判决书》，一审公司控股子公司拉萨啤酒胜诉，判决驳回道合公司全部诉讼请求。2024年1月道合公司提起上诉，公司于2024年2月7日收到律师提供的《民事上诉状》，上诉人嘉士伯公司（原审第三人）不服拉萨中院作出的（2023）藏01民初19号《民事判决书》，依法向西藏高院提起上诉，请求撤销原审判决，改判支持道合公司的全部诉讼请求。西藏高院已受理该案，本案定于2024年5月14日再次开庭审理。</w:t>
            </w:r>
          </w:p>
        </w:tc>
        <w:tc>
          <w:tcPr>
            <w:tcW w:w="1565" w:type="dxa"/>
            <w:tcBorders>
              <w:top w:val="single" w:color="auto" w:sz="2" w:space="0"/>
              <w:left w:val="single" w:color="auto" w:sz="2" w:space="0"/>
              <w:bottom w:val="single" w:color="auto" w:sz="2" w:space="0"/>
              <w:right w:val="single" w:color="auto" w:sz="2" w:space="0"/>
            </w:tcBorders>
            <w:vAlign w:val="center"/>
          </w:tcPr>
          <w:p w14:paraId="7DDF13B5">
            <w:pPr>
              <w:spacing w:line="240" w:lineRule="exact"/>
              <w:rPr>
                <w:rFonts w:ascii="宋体" w:hAnsi="宋体" w:eastAsia="宋体" w:cs="宋体"/>
                <w:sz w:val="18"/>
                <w:szCs w:val="18"/>
              </w:rPr>
            </w:pPr>
            <w:r>
              <w:rPr>
                <w:rFonts w:ascii="宋体" w:hAnsi="宋体" w:eastAsia="宋体" w:cs="宋体"/>
                <w:sz w:val="18"/>
                <w:szCs w:val="18"/>
              </w:rPr>
              <w:t>公司于2024年5月29日收到西藏高院《民事判决书》2024藏民终4号，主要判决结为：嘉士伯公司和道合公司的上诉理由均不成立，应予驳回；一审判决认定事实清楚，适用法律正确，应予维持，驳回上诉，维持原判。本判决为终审判决。</w:t>
            </w:r>
          </w:p>
        </w:tc>
        <w:tc>
          <w:tcPr>
            <w:tcW w:w="1018" w:type="dxa"/>
            <w:tcBorders>
              <w:top w:val="single" w:color="auto" w:sz="2" w:space="0"/>
              <w:left w:val="single" w:color="auto" w:sz="2" w:space="0"/>
              <w:bottom w:val="single" w:color="auto" w:sz="2" w:space="0"/>
              <w:right w:val="single" w:color="auto" w:sz="2" w:space="0"/>
            </w:tcBorders>
            <w:vAlign w:val="center"/>
          </w:tcPr>
          <w:p w14:paraId="7203F712">
            <w:pPr>
              <w:spacing w:line="240" w:lineRule="exact"/>
              <w:rPr>
                <w:rFonts w:ascii="宋体" w:hAnsi="宋体" w:eastAsia="宋体" w:cs="宋体"/>
                <w:sz w:val="18"/>
                <w:szCs w:val="18"/>
              </w:rPr>
            </w:pPr>
            <w:r>
              <w:rPr>
                <w:rFonts w:ascii="宋体" w:hAnsi="宋体" w:eastAsia="宋体" w:cs="宋体"/>
                <w:sz w:val="18"/>
                <w:szCs w:val="18"/>
              </w:rPr>
              <w:t>暂无</w:t>
            </w:r>
          </w:p>
        </w:tc>
        <w:tc>
          <w:tcPr>
            <w:tcW w:w="589" w:type="dxa"/>
            <w:tcBorders>
              <w:top w:val="single" w:color="auto" w:sz="2" w:space="0"/>
              <w:left w:val="single" w:color="auto" w:sz="2" w:space="0"/>
              <w:bottom w:val="single" w:color="auto" w:sz="2" w:space="0"/>
              <w:right w:val="single" w:color="auto" w:sz="2" w:space="0"/>
            </w:tcBorders>
            <w:vAlign w:val="center"/>
          </w:tcPr>
          <w:p w14:paraId="1D2A522C">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7B9F135C">
            <w:pPr>
              <w:spacing w:line="240" w:lineRule="exact"/>
              <w:rPr>
                <w:rFonts w:ascii="宋体" w:hAnsi="宋体" w:eastAsia="宋体" w:cs="宋体"/>
                <w:sz w:val="16"/>
                <w:szCs w:val="16"/>
              </w:rPr>
            </w:pPr>
            <w:r>
              <w:rPr>
                <w:rFonts w:hint="eastAsia" w:ascii="宋体" w:hAnsi="宋体" w:eastAsia="宋体" w:cs="宋体"/>
                <w:sz w:val="16"/>
                <w:szCs w:val="16"/>
              </w:rPr>
              <w:t>详细情况参见公司披露于巨潮资讯网的相关公告：</w:t>
            </w:r>
            <w:r>
              <w:rPr>
                <w:rFonts w:ascii="宋体" w:hAnsi="宋体" w:eastAsia="宋体" w:cs="宋体"/>
                <w:sz w:val="16"/>
                <w:szCs w:val="16"/>
              </w:rPr>
              <w:t>2023年6月9日（公告编号：2023-049）、2023年7月1日（公告编号：2023-056）、2023年9月15日（公告编号：2023-087）、2024年1月4日（公告编号：2024-002）、2024年1月19日（公告编号：2024-007）、2024年2月8日（公告编号：2024-017）、2024年3月7日（公告编号：2024-026）、2024年4</w:t>
            </w:r>
            <w:r>
              <w:rPr>
                <w:rFonts w:hint="eastAsia" w:ascii="宋体" w:hAnsi="宋体" w:eastAsia="宋体" w:cs="宋体"/>
                <w:sz w:val="16"/>
                <w:szCs w:val="16"/>
              </w:rPr>
              <w:t>月</w:t>
            </w:r>
            <w:r>
              <w:rPr>
                <w:rFonts w:ascii="宋体" w:hAnsi="宋体" w:eastAsia="宋体" w:cs="宋体"/>
                <w:sz w:val="16"/>
                <w:szCs w:val="16"/>
              </w:rPr>
              <w:t>11日（公告编号：2024-044）、2024年4月30日（公告编号：2024-067）、2024年5月30日（公告编号：2024-079）。</w:t>
            </w:r>
          </w:p>
        </w:tc>
      </w:tr>
      <w:tr w14:paraId="116E29A9">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19EAEFBC">
            <w:pPr>
              <w:spacing w:line="240" w:lineRule="exact"/>
              <w:rPr>
                <w:rFonts w:ascii="宋体" w:hAnsi="宋体" w:eastAsia="宋体" w:cs="宋体"/>
                <w:sz w:val="18"/>
                <w:szCs w:val="18"/>
              </w:rPr>
            </w:pPr>
            <w:r>
              <w:rPr>
                <w:rFonts w:ascii="宋体" w:hAnsi="宋体" w:eastAsia="宋体" w:cs="宋体"/>
                <w:sz w:val="18"/>
                <w:szCs w:val="18"/>
              </w:rPr>
              <w:t>（2018）川01民初1985号案件：吴小蓉作为原告，以借贷纠纷为由，向四川省成都市中级人民法 院对西藏发展、储小晗、三洲特种钢管有限公司（以下简称“三洲特管”）、 四川三洲川化机核设备制造有限公司（以下简称“三洲设备制造”）提起诉讼。吴小蓉主要诉讼请求为：请求判令西藏发展偿还借款本金2,867.65万元及利息；请求判令西藏发展承担原告为实现债权而实际发生的相关费用；请求判令其他被告对前述债务及费用承担连带偿还责任。</w:t>
            </w:r>
          </w:p>
        </w:tc>
        <w:tc>
          <w:tcPr>
            <w:tcW w:w="987" w:type="dxa"/>
            <w:tcBorders>
              <w:top w:val="single" w:color="auto" w:sz="2" w:space="0"/>
              <w:left w:val="single" w:color="auto" w:sz="2" w:space="0"/>
              <w:bottom w:val="single" w:color="auto" w:sz="2" w:space="0"/>
              <w:right w:val="single" w:color="auto" w:sz="2" w:space="0"/>
            </w:tcBorders>
            <w:vAlign w:val="center"/>
          </w:tcPr>
          <w:p w14:paraId="64FBD0F7">
            <w:pPr>
              <w:spacing w:line="240" w:lineRule="exact"/>
              <w:jc w:val="right"/>
              <w:rPr>
                <w:rFonts w:ascii="宋体" w:hAnsi="宋体" w:eastAsia="宋体" w:cs="宋体"/>
                <w:sz w:val="18"/>
                <w:szCs w:val="18"/>
              </w:rPr>
            </w:pPr>
            <w:r>
              <w:rPr>
                <w:rFonts w:ascii="宋体" w:hAnsi="宋体" w:eastAsia="宋体" w:cs="宋体"/>
                <w:sz w:val="18"/>
                <w:szCs w:val="18"/>
              </w:rPr>
              <w:t>2,867.65</w:t>
            </w:r>
          </w:p>
        </w:tc>
        <w:tc>
          <w:tcPr>
            <w:tcW w:w="600" w:type="dxa"/>
            <w:tcBorders>
              <w:top w:val="single" w:color="auto" w:sz="2" w:space="0"/>
              <w:left w:val="single" w:color="auto" w:sz="2" w:space="0"/>
              <w:bottom w:val="single" w:color="auto" w:sz="2" w:space="0"/>
              <w:right w:val="single" w:color="auto" w:sz="2" w:space="0"/>
            </w:tcBorders>
            <w:vAlign w:val="center"/>
          </w:tcPr>
          <w:p w14:paraId="2B8C937C">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4B02CA46">
            <w:pPr>
              <w:spacing w:line="240" w:lineRule="exact"/>
              <w:rPr>
                <w:rFonts w:ascii="宋体" w:hAnsi="宋体" w:eastAsia="宋体" w:cs="宋体"/>
                <w:sz w:val="18"/>
                <w:szCs w:val="18"/>
              </w:rPr>
            </w:pPr>
            <w:r>
              <w:rPr>
                <w:rFonts w:ascii="宋体" w:hAnsi="宋体" w:eastAsia="宋体" w:cs="宋体"/>
                <w:sz w:val="18"/>
                <w:szCs w:val="18"/>
              </w:rPr>
              <w:t>2020年12月30日，公司与原告吴小蓉签署了《债务和解协议》； 吴小蓉向成都市中级人民法院申请执行，立案日期为2022年6月27日，申请追加西藏盛邦为（2018）川01执1674号案件的被执行人，成都市 中级人民法院驳回吴小蓉要求追加西藏盛邦控股有限公司为（2018）川01执1674号案件的被执行人，四川省高级人民法院作出了（2022）川执复511号《执行裁定书》，驳回吴小蓉的复议申请。</w:t>
            </w:r>
          </w:p>
        </w:tc>
        <w:tc>
          <w:tcPr>
            <w:tcW w:w="1565" w:type="dxa"/>
            <w:tcBorders>
              <w:top w:val="single" w:color="auto" w:sz="2" w:space="0"/>
              <w:left w:val="single" w:color="auto" w:sz="2" w:space="0"/>
              <w:bottom w:val="single" w:color="auto" w:sz="2" w:space="0"/>
              <w:right w:val="single" w:color="auto" w:sz="2" w:space="0"/>
            </w:tcBorders>
            <w:vAlign w:val="center"/>
          </w:tcPr>
          <w:p w14:paraId="4516AB2F">
            <w:pPr>
              <w:spacing w:line="240" w:lineRule="exact"/>
              <w:rPr>
                <w:rFonts w:ascii="宋体" w:hAnsi="宋体" w:eastAsia="宋体" w:cs="宋体"/>
                <w:sz w:val="18"/>
                <w:szCs w:val="18"/>
              </w:rPr>
            </w:pPr>
            <w:r>
              <w:rPr>
                <w:rFonts w:ascii="宋体" w:hAnsi="宋体" w:eastAsia="宋体" w:cs="宋体"/>
                <w:sz w:val="18"/>
                <w:szCs w:val="18"/>
              </w:rPr>
              <w:t>公司持有的西藏拉萨啤酒有限公司、四川恒生科技发展有限公司、中诚善达（苏州）资产管理有限公司、西藏银河商贸有 限公司的股权被冻结。</w:t>
            </w:r>
          </w:p>
        </w:tc>
        <w:tc>
          <w:tcPr>
            <w:tcW w:w="1018" w:type="dxa"/>
            <w:tcBorders>
              <w:top w:val="single" w:color="auto" w:sz="2" w:space="0"/>
              <w:left w:val="single" w:color="auto" w:sz="2" w:space="0"/>
              <w:bottom w:val="single" w:color="auto" w:sz="2" w:space="0"/>
              <w:right w:val="single" w:color="auto" w:sz="2" w:space="0"/>
            </w:tcBorders>
            <w:vAlign w:val="center"/>
          </w:tcPr>
          <w:p w14:paraId="11B1F60E">
            <w:pPr>
              <w:spacing w:line="240" w:lineRule="exact"/>
              <w:rPr>
                <w:rFonts w:ascii="宋体" w:hAnsi="宋体" w:eastAsia="宋体" w:cs="宋体"/>
                <w:sz w:val="18"/>
                <w:szCs w:val="18"/>
              </w:rPr>
            </w:pPr>
            <w:r>
              <w:rPr>
                <w:rFonts w:ascii="宋体" w:hAnsi="宋体" w:eastAsia="宋体" w:cs="宋体"/>
                <w:sz w:val="18"/>
                <w:szCs w:val="18"/>
              </w:rPr>
              <w:t>公司已支付吴小蓉1,000万元。吴小蓉已向成都市中级人民法院申请执行，请求追加西藏盛邦为（2018）川01执1674号案件的被执行人，法院判决驳回原告的复议申请。</w:t>
            </w:r>
          </w:p>
        </w:tc>
        <w:tc>
          <w:tcPr>
            <w:tcW w:w="589" w:type="dxa"/>
            <w:tcBorders>
              <w:top w:val="single" w:color="auto" w:sz="2" w:space="0"/>
              <w:left w:val="single" w:color="auto" w:sz="2" w:space="0"/>
              <w:bottom w:val="single" w:color="auto" w:sz="2" w:space="0"/>
              <w:right w:val="single" w:color="auto" w:sz="2" w:space="0"/>
            </w:tcBorders>
            <w:vAlign w:val="center"/>
          </w:tcPr>
          <w:p w14:paraId="7339319A">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7430DBD3">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www.cninfo.com.cn）的相关公告：2018年9月4日，公告编号：2018-065；2018年9月6日，公告编号：2018-067；2021年1月4日，公告编号：2021-002；2022年1月21日，公告编号：2022-008；2022年6月2日，公告编号：2022-058；2022年6月21日，公告编号：2022-062；2022年7月1日，公告编号：2022-066。</w:t>
            </w:r>
          </w:p>
        </w:tc>
      </w:tr>
      <w:tr w14:paraId="7F623BFC">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4A41038C">
            <w:pPr>
              <w:spacing w:line="240" w:lineRule="exact"/>
              <w:rPr>
                <w:rFonts w:ascii="宋体" w:hAnsi="宋体" w:eastAsia="宋体" w:cs="宋体"/>
                <w:sz w:val="18"/>
                <w:szCs w:val="18"/>
              </w:rPr>
            </w:pPr>
            <w:r>
              <w:rPr>
                <w:rFonts w:ascii="宋体" w:hAnsi="宋体" w:eastAsia="宋体" w:cs="宋体"/>
                <w:sz w:val="18"/>
                <w:szCs w:val="18"/>
              </w:rPr>
              <w:t>（2018）川0113民初2099号案件：深圳瞬赐商业保理有限公司（以下简称“瞬赐保理”）作为原告，以票据付款请求权纠纷为由，向成都市青白江人民法院对三洲特管、西藏发展、成都仕远置商贸有限责任公司（以下简称“仕远置商贸”） 提起诉讼。瞬赐保理主要诉讼请求为：请求判令三洲特管支付票据款500万元及利息；请求判令西藏发展、仕远置商贸对上述支付义务承担连带责任；由被告承担本案诉讼费、保全费等全部费用。</w:t>
            </w:r>
          </w:p>
        </w:tc>
        <w:tc>
          <w:tcPr>
            <w:tcW w:w="987" w:type="dxa"/>
            <w:tcBorders>
              <w:top w:val="single" w:color="auto" w:sz="2" w:space="0"/>
              <w:left w:val="single" w:color="auto" w:sz="2" w:space="0"/>
              <w:bottom w:val="single" w:color="auto" w:sz="2" w:space="0"/>
              <w:right w:val="single" w:color="auto" w:sz="2" w:space="0"/>
            </w:tcBorders>
            <w:vAlign w:val="center"/>
          </w:tcPr>
          <w:p w14:paraId="3B31F2D1">
            <w:pPr>
              <w:spacing w:line="240" w:lineRule="exact"/>
              <w:jc w:val="right"/>
              <w:rPr>
                <w:rFonts w:ascii="宋体" w:hAnsi="宋体" w:eastAsia="宋体" w:cs="宋体"/>
                <w:sz w:val="18"/>
                <w:szCs w:val="18"/>
              </w:rPr>
            </w:pPr>
            <w:r>
              <w:rPr>
                <w:rFonts w:ascii="宋体" w:hAnsi="宋体" w:eastAsia="宋体" w:cs="宋体"/>
                <w:sz w:val="18"/>
                <w:szCs w:val="18"/>
              </w:rPr>
              <w:t>500</w:t>
            </w:r>
          </w:p>
        </w:tc>
        <w:tc>
          <w:tcPr>
            <w:tcW w:w="600" w:type="dxa"/>
            <w:tcBorders>
              <w:top w:val="single" w:color="auto" w:sz="2" w:space="0"/>
              <w:left w:val="single" w:color="auto" w:sz="2" w:space="0"/>
              <w:bottom w:val="single" w:color="auto" w:sz="2" w:space="0"/>
              <w:right w:val="single" w:color="auto" w:sz="2" w:space="0"/>
            </w:tcBorders>
            <w:vAlign w:val="center"/>
          </w:tcPr>
          <w:p w14:paraId="063D176B">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70B80F07">
            <w:pPr>
              <w:spacing w:line="240" w:lineRule="exact"/>
              <w:rPr>
                <w:rFonts w:ascii="宋体" w:hAnsi="宋体" w:eastAsia="宋体" w:cs="宋体"/>
                <w:sz w:val="18"/>
                <w:szCs w:val="18"/>
              </w:rPr>
            </w:pPr>
            <w:r>
              <w:rPr>
                <w:rFonts w:ascii="宋体" w:hAnsi="宋体" w:eastAsia="宋体" w:cs="宋体"/>
                <w:sz w:val="18"/>
                <w:szCs w:val="18"/>
              </w:rPr>
              <w:t>2020年5月27日，公司取得四川省高级人民法院民事裁定书（（2020）川民申586号），法院裁定驳回了公司的再审申请。</w:t>
            </w:r>
          </w:p>
        </w:tc>
        <w:tc>
          <w:tcPr>
            <w:tcW w:w="1565" w:type="dxa"/>
            <w:tcBorders>
              <w:top w:val="single" w:color="auto" w:sz="2" w:space="0"/>
              <w:left w:val="single" w:color="auto" w:sz="2" w:space="0"/>
              <w:bottom w:val="single" w:color="auto" w:sz="2" w:space="0"/>
              <w:right w:val="single" w:color="auto" w:sz="2" w:space="0"/>
            </w:tcBorders>
            <w:vAlign w:val="center"/>
          </w:tcPr>
          <w:p w14:paraId="6025715B">
            <w:pPr>
              <w:spacing w:line="240" w:lineRule="exact"/>
              <w:rPr>
                <w:rFonts w:ascii="宋体" w:hAnsi="宋体" w:eastAsia="宋体" w:cs="宋体"/>
                <w:sz w:val="18"/>
                <w:szCs w:val="18"/>
              </w:rPr>
            </w:pPr>
            <w:r>
              <w:rPr>
                <w:rFonts w:ascii="宋体" w:hAnsi="宋体" w:eastAsia="宋体" w:cs="宋体"/>
                <w:sz w:val="18"/>
                <w:szCs w:val="18"/>
              </w:rPr>
              <w:t>公司二审败诉，再审申请被驳回。公司持有的四川恒生科技发展有限公司、西藏拉萨啤酒有限公司的股权被冻结。</w:t>
            </w:r>
          </w:p>
        </w:tc>
        <w:tc>
          <w:tcPr>
            <w:tcW w:w="1018" w:type="dxa"/>
            <w:tcBorders>
              <w:top w:val="single" w:color="auto" w:sz="2" w:space="0"/>
              <w:left w:val="single" w:color="auto" w:sz="2" w:space="0"/>
              <w:bottom w:val="single" w:color="auto" w:sz="2" w:space="0"/>
              <w:right w:val="single" w:color="auto" w:sz="2" w:space="0"/>
            </w:tcBorders>
            <w:vAlign w:val="center"/>
          </w:tcPr>
          <w:p w14:paraId="177AACF8">
            <w:pPr>
              <w:spacing w:line="240" w:lineRule="exact"/>
              <w:rPr>
                <w:rFonts w:ascii="宋体" w:hAnsi="宋体" w:eastAsia="宋体" w:cs="宋体"/>
                <w:sz w:val="18"/>
                <w:szCs w:val="18"/>
              </w:rPr>
            </w:pPr>
            <w:r>
              <w:rPr>
                <w:rFonts w:ascii="宋体" w:hAnsi="宋体" w:eastAsia="宋体" w:cs="宋体"/>
                <w:sz w:val="18"/>
                <w:szCs w:val="18"/>
              </w:rPr>
              <w:t>进入执行阶段。</w:t>
            </w:r>
          </w:p>
        </w:tc>
        <w:tc>
          <w:tcPr>
            <w:tcW w:w="589" w:type="dxa"/>
            <w:tcBorders>
              <w:top w:val="single" w:color="auto" w:sz="2" w:space="0"/>
              <w:left w:val="single" w:color="auto" w:sz="2" w:space="0"/>
              <w:bottom w:val="single" w:color="auto" w:sz="2" w:space="0"/>
              <w:right w:val="single" w:color="auto" w:sz="2" w:space="0"/>
            </w:tcBorders>
            <w:vAlign w:val="center"/>
          </w:tcPr>
          <w:p w14:paraId="584A51B3">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362D354B">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 xml:space="preserve">www.cninfo.com.cn）的相关公告：2018年9月19日，公告编号2018-070；2018年10月11日，公告编号2018-076；2019年1月4日，公告编号2019-005；2019年2月25日，公告编号2019-022；2019年3月15日，公告编号：2019-026；2019年3月19日，公告编号：2019-027；2019年6月28日，公告编号：2019-078；2019年7月10日，公告编号：2019-082；2019年8月6日，公告编号：2019-091；2020年4月10日，公告编号：2020-039；2020年5月29日，公告编 </w:t>
            </w:r>
            <w:r>
              <w:rPr>
                <w:rFonts w:hint="eastAsia" w:ascii="宋体" w:hAnsi="宋体" w:eastAsia="宋体" w:cs="宋体"/>
                <w:sz w:val="16"/>
                <w:szCs w:val="16"/>
              </w:rPr>
              <w:t>号：</w:t>
            </w:r>
            <w:r>
              <w:rPr>
                <w:rFonts w:ascii="宋体" w:hAnsi="宋体" w:eastAsia="宋体" w:cs="宋体"/>
                <w:sz w:val="16"/>
                <w:szCs w:val="16"/>
              </w:rPr>
              <w:t>2020-066。</w:t>
            </w:r>
          </w:p>
        </w:tc>
      </w:tr>
      <w:tr w14:paraId="514FFCF4">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76A42629">
            <w:pPr>
              <w:spacing w:line="240" w:lineRule="exact"/>
              <w:rPr>
                <w:rFonts w:ascii="宋体" w:hAnsi="宋体" w:eastAsia="宋体" w:cs="宋体"/>
                <w:sz w:val="18"/>
                <w:szCs w:val="18"/>
              </w:rPr>
            </w:pPr>
            <w:r>
              <w:rPr>
                <w:rFonts w:ascii="宋体" w:hAnsi="宋体" w:eastAsia="宋体" w:cs="宋体"/>
                <w:sz w:val="18"/>
                <w:szCs w:val="18"/>
              </w:rPr>
              <w:t>（2018）浙01民初3924号案件：浙江阿拉丁控股集团有限公司（以下简称“阿拉丁”）作为原告，以借贷纠纷为由，向杭州市中级人民法院对西藏发展、天易隆兴、北京合光人工智能机器人技术有限公司（以下简称“合光机器人”）提起诉讼。阿拉丁主要诉讼请求为：请求判令西藏发展偿还借款8,000万元，利息640万元；请求判令天易隆兴、合光机器人承担连带共同保证责任。</w:t>
            </w:r>
          </w:p>
        </w:tc>
        <w:tc>
          <w:tcPr>
            <w:tcW w:w="987" w:type="dxa"/>
            <w:tcBorders>
              <w:top w:val="single" w:color="auto" w:sz="2" w:space="0"/>
              <w:left w:val="single" w:color="auto" w:sz="2" w:space="0"/>
              <w:bottom w:val="single" w:color="auto" w:sz="2" w:space="0"/>
              <w:right w:val="single" w:color="auto" w:sz="2" w:space="0"/>
            </w:tcBorders>
            <w:vAlign w:val="center"/>
          </w:tcPr>
          <w:p w14:paraId="1258D73A">
            <w:pPr>
              <w:spacing w:line="240" w:lineRule="exact"/>
              <w:jc w:val="right"/>
              <w:rPr>
                <w:rFonts w:ascii="宋体" w:hAnsi="宋体" w:eastAsia="宋体" w:cs="宋体"/>
                <w:sz w:val="18"/>
                <w:szCs w:val="18"/>
              </w:rPr>
            </w:pPr>
            <w:r>
              <w:rPr>
                <w:rFonts w:ascii="宋体" w:hAnsi="宋体" w:eastAsia="宋体" w:cs="宋体"/>
                <w:sz w:val="18"/>
                <w:szCs w:val="18"/>
              </w:rPr>
              <w:t>8,640</w:t>
            </w:r>
          </w:p>
        </w:tc>
        <w:tc>
          <w:tcPr>
            <w:tcW w:w="600" w:type="dxa"/>
            <w:tcBorders>
              <w:top w:val="single" w:color="auto" w:sz="2" w:space="0"/>
              <w:left w:val="single" w:color="auto" w:sz="2" w:space="0"/>
              <w:bottom w:val="single" w:color="auto" w:sz="2" w:space="0"/>
              <w:right w:val="single" w:color="auto" w:sz="2" w:space="0"/>
            </w:tcBorders>
            <w:vAlign w:val="center"/>
          </w:tcPr>
          <w:p w14:paraId="754587EF">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077CE10D">
            <w:pPr>
              <w:spacing w:line="240" w:lineRule="exact"/>
              <w:rPr>
                <w:rFonts w:ascii="宋体" w:hAnsi="宋体" w:eastAsia="宋体" w:cs="宋体"/>
                <w:sz w:val="18"/>
                <w:szCs w:val="18"/>
              </w:rPr>
            </w:pPr>
            <w:r>
              <w:rPr>
                <w:rFonts w:ascii="宋体" w:hAnsi="宋体" w:eastAsia="宋体" w:cs="宋体"/>
                <w:sz w:val="18"/>
                <w:szCs w:val="18"/>
              </w:rPr>
              <w:t>公司于2021年3月17日收到浙江省高级人民法院（2020）浙民终1105号民事裁定书，终审裁定驳回阿拉丁的起诉。公司于2022年8月18日与阿拉丁签署了《债务和解协议》。</w:t>
            </w:r>
          </w:p>
        </w:tc>
        <w:tc>
          <w:tcPr>
            <w:tcW w:w="1565" w:type="dxa"/>
            <w:tcBorders>
              <w:top w:val="single" w:color="auto" w:sz="2" w:space="0"/>
              <w:left w:val="single" w:color="auto" w:sz="2" w:space="0"/>
              <w:bottom w:val="single" w:color="auto" w:sz="2" w:space="0"/>
              <w:right w:val="single" w:color="auto" w:sz="2" w:space="0"/>
            </w:tcBorders>
            <w:vAlign w:val="center"/>
          </w:tcPr>
          <w:p w14:paraId="5CD261B3">
            <w:pPr>
              <w:spacing w:line="240" w:lineRule="exact"/>
              <w:rPr>
                <w:rFonts w:ascii="宋体" w:hAnsi="宋体" w:eastAsia="宋体" w:cs="宋体"/>
                <w:sz w:val="18"/>
                <w:szCs w:val="18"/>
              </w:rPr>
            </w:pPr>
            <w:r>
              <w:rPr>
                <w:rFonts w:ascii="宋体" w:hAnsi="宋体" w:eastAsia="宋体" w:cs="宋体"/>
                <w:sz w:val="18"/>
                <w:szCs w:val="18"/>
              </w:rPr>
              <w:t>法院终审裁定驳回原告的起诉。公司于2022年8月18日与阿拉丁签署了《债务和解协议》。</w:t>
            </w:r>
          </w:p>
        </w:tc>
        <w:tc>
          <w:tcPr>
            <w:tcW w:w="1018" w:type="dxa"/>
            <w:tcBorders>
              <w:top w:val="single" w:color="auto" w:sz="2" w:space="0"/>
              <w:left w:val="single" w:color="auto" w:sz="2" w:space="0"/>
              <w:bottom w:val="single" w:color="auto" w:sz="2" w:space="0"/>
              <w:right w:val="single" w:color="auto" w:sz="2" w:space="0"/>
            </w:tcBorders>
            <w:vAlign w:val="center"/>
          </w:tcPr>
          <w:p w14:paraId="0DFAEFCA">
            <w:pPr>
              <w:spacing w:line="240" w:lineRule="exact"/>
              <w:rPr>
                <w:rFonts w:ascii="宋体" w:hAnsi="宋体" w:eastAsia="宋体" w:cs="宋体"/>
                <w:sz w:val="18"/>
                <w:szCs w:val="18"/>
              </w:rPr>
            </w:pPr>
            <w:r>
              <w:rPr>
                <w:rFonts w:ascii="宋体" w:hAnsi="宋体" w:eastAsia="宋体" w:cs="宋体"/>
                <w:sz w:val="18"/>
                <w:szCs w:val="18"/>
              </w:rPr>
              <w:t>法院终审裁定驳回原告的起诉。截至本报告披露日，公司已向阿拉丁支付1000万元。</w:t>
            </w:r>
          </w:p>
        </w:tc>
        <w:tc>
          <w:tcPr>
            <w:tcW w:w="589" w:type="dxa"/>
            <w:tcBorders>
              <w:top w:val="single" w:color="auto" w:sz="2" w:space="0"/>
              <w:left w:val="single" w:color="auto" w:sz="2" w:space="0"/>
              <w:bottom w:val="single" w:color="auto" w:sz="2" w:space="0"/>
              <w:right w:val="single" w:color="auto" w:sz="2" w:space="0"/>
            </w:tcBorders>
            <w:vAlign w:val="center"/>
          </w:tcPr>
          <w:p w14:paraId="6ECDD11A">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68DBBF8A">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www.cninfo.com.cn）的相关公告：2018年9月20日，公告编号2018-071；2018年11月22日，公告编号2018-097；2018年12月13日，</w:t>
            </w:r>
            <w:r>
              <w:rPr>
                <w:rFonts w:hint="eastAsia" w:ascii="宋体" w:hAnsi="宋体" w:eastAsia="宋体" w:cs="宋体"/>
                <w:sz w:val="16"/>
                <w:szCs w:val="16"/>
              </w:rPr>
              <w:t>公告编号</w:t>
            </w:r>
            <w:r>
              <w:rPr>
                <w:rFonts w:ascii="宋体" w:hAnsi="宋体" w:eastAsia="宋体" w:cs="宋体"/>
                <w:sz w:val="16"/>
                <w:szCs w:val="16"/>
              </w:rPr>
              <w:t xml:space="preserve">2018-106；2019年5月6日，公告编号2019-056；2019年5月22日，公告编号2019-061；2019年9月4日，公告编号2019-105；2019年9月11日，公告编号2019-109；2019年9月28日，公告编号2019-113；2020年5月6日，公告编号2020-059；2020 </w:t>
            </w:r>
            <w:r>
              <w:rPr>
                <w:rFonts w:hint="eastAsia" w:ascii="宋体" w:hAnsi="宋体" w:eastAsia="宋体" w:cs="宋体"/>
                <w:sz w:val="16"/>
                <w:szCs w:val="16"/>
              </w:rPr>
              <w:t>年</w:t>
            </w:r>
            <w:r>
              <w:rPr>
                <w:rFonts w:ascii="宋体" w:hAnsi="宋体" w:eastAsia="宋体" w:cs="宋体"/>
                <w:sz w:val="16"/>
                <w:szCs w:val="16"/>
              </w:rPr>
              <w:t>6月18日，公告编号2020-075；2020年7月4日，公告编号2020-080；2021年1月4日，公告编号2021-001；2021年1月8日，公告编号2020-004；2021年3月19日，公告编号：2021-022；2022年8月20日，公告编号：2022-092。</w:t>
            </w:r>
          </w:p>
        </w:tc>
      </w:tr>
      <w:tr w14:paraId="382A9A6F">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04A80518">
            <w:pPr>
              <w:spacing w:line="240" w:lineRule="exact"/>
              <w:rPr>
                <w:rFonts w:ascii="宋体" w:hAnsi="宋体" w:eastAsia="宋体" w:cs="宋体"/>
                <w:sz w:val="18"/>
                <w:szCs w:val="18"/>
              </w:rPr>
            </w:pPr>
            <w:r>
              <w:rPr>
                <w:rFonts w:ascii="宋体" w:hAnsi="宋体" w:eastAsia="宋体" w:cs="宋体"/>
                <w:sz w:val="18"/>
                <w:szCs w:val="18"/>
              </w:rPr>
              <w:t>（2018）成仲案字第1227号案件：四川汶锦贸易有限公司（以下简称“汶锦贸易”）作为原告，以借款合同纠纷为由，向成都仲裁委员会对西藏发展、天易隆兴申请仲裁。汶锦贸易仲裁请求为：请求裁 决二被申请人偿还本金15,000万元；请求裁决被申请人支付逾期偿还本金期间的利息（从2018年5月 11日起至实际偿还之日止，暂计算至2018年10月15 日，按合同约定，针对逾期还款的本金部分，按24%的年利率计息）1580万元；请求裁决实现债权的费用由二被申请人承担。</w:t>
            </w:r>
          </w:p>
        </w:tc>
        <w:tc>
          <w:tcPr>
            <w:tcW w:w="987" w:type="dxa"/>
            <w:tcBorders>
              <w:top w:val="single" w:color="auto" w:sz="2" w:space="0"/>
              <w:left w:val="single" w:color="auto" w:sz="2" w:space="0"/>
              <w:bottom w:val="single" w:color="auto" w:sz="2" w:space="0"/>
              <w:right w:val="single" w:color="auto" w:sz="2" w:space="0"/>
            </w:tcBorders>
            <w:vAlign w:val="center"/>
          </w:tcPr>
          <w:p w14:paraId="3CD82523">
            <w:pPr>
              <w:spacing w:line="240" w:lineRule="exact"/>
              <w:jc w:val="right"/>
              <w:rPr>
                <w:rFonts w:ascii="宋体" w:hAnsi="宋体" w:eastAsia="宋体" w:cs="宋体"/>
                <w:sz w:val="18"/>
                <w:szCs w:val="18"/>
              </w:rPr>
            </w:pPr>
            <w:r>
              <w:rPr>
                <w:rFonts w:ascii="宋体" w:hAnsi="宋体" w:eastAsia="宋体" w:cs="宋体"/>
                <w:sz w:val="18"/>
                <w:szCs w:val="18"/>
              </w:rPr>
              <w:t>16,580</w:t>
            </w:r>
          </w:p>
        </w:tc>
        <w:tc>
          <w:tcPr>
            <w:tcW w:w="600" w:type="dxa"/>
            <w:tcBorders>
              <w:top w:val="single" w:color="auto" w:sz="2" w:space="0"/>
              <w:left w:val="single" w:color="auto" w:sz="2" w:space="0"/>
              <w:bottom w:val="single" w:color="auto" w:sz="2" w:space="0"/>
              <w:right w:val="single" w:color="auto" w:sz="2" w:space="0"/>
            </w:tcBorders>
            <w:vAlign w:val="center"/>
          </w:tcPr>
          <w:p w14:paraId="4B158B21">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14873B8B">
            <w:pPr>
              <w:spacing w:line="240" w:lineRule="exact"/>
              <w:rPr>
                <w:rFonts w:ascii="宋体" w:hAnsi="宋体" w:eastAsia="宋体" w:cs="宋体"/>
                <w:sz w:val="18"/>
                <w:szCs w:val="18"/>
              </w:rPr>
            </w:pPr>
            <w:r>
              <w:rPr>
                <w:rFonts w:ascii="宋体" w:hAnsi="宋体" w:eastAsia="宋体" w:cs="宋体"/>
                <w:sz w:val="18"/>
                <w:szCs w:val="18"/>
              </w:rPr>
              <w:t>公司于2019年3月15日收到成都仲裁委员会对本案作出的裁决。裁决西藏发展偿还汶锦贸易本金15,000万元、逾期利息、律师费、诉讼财产保险费、仲裁费、保全费等债权实现费用408.22万元；裁决天易隆兴对前述债务承担连带清偿责任。公司于2021年4月19日收到四川省成都市中级人民法院（2021）川01执515号）执行裁定书，本案被裁定执行。汶锦贸易向成都市中级人民法院申请恢复执行，公司成为本案被执行人，案号：（2022）川01执恢323号，立案日期：2022年7月18日，执行标的为248,232,832元。</w:t>
            </w:r>
          </w:p>
        </w:tc>
        <w:tc>
          <w:tcPr>
            <w:tcW w:w="1565" w:type="dxa"/>
            <w:tcBorders>
              <w:top w:val="single" w:color="auto" w:sz="2" w:space="0"/>
              <w:left w:val="single" w:color="auto" w:sz="2" w:space="0"/>
              <w:bottom w:val="single" w:color="auto" w:sz="2" w:space="0"/>
              <w:right w:val="single" w:color="auto" w:sz="2" w:space="0"/>
            </w:tcBorders>
            <w:vAlign w:val="center"/>
          </w:tcPr>
          <w:p w14:paraId="23041312">
            <w:pPr>
              <w:spacing w:line="240" w:lineRule="exact"/>
              <w:rPr>
                <w:rFonts w:ascii="宋体" w:hAnsi="宋体" w:eastAsia="宋体" w:cs="宋体"/>
                <w:sz w:val="18"/>
                <w:szCs w:val="18"/>
              </w:rPr>
            </w:pPr>
            <w:r>
              <w:rPr>
                <w:rFonts w:ascii="宋体" w:hAnsi="宋体" w:eastAsia="宋体" w:cs="宋体"/>
                <w:sz w:val="18"/>
                <w:szCs w:val="18"/>
              </w:rPr>
              <w:t>该案已执行立案，执行标的248,232,832元；公司持有的拉萨啤酒、银河商贸、力创基金、恒生科技、中诚善达的股权被冻结。2022年12月15日，公司收到汶锦贸易出具的债权转让通知，通知汶锦贸易将基于成都仲裁委员会作出的（2018）成仲案字第1227号裁决书项下对上市公司享有的全部未履行债权转让给西藏源耀环保科技有限公司。2023年12月，西藏源耀将上述债权转让给公司控股股东盛邦控股，公司债权人由西藏源耀变更为盛邦控股。</w:t>
            </w:r>
          </w:p>
        </w:tc>
        <w:tc>
          <w:tcPr>
            <w:tcW w:w="1018" w:type="dxa"/>
            <w:tcBorders>
              <w:top w:val="single" w:color="auto" w:sz="2" w:space="0"/>
              <w:left w:val="single" w:color="auto" w:sz="2" w:space="0"/>
              <w:bottom w:val="single" w:color="auto" w:sz="2" w:space="0"/>
              <w:right w:val="single" w:color="auto" w:sz="2" w:space="0"/>
            </w:tcBorders>
            <w:vAlign w:val="center"/>
          </w:tcPr>
          <w:p w14:paraId="6E5C6FA1">
            <w:pPr>
              <w:spacing w:line="240" w:lineRule="exact"/>
              <w:rPr>
                <w:rFonts w:ascii="宋体" w:hAnsi="宋体" w:eastAsia="宋体" w:cs="宋体"/>
                <w:sz w:val="18"/>
                <w:szCs w:val="18"/>
              </w:rPr>
            </w:pPr>
            <w:r>
              <w:rPr>
                <w:rFonts w:ascii="宋体" w:hAnsi="宋体" w:eastAsia="宋体" w:cs="宋体"/>
                <w:sz w:val="18"/>
                <w:szCs w:val="18"/>
              </w:rPr>
              <w:t>进入执行阶段，盛邦控股对其中189,533,432.82元的债权予以豁免；对债权中本金1.5亿元自2023 年7月25日起暂停止计息。</w:t>
            </w:r>
          </w:p>
        </w:tc>
        <w:tc>
          <w:tcPr>
            <w:tcW w:w="589" w:type="dxa"/>
            <w:tcBorders>
              <w:top w:val="single" w:color="auto" w:sz="2" w:space="0"/>
              <w:left w:val="single" w:color="auto" w:sz="2" w:space="0"/>
              <w:bottom w:val="single" w:color="auto" w:sz="2" w:space="0"/>
              <w:right w:val="single" w:color="auto" w:sz="2" w:space="0"/>
            </w:tcBorders>
            <w:vAlign w:val="center"/>
          </w:tcPr>
          <w:p w14:paraId="6B336860">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2E381281">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 xml:space="preserve"> </w:t>
            </w:r>
            <w:r>
              <w:rPr>
                <w:rFonts w:hint="eastAsia" w:ascii="宋体" w:hAnsi="宋体" w:eastAsia="宋体" w:cs="宋体"/>
                <w:sz w:val="16"/>
                <w:szCs w:val="16"/>
              </w:rPr>
              <w:t>（</w:t>
            </w:r>
            <w:r>
              <w:rPr>
                <w:rFonts w:ascii="宋体" w:hAnsi="宋体" w:eastAsia="宋体" w:cs="宋体"/>
                <w:sz w:val="16"/>
                <w:szCs w:val="16"/>
              </w:rPr>
              <w:t xml:space="preserve">www.cnin fo.com.cn）的相关公告：2018年11月16 </w:t>
            </w:r>
            <w:r>
              <w:rPr>
                <w:rFonts w:hint="eastAsia" w:ascii="宋体" w:hAnsi="宋体" w:eastAsia="宋体" w:cs="宋体"/>
                <w:sz w:val="16"/>
                <w:szCs w:val="16"/>
              </w:rPr>
              <w:t>日，公告编号</w:t>
            </w:r>
            <w:r>
              <w:rPr>
                <w:rFonts w:ascii="宋体" w:hAnsi="宋体" w:eastAsia="宋体" w:cs="宋体"/>
                <w:sz w:val="16"/>
                <w:szCs w:val="16"/>
              </w:rPr>
              <w:t>2018-095；2018年11月27日，公告编号2018-099；2018年12月22日，公告编号2018-109；2019年1月18日，公告编号2019-014；2019年2月23日，公告编号2019-021；2019年3月29日，公告编号2019-027；2021年2月1日，公告编号2021-011；2021年4月16日，公告编号2021-031；2022年7月22日，公告编号：2022-078；公告编号：、2022-138；2023年11月9日，公告编号：2023-104。</w:t>
            </w:r>
          </w:p>
        </w:tc>
      </w:tr>
      <w:tr w14:paraId="6D53722E">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5573574F">
            <w:pPr>
              <w:spacing w:line="240" w:lineRule="exact"/>
              <w:rPr>
                <w:rFonts w:ascii="宋体" w:hAnsi="宋体" w:eastAsia="宋体" w:cs="宋体"/>
                <w:sz w:val="18"/>
                <w:szCs w:val="18"/>
              </w:rPr>
            </w:pPr>
            <w:r>
              <w:rPr>
                <w:rFonts w:ascii="宋体" w:hAnsi="宋体" w:eastAsia="宋体" w:cs="宋体"/>
                <w:sz w:val="18"/>
                <w:szCs w:val="18"/>
              </w:rPr>
              <w:t>（2020）新01民初3号：新疆日广通远投资有限公司（以下简称“日广通远”）作为原告，以借款合同纠纷为由，向乌鲁木齐市中级人民法院对西藏发展、银河商贸提起诉讼。原告的主要诉讼请求为：请求判令西藏发展偿还原告借款2,000万元；请求判令西藏发展支付原告逾期利息6,826,666元，并按该利率支付自此后至实际支付之日的利息；请求判令本案律师代理费30万元由西藏发展承担；请求判令银河商贸对上述诉讼请求的债务承担连带担保责任。</w:t>
            </w:r>
          </w:p>
        </w:tc>
        <w:tc>
          <w:tcPr>
            <w:tcW w:w="987" w:type="dxa"/>
            <w:tcBorders>
              <w:top w:val="single" w:color="auto" w:sz="2" w:space="0"/>
              <w:left w:val="single" w:color="auto" w:sz="2" w:space="0"/>
              <w:bottom w:val="single" w:color="auto" w:sz="2" w:space="0"/>
              <w:right w:val="single" w:color="auto" w:sz="2" w:space="0"/>
            </w:tcBorders>
            <w:vAlign w:val="center"/>
          </w:tcPr>
          <w:p w14:paraId="44E95A60">
            <w:pPr>
              <w:spacing w:line="240" w:lineRule="exact"/>
              <w:jc w:val="right"/>
              <w:rPr>
                <w:rFonts w:ascii="宋体" w:hAnsi="宋体" w:eastAsia="宋体" w:cs="宋体"/>
                <w:sz w:val="18"/>
                <w:szCs w:val="18"/>
              </w:rPr>
            </w:pPr>
            <w:r>
              <w:rPr>
                <w:rFonts w:ascii="宋体" w:hAnsi="宋体" w:eastAsia="宋体" w:cs="宋体"/>
                <w:sz w:val="18"/>
                <w:szCs w:val="18"/>
              </w:rPr>
              <w:t>2,000</w:t>
            </w:r>
          </w:p>
        </w:tc>
        <w:tc>
          <w:tcPr>
            <w:tcW w:w="600" w:type="dxa"/>
            <w:tcBorders>
              <w:top w:val="single" w:color="auto" w:sz="2" w:space="0"/>
              <w:left w:val="single" w:color="auto" w:sz="2" w:space="0"/>
              <w:bottom w:val="single" w:color="auto" w:sz="2" w:space="0"/>
              <w:right w:val="single" w:color="auto" w:sz="2" w:space="0"/>
            </w:tcBorders>
            <w:vAlign w:val="center"/>
          </w:tcPr>
          <w:p w14:paraId="473CE533">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0631A495">
            <w:pPr>
              <w:spacing w:line="240" w:lineRule="exact"/>
              <w:rPr>
                <w:rFonts w:ascii="宋体" w:hAnsi="宋体" w:eastAsia="宋体" w:cs="宋体"/>
                <w:sz w:val="18"/>
                <w:szCs w:val="18"/>
              </w:rPr>
            </w:pPr>
            <w:r>
              <w:rPr>
                <w:rFonts w:ascii="宋体" w:hAnsi="宋体" w:eastAsia="宋体" w:cs="宋体"/>
                <w:sz w:val="18"/>
                <w:szCs w:val="18"/>
              </w:rPr>
              <w:t>2022年3月3日，本案被新疆维吾尔自治区乌鲁木齐市中级人民法院执行立案（2022）新01执142号，执行标的为25,595,186元。2022年7月13日，公司收到新疆自治区高级人民法院民事裁定书（（2022）新民申1131号），终审裁定驳回公司的再审申请</w:t>
            </w:r>
          </w:p>
        </w:tc>
        <w:tc>
          <w:tcPr>
            <w:tcW w:w="1565" w:type="dxa"/>
            <w:tcBorders>
              <w:top w:val="single" w:color="auto" w:sz="2" w:space="0"/>
              <w:left w:val="single" w:color="auto" w:sz="2" w:space="0"/>
              <w:bottom w:val="single" w:color="auto" w:sz="2" w:space="0"/>
              <w:right w:val="single" w:color="auto" w:sz="2" w:space="0"/>
            </w:tcBorders>
            <w:vAlign w:val="center"/>
          </w:tcPr>
          <w:p w14:paraId="39838D72">
            <w:pPr>
              <w:spacing w:line="240" w:lineRule="exact"/>
              <w:rPr>
                <w:rFonts w:ascii="宋体" w:hAnsi="宋体" w:eastAsia="宋体" w:cs="宋体"/>
                <w:sz w:val="18"/>
                <w:szCs w:val="18"/>
              </w:rPr>
            </w:pPr>
            <w:r>
              <w:rPr>
                <w:rFonts w:ascii="宋体" w:hAnsi="宋体" w:eastAsia="宋体" w:cs="宋体"/>
                <w:sz w:val="18"/>
                <w:szCs w:val="18"/>
              </w:rPr>
              <w:t>公司于2024年4月18日收到原告的《债务豁免告知书》，告知公司自收到通知起，只需向对方偿还共计20,317,667.94</w:t>
            </w:r>
          </w:p>
          <w:p w14:paraId="06D6136D">
            <w:pPr>
              <w:spacing w:line="240" w:lineRule="exact"/>
              <w:rPr>
                <w:rFonts w:ascii="宋体" w:hAnsi="宋体" w:eastAsia="宋体" w:cs="宋体"/>
                <w:sz w:val="18"/>
                <w:szCs w:val="18"/>
              </w:rPr>
            </w:pPr>
            <w:r>
              <w:rPr>
                <w:rFonts w:ascii="宋体" w:hAnsi="宋体" w:eastAsia="宋体" w:cs="宋体"/>
                <w:sz w:val="18"/>
                <w:szCs w:val="18"/>
              </w:rPr>
              <w:t>元债务，单方面豁免公司在（2020）新 01 民初 3号《民事判决书》项下除本条列明的上述债务以外的其他债务。</w:t>
            </w:r>
          </w:p>
        </w:tc>
        <w:tc>
          <w:tcPr>
            <w:tcW w:w="1018" w:type="dxa"/>
            <w:tcBorders>
              <w:top w:val="single" w:color="auto" w:sz="2" w:space="0"/>
              <w:left w:val="single" w:color="auto" w:sz="2" w:space="0"/>
              <w:bottom w:val="single" w:color="auto" w:sz="2" w:space="0"/>
              <w:right w:val="single" w:color="auto" w:sz="2" w:space="0"/>
            </w:tcBorders>
            <w:vAlign w:val="center"/>
          </w:tcPr>
          <w:p w14:paraId="5DB3FB3C">
            <w:pPr>
              <w:spacing w:line="240" w:lineRule="exact"/>
              <w:rPr>
                <w:rFonts w:ascii="宋体" w:hAnsi="宋体" w:eastAsia="宋体" w:cs="宋体"/>
                <w:sz w:val="18"/>
                <w:szCs w:val="18"/>
              </w:rPr>
            </w:pPr>
            <w:r>
              <w:rPr>
                <w:rFonts w:ascii="宋体" w:hAnsi="宋体" w:eastAsia="宋体" w:cs="宋体"/>
                <w:sz w:val="18"/>
                <w:szCs w:val="18"/>
              </w:rPr>
              <w:t>进入执行阶段</w:t>
            </w:r>
          </w:p>
        </w:tc>
        <w:tc>
          <w:tcPr>
            <w:tcW w:w="589" w:type="dxa"/>
            <w:tcBorders>
              <w:top w:val="single" w:color="auto" w:sz="2" w:space="0"/>
              <w:left w:val="single" w:color="auto" w:sz="2" w:space="0"/>
              <w:bottom w:val="single" w:color="auto" w:sz="2" w:space="0"/>
              <w:right w:val="single" w:color="auto" w:sz="2" w:space="0"/>
            </w:tcBorders>
            <w:vAlign w:val="center"/>
          </w:tcPr>
          <w:p w14:paraId="5CBA274E">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6C82B480">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 xml:space="preserve">www.cnin fo.com.cn）的相关公告：2020年1月15日，公告编号2020-008；2020年3月7日，公告编号2020-030；2020年6月10日，公告编号：2020-070；2020 </w:t>
            </w:r>
            <w:r>
              <w:rPr>
                <w:rFonts w:hint="eastAsia" w:ascii="宋体" w:hAnsi="宋体" w:eastAsia="宋体" w:cs="宋体"/>
                <w:sz w:val="16"/>
                <w:szCs w:val="16"/>
              </w:rPr>
              <w:t>年</w:t>
            </w:r>
            <w:r>
              <w:rPr>
                <w:rFonts w:ascii="宋体" w:hAnsi="宋体" w:eastAsia="宋体" w:cs="宋体"/>
                <w:sz w:val="16"/>
                <w:szCs w:val="16"/>
              </w:rPr>
              <w:t>7月18日，公告编号：2020-090；2020年11月13日，公告编号：2020-115；2020年11月21日，公告编号：2020-117；2021年1月4日，公告编号：2021-001；2021年8月6日，公告编号：2021-084；2021年9月9日，公告编号：2021-100；2021年10月11日，公告编号：2021-107号；2022年3月8日，公告编号：2022-024号；2022年4月22；公告编号：2022-033；2022年4月22；公告编号：2022-035；2022年6月2日，公告编号：2022-058；2022年7月14日，公告编号：2022-075；2022年4月20日，公告编号：2024-049。</w:t>
            </w:r>
          </w:p>
        </w:tc>
      </w:tr>
      <w:tr w14:paraId="37309A54">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35504D44">
            <w:pPr>
              <w:spacing w:line="240" w:lineRule="exact"/>
              <w:rPr>
                <w:rFonts w:ascii="宋体" w:hAnsi="宋体" w:eastAsia="宋体" w:cs="宋体"/>
                <w:sz w:val="18"/>
                <w:szCs w:val="18"/>
              </w:rPr>
            </w:pPr>
            <w:r>
              <w:rPr>
                <w:rFonts w:ascii="宋体" w:hAnsi="宋体" w:eastAsia="宋体" w:cs="宋体"/>
                <w:sz w:val="18"/>
                <w:szCs w:val="18"/>
              </w:rPr>
              <w:t>（2019）川0112民初6523号：日照晟辉汽车销售服务有限公司（以下简称“日照晟辉”）作为原告，以票据追索权纠纷为由，向成都市龙泉驿区人民法院对西藏发展、江西喜成贸易有限公司、山能国际能源投资股份有限公司提起诉讼。原告主要诉讼请求为：请求判令西藏发展支付原告200万元人民币及利息（利息以200万元为基数，按照中国人民银行同期贷款利率计算，自2019年6月27日起算至给付完毕日止）；请求判令被告江西喜成贸易有限公司、山能国际能源投资股份有限公司承担连带责任。</w:t>
            </w:r>
          </w:p>
        </w:tc>
        <w:tc>
          <w:tcPr>
            <w:tcW w:w="987" w:type="dxa"/>
            <w:tcBorders>
              <w:top w:val="single" w:color="auto" w:sz="2" w:space="0"/>
              <w:left w:val="single" w:color="auto" w:sz="2" w:space="0"/>
              <w:bottom w:val="single" w:color="auto" w:sz="2" w:space="0"/>
              <w:right w:val="single" w:color="auto" w:sz="2" w:space="0"/>
            </w:tcBorders>
            <w:vAlign w:val="center"/>
          </w:tcPr>
          <w:p w14:paraId="64B0FB99">
            <w:pPr>
              <w:spacing w:line="240" w:lineRule="exact"/>
              <w:jc w:val="right"/>
              <w:rPr>
                <w:rFonts w:ascii="宋体" w:hAnsi="宋体" w:eastAsia="宋体" w:cs="宋体"/>
                <w:sz w:val="18"/>
                <w:szCs w:val="18"/>
              </w:rPr>
            </w:pPr>
            <w:r>
              <w:rPr>
                <w:rFonts w:ascii="宋体" w:hAnsi="宋体" w:eastAsia="宋体" w:cs="宋体"/>
                <w:sz w:val="18"/>
                <w:szCs w:val="18"/>
              </w:rPr>
              <w:t>200</w:t>
            </w:r>
          </w:p>
        </w:tc>
        <w:tc>
          <w:tcPr>
            <w:tcW w:w="600" w:type="dxa"/>
            <w:tcBorders>
              <w:top w:val="single" w:color="auto" w:sz="2" w:space="0"/>
              <w:left w:val="single" w:color="auto" w:sz="2" w:space="0"/>
              <w:bottom w:val="single" w:color="auto" w:sz="2" w:space="0"/>
              <w:right w:val="single" w:color="auto" w:sz="2" w:space="0"/>
            </w:tcBorders>
            <w:vAlign w:val="center"/>
          </w:tcPr>
          <w:p w14:paraId="74B10AE0">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46FB1B9A">
            <w:pPr>
              <w:spacing w:line="240" w:lineRule="exact"/>
              <w:rPr>
                <w:rFonts w:ascii="宋体" w:hAnsi="宋体" w:eastAsia="宋体" w:cs="宋体"/>
                <w:sz w:val="18"/>
                <w:szCs w:val="18"/>
              </w:rPr>
            </w:pPr>
            <w:r>
              <w:rPr>
                <w:rFonts w:ascii="宋体" w:hAnsi="宋体" w:eastAsia="宋体" w:cs="宋体"/>
                <w:sz w:val="18"/>
                <w:szCs w:val="18"/>
              </w:rPr>
              <w:t>2023年7月18日，公司收到日照晟辉、达州百益出具的《债权转让通知书》， 日照晟辉将基于成都市中级人民法院作出的（2022）川01民终9375号判决书项下对上市公司享有的全部未履行债权转让给达州百益。达州百益向拉萨中院提起了预重整申请。</w:t>
            </w:r>
          </w:p>
        </w:tc>
        <w:tc>
          <w:tcPr>
            <w:tcW w:w="1565" w:type="dxa"/>
            <w:tcBorders>
              <w:top w:val="single" w:color="auto" w:sz="2" w:space="0"/>
              <w:left w:val="single" w:color="auto" w:sz="2" w:space="0"/>
              <w:bottom w:val="single" w:color="auto" w:sz="2" w:space="0"/>
              <w:right w:val="single" w:color="auto" w:sz="2" w:space="0"/>
            </w:tcBorders>
            <w:vAlign w:val="center"/>
          </w:tcPr>
          <w:p w14:paraId="2A5EAFE6">
            <w:pPr>
              <w:spacing w:line="240" w:lineRule="exact"/>
              <w:rPr>
                <w:rFonts w:ascii="宋体" w:hAnsi="宋体" w:eastAsia="宋体" w:cs="宋体"/>
                <w:sz w:val="18"/>
                <w:szCs w:val="18"/>
              </w:rPr>
            </w:pPr>
            <w:r>
              <w:rPr>
                <w:rFonts w:ascii="宋体" w:hAnsi="宋体" w:eastAsia="宋体" w:cs="宋体"/>
                <w:sz w:val="18"/>
                <w:szCs w:val="18"/>
              </w:rPr>
              <w:t>2022年10月，成都中院驳回反诉请求，本判决为终审判决。2023年7月29日，日照晟辉向法院申请撤回执行，法院裁定终结（2023）川0112执3503号案件的执行。</w:t>
            </w:r>
          </w:p>
        </w:tc>
        <w:tc>
          <w:tcPr>
            <w:tcW w:w="1018" w:type="dxa"/>
            <w:tcBorders>
              <w:top w:val="single" w:color="auto" w:sz="2" w:space="0"/>
              <w:left w:val="single" w:color="auto" w:sz="2" w:space="0"/>
              <w:bottom w:val="single" w:color="auto" w:sz="2" w:space="0"/>
              <w:right w:val="single" w:color="auto" w:sz="2" w:space="0"/>
            </w:tcBorders>
            <w:vAlign w:val="center"/>
          </w:tcPr>
          <w:p w14:paraId="0D8ED2F0">
            <w:pPr>
              <w:spacing w:line="240" w:lineRule="exact"/>
              <w:rPr>
                <w:rFonts w:ascii="宋体" w:hAnsi="宋体" w:eastAsia="宋体" w:cs="宋体"/>
                <w:sz w:val="18"/>
                <w:szCs w:val="18"/>
              </w:rPr>
            </w:pPr>
            <w:r>
              <w:rPr>
                <w:rFonts w:ascii="宋体" w:hAnsi="宋体" w:eastAsia="宋体" w:cs="宋体"/>
                <w:sz w:val="18"/>
                <w:szCs w:val="18"/>
              </w:rPr>
              <w:t>2023年7月，达州百益以公司不能清偿到期债务为由向拉萨中院提起了预重整申请，拉萨中院已决定对公司进行预重整。</w:t>
            </w:r>
          </w:p>
        </w:tc>
        <w:tc>
          <w:tcPr>
            <w:tcW w:w="589" w:type="dxa"/>
            <w:tcBorders>
              <w:top w:val="single" w:color="auto" w:sz="2" w:space="0"/>
              <w:left w:val="single" w:color="auto" w:sz="2" w:space="0"/>
              <w:bottom w:val="single" w:color="auto" w:sz="2" w:space="0"/>
              <w:right w:val="single" w:color="auto" w:sz="2" w:space="0"/>
            </w:tcBorders>
            <w:vAlign w:val="center"/>
          </w:tcPr>
          <w:p w14:paraId="3B3F067F">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7BE910A6">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www.cninfo.com.cn）的相关公告：2019年11月9日，公告编号：2019-131；2019年12月10日，公告编号2019-141；2020年6月4日，公告编号：2020-067；2020年6月11日，公告编号：2020-078； 2020年7月14日，公告编号：2020-086；2021年4月8日，公告编号：2021-025；2021年4月9</w:t>
            </w:r>
            <w:r>
              <w:rPr>
                <w:rFonts w:hint="eastAsia" w:ascii="宋体" w:hAnsi="宋体" w:eastAsia="宋体" w:cs="宋体"/>
                <w:sz w:val="16"/>
                <w:szCs w:val="16"/>
              </w:rPr>
              <w:t>日，公告编号：</w:t>
            </w:r>
            <w:r>
              <w:rPr>
                <w:rFonts w:ascii="宋体" w:hAnsi="宋体" w:eastAsia="宋体" w:cs="宋体"/>
                <w:sz w:val="16"/>
                <w:szCs w:val="16"/>
              </w:rPr>
              <w:t>2021-026；2021年11月9日，公告编号：2021-123；2022年1月6日，公告编号：2022-003；2022年1月13日，公告编号：2022-006；2022年2月14日，公告编号：2022-017；2022年5月25日，公告编号：2022-056；2022年7月15日，公告编号：2022年-075号；2022年10月14日，公告编号：2022-112；2023年7月29日，公告编号：2023-068。</w:t>
            </w:r>
          </w:p>
        </w:tc>
      </w:tr>
      <w:tr w14:paraId="07D34843">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41A97C6C">
            <w:pPr>
              <w:spacing w:line="240" w:lineRule="exact"/>
              <w:rPr>
                <w:rFonts w:ascii="宋体" w:hAnsi="宋体" w:eastAsia="宋体" w:cs="宋体"/>
                <w:sz w:val="18"/>
                <w:szCs w:val="18"/>
              </w:rPr>
            </w:pPr>
            <w:r>
              <w:rPr>
                <w:rFonts w:hint="eastAsia" w:ascii="宋体" w:hAnsi="宋体" w:eastAsia="宋体" w:cs="宋体"/>
                <w:sz w:val="18"/>
                <w:szCs w:val="18"/>
                <w:highlight w:val="none"/>
              </w:rPr>
              <w:t>（</w:t>
            </w:r>
            <w:r>
              <w:rPr>
                <w:rFonts w:ascii="宋体" w:hAnsi="宋体" w:eastAsia="宋体" w:cs="宋体"/>
                <w:sz w:val="18"/>
                <w:szCs w:val="18"/>
                <w:highlight w:val="none"/>
              </w:rPr>
              <w:t>2018）浙0103民初4168号案件：浙江至中实业有限公司（以下简称“至中实业”）作为原告，以借款合同纠纷为由，向杭州下城区人民法院对西藏发展、</w:t>
            </w:r>
            <w:r>
              <w:rPr>
                <w:rFonts w:hint="eastAsia" w:ascii="宋体" w:hAnsi="宋体" w:eastAsia="宋体" w:cs="宋体"/>
                <w:sz w:val="18"/>
                <w:szCs w:val="18"/>
                <w:highlight w:val="none"/>
              </w:rPr>
              <w:t>天易隆兴及王承波提起诉讼。至中实业主要诉讼请求为：请求判令三被告归还借款本金</w:t>
            </w:r>
            <w:r>
              <w:rPr>
                <w:rFonts w:ascii="宋体" w:hAnsi="宋体" w:eastAsia="宋体" w:cs="宋体"/>
                <w:sz w:val="18"/>
                <w:szCs w:val="18"/>
                <w:highlight w:val="none"/>
              </w:rPr>
              <w:t>2800万元及利息28万元（利息</w:t>
            </w:r>
            <w:r>
              <w:rPr>
                <w:rFonts w:hint="eastAsia" w:ascii="宋体" w:hAnsi="宋体" w:eastAsia="宋体" w:cs="宋体"/>
                <w:sz w:val="18"/>
                <w:szCs w:val="18"/>
                <w:highlight w:val="none"/>
              </w:rPr>
              <w:t>暂计算至起诉之日</w:t>
            </w:r>
            <w:r>
              <w:rPr>
                <w:rFonts w:ascii="宋体" w:hAnsi="宋体" w:eastAsia="宋体" w:cs="宋体"/>
                <w:sz w:val="18"/>
                <w:szCs w:val="18"/>
                <w:highlight w:val="none"/>
              </w:rPr>
              <w:t>2018年6月22日，最终利息金额应计算至被告付清所有借款本息之日）及律师费50万元；请求判令本案诉讼费由被告承担。公司于2018年11月27日收到杭州下城区人民法院送达的《变更诉讼请求申请书》，原告请求判令三被告偿还其本金2512.27万元及</w:t>
            </w:r>
            <w:r>
              <w:rPr>
                <w:rFonts w:hint="eastAsia" w:ascii="宋体" w:hAnsi="宋体" w:eastAsia="宋体" w:cs="宋体"/>
                <w:sz w:val="18"/>
                <w:szCs w:val="18"/>
                <w:highlight w:val="none"/>
              </w:rPr>
              <w:t>孳息、律师费</w:t>
            </w:r>
            <w:r>
              <w:rPr>
                <w:rFonts w:ascii="宋体" w:hAnsi="宋体" w:eastAsia="宋体" w:cs="宋体"/>
                <w:sz w:val="18"/>
                <w:szCs w:val="18"/>
                <w:highlight w:val="none"/>
              </w:rPr>
              <w:t>20万元。2020年1月7日，公司取得原告至中实业变更诉讼请求申请书等，原告至中实业申请将律师费变更为32万元，其余诉讼请求不变。</w:t>
            </w:r>
          </w:p>
        </w:tc>
        <w:tc>
          <w:tcPr>
            <w:tcW w:w="987" w:type="dxa"/>
            <w:tcBorders>
              <w:top w:val="single" w:color="auto" w:sz="2" w:space="0"/>
              <w:left w:val="single" w:color="auto" w:sz="2" w:space="0"/>
              <w:bottom w:val="single" w:color="auto" w:sz="2" w:space="0"/>
              <w:right w:val="single" w:color="auto" w:sz="2" w:space="0"/>
            </w:tcBorders>
            <w:vAlign w:val="center"/>
          </w:tcPr>
          <w:p w14:paraId="5074F785">
            <w:pPr>
              <w:spacing w:line="240" w:lineRule="exact"/>
              <w:jc w:val="right"/>
              <w:rPr>
                <w:rFonts w:ascii="宋体" w:hAnsi="宋体" w:eastAsia="宋体" w:cs="宋体"/>
                <w:sz w:val="18"/>
                <w:szCs w:val="18"/>
              </w:rPr>
            </w:pPr>
            <w:r>
              <w:rPr>
                <w:rFonts w:ascii="宋体" w:hAnsi="宋体" w:eastAsia="宋体" w:cs="宋体"/>
                <w:sz w:val="18"/>
                <w:szCs w:val="18"/>
                <w:highlight w:val="none"/>
              </w:rPr>
              <w:t>2,512.27</w:t>
            </w:r>
          </w:p>
        </w:tc>
        <w:tc>
          <w:tcPr>
            <w:tcW w:w="600" w:type="dxa"/>
            <w:tcBorders>
              <w:top w:val="single" w:color="auto" w:sz="2" w:space="0"/>
              <w:left w:val="single" w:color="auto" w:sz="2" w:space="0"/>
              <w:bottom w:val="single" w:color="auto" w:sz="2" w:space="0"/>
              <w:right w:val="single" w:color="auto" w:sz="2" w:space="0"/>
            </w:tcBorders>
            <w:vAlign w:val="center"/>
          </w:tcPr>
          <w:p w14:paraId="633E249D">
            <w:pPr>
              <w:spacing w:line="240" w:lineRule="exact"/>
              <w:rPr>
                <w:rFonts w:ascii="宋体" w:hAnsi="宋体" w:eastAsia="宋体" w:cs="宋体"/>
                <w:sz w:val="18"/>
                <w:szCs w:val="18"/>
              </w:rPr>
            </w:pPr>
            <w:r>
              <w:rPr>
                <w:rFonts w:hint="eastAsia" w:ascii="宋体" w:hAnsi="宋体" w:eastAsia="宋体" w:cs="宋体"/>
                <w:sz w:val="18"/>
                <w:szCs w:val="18"/>
                <w:highlight w:val="none"/>
              </w:rPr>
              <w:t>是</w:t>
            </w:r>
          </w:p>
        </w:tc>
        <w:tc>
          <w:tcPr>
            <w:tcW w:w="1660" w:type="dxa"/>
            <w:tcBorders>
              <w:top w:val="single" w:color="auto" w:sz="2" w:space="0"/>
              <w:left w:val="single" w:color="auto" w:sz="2" w:space="0"/>
              <w:bottom w:val="single" w:color="auto" w:sz="2" w:space="0"/>
              <w:right w:val="single" w:color="auto" w:sz="2" w:space="0"/>
            </w:tcBorders>
            <w:vAlign w:val="center"/>
          </w:tcPr>
          <w:p w14:paraId="328698B4">
            <w:pPr>
              <w:spacing w:line="240" w:lineRule="exact"/>
              <w:rPr>
                <w:rFonts w:ascii="宋体" w:hAnsi="宋体" w:eastAsia="宋体" w:cs="宋体"/>
                <w:sz w:val="18"/>
                <w:szCs w:val="18"/>
              </w:rPr>
            </w:pPr>
            <w:r>
              <w:rPr>
                <w:rFonts w:ascii="宋体" w:hAnsi="宋体" w:eastAsia="宋体" w:cs="宋体"/>
                <w:sz w:val="18"/>
                <w:szCs w:val="18"/>
                <w:highlight w:val="none"/>
              </w:rPr>
              <w:t xml:space="preserve">2021年8月5日，公司 </w:t>
            </w:r>
            <w:r>
              <w:rPr>
                <w:rFonts w:hint="eastAsia" w:ascii="宋体" w:hAnsi="宋体" w:eastAsia="宋体" w:cs="宋体"/>
                <w:sz w:val="18"/>
                <w:szCs w:val="18"/>
                <w:highlight w:val="none"/>
              </w:rPr>
              <w:t>收到浙江省</w:t>
            </w:r>
            <w:r>
              <w:rPr>
                <w:rFonts w:ascii="宋体" w:hAnsi="宋体" w:eastAsia="宋体" w:cs="宋体"/>
                <w:sz w:val="18"/>
                <w:szCs w:val="18"/>
                <w:highlight w:val="none"/>
              </w:rPr>
              <w:t xml:space="preserve"> </w:t>
            </w:r>
            <w:r>
              <w:rPr>
                <w:rFonts w:hint="eastAsia" w:ascii="宋体" w:hAnsi="宋体" w:eastAsia="宋体" w:cs="宋体"/>
                <w:sz w:val="18"/>
                <w:szCs w:val="18"/>
                <w:highlight w:val="none"/>
              </w:rPr>
              <w:t>高级人民法院民事裁定书（（</w:t>
            </w:r>
            <w:r>
              <w:rPr>
                <w:rFonts w:ascii="宋体" w:hAnsi="宋体" w:eastAsia="宋体" w:cs="宋体"/>
                <w:sz w:val="18"/>
                <w:szCs w:val="18"/>
                <w:highlight w:val="none"/>
              </w:rPr>
              <w:t>2021）</w:t>
            </w:r>
            <w:r>
              <w:rPr>
                <w:rFonts w:hint="eastAsia" w:ascii="宋体" w:hAnsi="宋体" w:eastAsia="宋体" w:cs="宋体"/>
                <w:sz w:val="18"/>
                <w:szCs w:val="18"/>
                <w:highlight w:val="none"/>
              </w:rPr>
              <w:t>浙民申</w:t>
            </w:r>
            <w:r>
              <w:rPr>
                <w:rFonts w:ascii="宋体" w:hAnsi="宋体" w:eastAsia="宋体" w:cs="宋体"/>
                <w:sz w:val="18"/>
                <w:szCs w:val="18"/>
                <w:highlight w:val="none"/>
              </w:rPr>
              <w:t>1636号），法院裁定驳回至中实业的再审申请。</w:t>
            </w:r>
          </w:p>
        </w:tc>
        <w:tc>
          <w:tcPr>
            <w:tcW w:w="1565" w:type="dxa"/>
            <w:tcBorders>
              <w:top w:val="single" w:color="auto" w:sz="2" w:space="0"/>
              <w:left w:val="single" w:color="auto" w:sz="2" w:space="0"/>
              <w:bottom w:val="single" w:color="auto" w:sz="2" w:space="0"/>
              <w:right w:val="single" w:color="auto" w:sz="2" w:space="0"/>
            </w:tcBorders>
            <w:vAlign w:val="center"/>
          </w:tcPr>
          <w:p w14:paraId="73EBD72C">
            <w:pPr>
              <w:spacing w:line="240" w:lineRule="exact"/>
              <w:rPr>
                <w:rFonts w:ascii="宋体" w:hAnsi="宋体" w:eastAsia="宋体" w:cs="宋体"/>
                <w:sz w:val="18"/>
                <w:szCs w:val="18"/>
              </w:rPr>
            </w:pPr>
            <w:r>
              <w:rPr>
                <w:rFonts w:hint="eastAsia" w:ascii="宋体" w:hAnsi="宋体" w:eastAsia="宋体" w:cs="宋体"/>
                <w:sz w:val="18"/>
                <w:szCs w:val="18"/>
                <w:highlight w:val="none"/>
              </w:rPr>
              <w:t>法院终审裁定驳回原告的起诉；原告再审申请被法院裁定驳回。</w:t>
            </w:r>
          </w:p>
        </w:tc>
        <w:tc>
          <w:tcPr>
            <w:tcW w:w="1018" w:type="dxa"/>
            <w:tcBorders>
              <w:top w:val="single" w:color="auto" w:sz="2" w:space="0"/>
              <w:left w:val="single" w:color="auto" w:sz="2" w:space="0"/>
              <w:bottom w:val="single" w:color="auto" w:sz="2" w:space="0"/>
              <w:right w:val="single" w:color="auto" w:sz="2" w:space="0"/>
            </w:tcBorders>
            <w:vAlign w:val="center"/>
          </w:tcPr>
          <w:p w14:paraId="6D9625B6">
            <w:pPr>
              <w:spacing w:line="240" w:lineRule="exact"/>
              <w:rPr>
                <w:rFonts w:ascii="宋体" w:hAnsi="宋体" w:eastAsia="宋体" w:cs="宋体"/>
                <w:sz w:val="18"/>
                <w:szCs w:val="18"/>
              </w:rPr>
            </w:pPr>
            <w:r>
              <w:rPr>
                <w:rFonts w:hint="eastAsia" w:ascii="宋体" w:hAnsi="宋体" w:eastAsia="宋体" w:cs="宋体"/>
                <w:sz w:val="18"/>
                <w:szCs w:val="18"/>
                <w:highlight w:val="none"/>
              </w:rPr>
              <w:t>暂不涉及</w:t>
            </w:r>
          </w:p>
        </w:tc>
        <w:tc>
          <w:tcPr>
            <w:tcW w:w="589" w:type="dxa"/>
            <w:tcBorders>
              <w:top w:val="single" w:color="auto" w:sz="2" w:space="0"/>
              <w:left w:val="single" w:color="auto" w:sz="2" w:space="0"/>
              <w:bottom w:val="single" w:color="auto" w:sz="2" w:space="0"/>
              <w:right w:val="single" w:color="auto" w:sz="2" w:space="0"/>
            </w:tcBorders>
            <w:vAlign w:val="center"/>
          </w:tcPr>
          <w:p w14:paraId="65082423">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7D83EA85">
            <w:pPr>
              <w:spacing w:line="240" w:lineRule="exact"/>
              <w:rPr>
                <w:rFonts w:hint="eastAsia" w:ascii="宋体" w:hAnsi="宋体" w:eastAsia="宋体" w:cs="宋体"/>
                <w:sz w:val="16"/>
                <w:szCs w:val="16"/>
              </w:rPr>
            </w:pPr>
            <w:r>
              <w:rPr>
                <w:rFonts w:hint="eastAsia" w:ascii="宋体" w:hAnsi="宋体" w:eastAsia="宋体" w:cs="宋体"/>
                <w:sz w:val="16"/>
                <w:szCs w:val="16"/>
                <w:highlight w:val="none"/>
              </w:rPr>
              <w:t>详细情况请见刊登于巨潮资讯网（</w:t>
            </w:r>
            <w:r>
              <w:rPr>
                <w:rFonts w:ascii="宋体" w:hAnsi="宋体" w:eastAsia="宋体" w:cs="宋体"/>
                <w:sz w:val="16"/>
                <w:szCs w:val="16"/>
                <w:highlight w:val="none"/>
              </w:rPr>
              <w:t>www.cninfo.com.cn）的相关公告：2018年9月26日，公告编号2018-073；2018年11月23日，公告编号2018-098；2018年11月29日，公告编号2018-100；2018年12月19日，公告编号2018-108；2019年5月24日，公告编号2019—063；2019年6月6日，公告编号2019-068；2019年11月13日，公告编号2019-134；2020年1月9日，公告编号2020-004；2020年4月1日，公告编号：2020-034；2020年4月18日，公告编号2020-042；2020年7月14日，公告编号2020-087；2020年12月23日，公告编号：2020-125；2021年1月4日，公告编号2021-001；2021年2月18日，公告编号2021-015；2021年6月23日，公告编号：2021-076；2021年8月6日，公告编号：2021-084。</w:t>
            </w:r>
          </w:p>
        </w:tc>
      </w:tr>
      <w:tr w14:paraId="64143354">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5FE4E837">
            <w:pPr>
              <w:spacing w:line="240" w:lineRule="exact"/>
              <w:rPr>
                <w:rFonts w:ascii="宋体" w:hAnsi="宋体" w:eastAsia="宋体" w:cs="宋体"/>
                <w:sz w:val="18"/>
                <w:szCs w:val="18"/>
              </w:rPr>
            </w:pPr>
            <w:r>
              <w:rPr>
                <w:rFonts w:hint="eastAsia" w:ascii="宋体" w:hAnsi="宋体" w:eastAsia="宋体" w:cs="宋体"/>
                <w:sz w:val="18"/>
                <w:szCs w:val="18"/>
                <w:highlight w:val="none"/>
              </w:rPr>
              <w:t>（2018）川01民初3724号案件：冠中国际商业保理有限公司（以下简称“冠中国际”）作为原告，以票据付款请求权纠纷为由，向四川省成都市中级人民法院对西藏发展及其子公司西藏银河商贸有限公司、仕远置商贸提起诉讼。冠中国际主要诉讼请求为：请求判令三被告支付票据金额3000万元；请求判令三被告支付以3000万元为基数，以同期中国人民银行公布的一年期贷款基准利率计算，自2018年9月19日至上述款项支付给原告之日的违约金；请求判令三被告承担本案诉讼费、保全费、 律师费等费用。</w:t>
            </w:r>
          </w:p>
        </w:tc>
        <w:tc>
          <w:tcPr>
            <w:tcW w:w="987" w:type="dxa"/>
            <w:tcBorders>
              <w:top w:val="single" w:color="auto" w:sz="2" w:space="0"/>
              <w:left w:val="single" w:color="auto" w:sz="2" w:space="0"/>
              <w:bottom w:val="single" w:color="auto" w:sz="2" w:space="0"/>
              <w:right w:val="single" w:color="auto" w:sz="2" w:space="0"/>
            </w:tcBorders>
            <w:vAlign w:val="center"/>
          </w:tcPr>
          <w:p w14:paraId="6F6E64B7">
            <w:pPr>
              <w:spacing w:line="240" w:lineRule="exact"/>
              <w:jc w:val="right"/>
              <w:rPr>
                <w:rFonts w:ascii="宋体" w:hAnsi="宋体" w:eastAsia="宋体" w:cs="宋体"/>
                <w:sz w:val="18"/>
                <w:szCs w:val="18"/>
              </w:rPr>
            </w:pPr>
            <w:r>
              <w:rPr>
                <w:rFonts w:ascii="宋体" w:hAnsi="宋体" w:eastAsia="宋体" w:cs="宋体"/>
                <w:sz w:val="18"/>
                <w:szCs w:val="18"/>
                <w:highlight w:val="none"/>
              </w:rPr>
              <w:t>3,000</w:t>
            </w:r>
          </w:p>
        </w:tc>
        <w:tc>
          <w:tcPr>
            <w:tcW w:w="600" w:type="dxa"/>
            <w:tcBorders>
              <w:top w:val="single" w:color="auto" w:sz="2" w:space="0"/>
              <w:left w:val="single" w:color="auto" w:sz="2" w:space="0"/>
              <w:bottom w:val="single" w:color="auto" w:sz="2" w:space="0"/>
              <w:right w:val="single" w:color="auto" w:sz="2" w:space="0"/>
            </w:tcBorders>
            <w:vAlign w:val="center"/>
          </w:tcPr>
          <w:p w14:paraId="3D7E4491">
            <w:pPr>
              <w:spacing w:line="240" w:lineRule="exact"/>
              <w:rPr>
                <w:rFonts w:ascii="宋体" w:hAnsi="宋体" w:eastAsia="宋体" w:cs="宋体"/>
                <w:sz w:val="18"/>
                <w:szCs w:val="18"/>
              </w:rPr>
            </w:pPr>
            <w:r>
              <w:rPr>
                <w:rFonts w:hint="eastAsia" w:ascii="宋体" w:hAnsi="宋体" w:eastAsia="宋体" w:cs="宋体"/>
                <w:sz w:val="18"/>
                <w:szCs w:val="18"/>
                <w:highlight w:val="none"/>
                <w:lang w:val="en-US" w:eastAsia="zh-CN"/>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38285466">
            <w:pPr>
              <w:spacing w:line="240" w:lineRule="exact"/>
              <w:rPr>
                <w:rFonts w:ascii="宋体" w:hAnsi="宋体" w:eastAsia="宋体" w:cs="宋体"/>
                <w:sz w:val="18"/>
                <w:szCs w:val="18"/>
              </w:rPr>
            </w:pPr>
            <w:r>
              <w:rPr>
                <w:rFonts w:ascii="宋体" w:hAnsi="宋体" w:eastAsia="宋体" w:cs="宋体"/>
                <w:sz w:val="18"/>
                <w:szCs w:val="18"/>
                <w:highlight w:val="none"/>
              </w:rPr>
              <w:t>公司于2019年5月9日取得四川省成都市中级人民法院对本案的民事裁定书， 裁定驳回原告冠中国际的起诉。</w:t>
            </w:r>
          </w:p>
        </w:tc>
        <w:tc>
          <w:tcPr>
            <w:tcW w:w="1565" w:type="dxa"/>
            <w:tcBorders>
              <w:top w:val="single" w:color="auto" w:sz="2" w:space="0"/>
              <w:left w:val="single" w:color="auto" w:sz="2" w:space="0"/>
              <w:bottom w:val="single" w:color="auto" w:sz="2" w:space="0"/>
              <w:right w:val="single" w:color="auto" w:sz="2" w:space="0"/>
            </w:tcBorders>
            <w:vAlign w:val="center"/>
          </w:tcPr>
          <w:p w14:paraId="2753EA7F">
            <w:pPr>
              <w:spacing w:line="240" w:lineRule="exact"/>
              <w:rPr>
                <w:rFonts w:ascii="宋体" w:hAnsi="宋体" w:eastAsia="宋体" w:cs="宋体"/>
                <w:sz w:val="18"/>
                <w:szCs w:val="18"/>
              </w:rPr>
            </w:pPr>
            <w:r>
              <w:rPr>
                <w:rFonts w:hint="eastAsia" w:ascii="宋体" w:hAnsi="宋体" w:eastAsia="宋体" w:cs="宋体"/>
                <w:sz w:val="18"/>
                <w:szCs w:val="18"/>
                <w:highlight w:val="none"/>
              </w:rPr>
              <w:t>法院裁定驳回原告的起诉</w:t>
            </w:r>
          </w:p>
        </w:tc>
        <w:tc>
          <w:tcPr>
            <w:tcW w:w="1018" w:type="dxa"/>
            <w:tcBorders>
              <w:top w:val="single" w:color="auto" w:sz="2" w:space="0"/>
              <w:left w:val="single" w:color="auto" w:sz="2" w:space="0"/>
              <w:bottom w:val="single" w:color="auto" w:sz="2" w:space="0"/>
              <w:right w:val="single" w:color="auto" w:sz="2" w:space="0"/>
            </w:tcBorders>
            <w:vAlign w:val="center"/>
          </w:tcPr>
          <w:p w14:paraId="7A3C469B">
            <w:pPr>
              <w:spacing w:line="240" w:lineRule="exact"/>
              <w:rPr>
                <w:rFonts w:ascii="宋体" w:hAnsi="宋体" w:eastAsia="宋体" w:cs="宋体"/>
                <w:sz w:val="18"/>
                <w:szCs w:val="18"/>
              </w:rPr>
            </w:pPr>
            <w:r>
              <w:rPr>
                <w:rFonts w:hint="eastAsia" w:ascii="宋体" w:hAnsi="宋体" w:eastAsia="宋体" w:cs="宋体"/>
                <w:sz w:val="18"/>
                <w:szCs w:val="18"/>
                <w:highlight w:val="none"/>
              </w:rPr>
              <w:t>暂不涉及</w:t>
            </w:r>
          </w:p>
        </w:tc>
        <w:tc>
          <w:tcPr>
            <w:tcW w:w="589" w:type="dxa"/>
            <w:tcBorders>
              <w:top w:val="single" w:color="auto" w:sz="2" w:space="0"/>
              <w:left w:val="single" w:color="auto" w:sz="2" w:space="0"/>
              <w:bottom w:val="single" w:color="auto" w:sz="2" w:space="0"/>
              <w:right w:val="single" w:color="auto" w:sz="2" w:space="0"/>
            </w:tcBorders>
            <w:vAlign w:val="center"/>
          </w:tcPr>
          <w:p w14:paraId="1CF19639">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2D10D194">
            <w:pPr>
              <w:spacing w:line="240" w:lineRule="exact"/>
              <w:rPr>
                <w:rFonts w:hint="eastAsia" w:ascii="宋体" w:hAnsi="宋体" w:eastAsia="宋体" w:cs="宋体"/>
                <w:sz w:val="16"/>
                <w:szCs w:val="16"/>
              </w:rPr>
            </w:pPr>
            <w:r>
              <w:rPr>
                <w:rFonts w:hint="eastAsia" w:ascii="宋体" w:hAnsi="宋体" w:eastAsia="宋体" w:cs="宋体"/>
                <w:sz w:val="16"/>
                <w:szCs w:val="16"/>
                <w:highlight w:val="none"/>
              </w:rPr>
              <w:t>详细情况请 见刊登于巨 潮资讯网 （www.cninf o.com.cn）的相关公告：2018年10月24日，公告编号 2018-083；2018年11月29日，公告编号 2018-100； 2018年12月 22日，公告 编号 2018-109；2019年1月5 日，公告编号 2019-007； 2019年1月 12日，公告 编号 2019-010； 2019年2月2 日，公告编号 2019-018； 2019年5月 10日，公告编号 2019-057</w:t>
            </w:r>
          </w:p>
        </w:tc>
      </w:tr>
      <w:tr w14:paraId="1872A587">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5E9D6341">
            <w:pPr>
              <w:spacing w:line="240" w:lineRule="exact"/>
              <w:rPr>
                <w:rFonts w:ascii="宋体" w:hAnsi="宋体" w:eastAsia="宋体" w:cs="宋体"/>
                <w:sz w:val="18"/>
                <w:szCs w:val="18"/>
              </w:rPr>
            </w:pPr>
            <w:r>
              <w:rPr>
                <w:rFonts w:ascii="宋体" w:hAnsi="宋体" w:eastAsia="宋体" w:cs="宋体"/>
                <w:sz w:val="18"/>
                <w:szCs w:val="18"/>
              </w:rPr>
              <w:t>（2021）川0107民初3251号：深圳瞬赐商业保理有限公司作为原告，以票据追索权纠纷为由，向成都市武侯区人民法院对成都仕远置商贸有限责任公司（被告一）、西藏发展（被告二）提起诉讼，原告诉讼请求：请求判令被告一向原告支付电子商业承兑汇票票据款人民币320万元及逾期利息；被告一向原告支付电子商业承兑汇票票据款人民币500万元及逾期利息；请求判令被告二对被告一的上述债务承担连带责任；由两被告承担本案诉讼费、保全费等全部费用。</w:t>
            </w:r>
          </w:p>
        </w:tc>
        <w:tc>
          <w:tcPr>
            <w:tcW w:w="987" w:type="dxa"/>
            <w:tcBorders>
              <w:top w:val="single" w:color="auto" w:sz="2" w:space="0"/>
              <w:left w:val="single" w:color="auto" w:sz="2" w:space="0"/>
              <w:bottom w:val="single" w:color="auto" w:sz="2" w:space="0"/>
              <w:right w:val="single" w:color="auto" w:sz="2" w:space="0"/>
            </w:tcBorders>
            <w:vAlign w:val="center"/>
          </w:tcPr>
          <w:p w14:paraId="56F58D2D">
            <w:pPr>
              <w:spacing w:line="240" w:lineRule="exact"/>
              <w:jc w:val="right"/>
              <w:rPr>
                <w:rFonts w:ascii="宋体" w:hAnsi="宋体" w:eastAsia="宋体" w:cs="宋体"/>
                <w:sz w:val="18"/>
                <w:szCs w:val="18"/>
              </w:rPr>
            </w:pPr>
            <w:r>
              <w:rPr>
                <w:rFonts w:ascii="宋体" w:hAnsi="宋体" w:eastAsia="宋体" w:cs="宋体"/>
                <w:sz w:val="18"/>
                <w:szCs w:val="18"/>
              </w:rPr>
              <w:t>820</w:t>
            </w:r>
          </w:p>
        </w:tc>
        <w:tc>
          <w:tcPr>
            <w:tcW w:w="600" w:type="dxa"/>
            <w:tcBorders>
              <w:top w:val="single" w:color="auto" w:sz="2" w:space="0"/>
              <w:left w:val="single" w:color="auto" w:sz="2" w:space="0"/>
              <w:bottom w:val="single" w:color="auto" w:sz="2" w:space="0"/>
              <w:right w:val="single" w:color="auto" w:sz="2" w:space="0"/>
            </w:tcBorders>
            <w:vAlign w:val="center"/>
          </w:tcPr>
          <w:p w14:paraId="2535EC03">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20AC01D0">
            <w:pPr>
              <w:spacing w:line="240" w:lineRule="exact"/>
              <w:rPr>
                <w:rFonts w:ascii="宋体" w:hAnsi="宋体" w:eastAsia="宋体" w:cs="宋体"/>
                <w:sz w:val="18"/>
                <w:szCs w:val="18"/>
              </w:rPr>
            </w:pPr>
            <w:r>
              <w:rPr>
                <w:rFonts w:ascii="宋体" w:hAnsi="宋体" w:eastAsia="宋体" w:cs="宋体"/>
                <w:sz w:val="18"/>
                <w:szCs w:val="18"/>
              </w:rPr>
              <w:t>公司于2022年3月21日取得四川省成都市中级人民法院民事判决书（2022）川01民终130号，二审判决驳回公司上诉，维持原判。2023年2月21日，公司通过公开信息获悉该案被四川省成都市双流区人民法院执行立案，执行案号为（2023）川0116执1006号，执行标的为9,455,435.00元。</w:t>
            </w:r>
          </w:p>
        </w:tc>
        <w:tc>
          <w:tcPr>
            <w:tcW w:w="1565" w:type="dxa"/>
            <w:tcBorders>
              <w:top w:val="single" w:color="auto" w:sz="2" w:space="0"/>
              <w:left w:val="single" w:color="auto" w:sz="2" w:space="0"/>
              <w:bottom w:val="single" w:color="auto" w:sz="2" w:space="0"/>
              <w:right w:val="single" w:color="auto" w:sz="2" w:space="0"/>
            </w:tcBorders>
            <w:vAlign w:val="center"/>
          </w:tcPr>
          <w:p w14:paraId="01CE506C">
            <w:pPr>
              <w:spacing w:line="240" w:lineRule="exact"/>
              <w:rPr>
                <w:rFonts w:ascii="宋体" w:hAnsi="宋体" w:eastAsia="宋体" w:cs="宋体"/>
                <w:sz w:val="18"/>
                <w:szCs w:val="18"/>
              </w:rPr>
            </w:pPr>
            <w:r>
              <w:rPr>
                <w:rFonts w:ascii="宋体" w:hAnsi="宋体" w:eastAsia="宋体" w:cs="宋体"/>
                <w:sz w:val="18"/>
                <w:szCs w:val="18"/>
              </w:rPr>
              <w:t>公司一审败诉；法院二审终审判决驳回公司上诉，维持原判。该案被四川省成都市双流区人民法院执行立案，执行标的为9,455,435.00元。</w:t>
            </w:r>
          </w:p>
        </w:tc>
        <w:tc>
          <w:tcPr>
            <w:tcW w:w="1018" w:type="dxa"/>
            <w:tcBorders>
              <w:top w:val="single" w:color="auto" w:sz="2" w:space="0"/>
              <w:left w:val="single" w:color="auto" w:sz="2" w:space="0"/>
              <w:bottom w:val="single" w:color="auto" w:sz="2" w:space="0"/>
              <w:right w:val="single" w:color="auto" w:sz="2" w:space="0"/>
            </w:tcBorders>
            <w:vAlign w:val="center"/>
          </w:tcPr>
          <w:p w14:paraId="62EFFA20">
            <w:pPr>
              <w:spacing w:line="240" w:lineRule="exact"/>
              <w:rPr>
                <w:rFonts w:ascii="宋体" w:hAnsi="宋体" w:eastAsia="宋体" w:cs="宋体"/>
                <w:sz w:val="18"/>
                <w:szCs w:val="18"/>
              </w:rPr>
            </w:pPr>
            <w:r>
              <w:rPr>
                <w:rFonts w:ascii="宋体" w:hAnsi="宋体" w:eastAsia="宋体" w:cs="宋体"/>
                <w:sz w:val="18"/>
                <w:szCs w:val="18"/>
              </w:rPr>
              <w:t>进入执行阶段</w:t>
            </w:r>
          </w:p>
        </w:tc>
        <w:tc>
          <w:tcPr>
            <w:tcW w:w="589" w:type="dxa"/>
            <w:tcBorders>
              <w:top w:val="single" w:color="auto" w:sz="2" w:space="0"/>
              <w:left w:val="single" w:color="auto" w:sz="2" w:space="0"/>
              <w:bottom w:val="single" w:color="auto" w:sz="2" w:space="0"/>
              <w:right w:val="single" w:color="auto" w:sz="2" w:space="0"/>
            </w:tcBorders>
            <w:vAlign w:val="center"/>
          </w:tcPr>
          <w:p w14:paraId="2B5B94FD">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736F85F3">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www.cninfo.com.cn）的相关公告：2021年3月2日，公告编号：2021-017； 2021年4月8日，公告编号：2021-025；2021年4月8日，公告编号：2021-026；2021年4月30日，公告编号： 2021-033；2021年10月30日，公告编号：2021-120；2022年1月12日，公告编号：2022-005；2022年3月 23日，公告编号：2022-026；2023年2月22日，公告编号：2023-012。</w:t>
            </w:r>
          </w:p>
        </w:tc>
      </w:tr>
      <w:tr w14:paraId="3644A8B9">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0144F567">
            <w:pPr>
              <w:spacing w:line="240" w:lineRule="exact"/>
              <w:rPr>
                <w:rFonts w:ascii="宋体" w:hAnsi="宋体" w:eastAsia="宋体" w:cs="宋体"/>
                <w:sz w:val="18"/>
                <w:szCs w:val="18"/>
              </w:rPr>
            </w:pPr>
            <w:r>
              <w:rPr>
                <w:rFonts w:ascii="宋体" w:hAnsi="宋体" w:eastAsia="宋体" w:cs="宋体"/>
                <w:sz w:val="18"/>
                <w:szCs w:val="18"/>
              </w:rPr>
              <w:t>（2022）成仲案字第2368号：公司控股子公司西藏拉萨啤酒有限公司就其与西藏远征包装有限公司（以下简称“远征包装”）之间的纠纷事项向成都仲裁委员会提起仲裁申请，仲裁请求：申请解除申请人与被申请人于2017年6月20日签订的《纸箱采购合作协议》；申请被申请人退还申请人预付的采购款人民币1,800万元并支付资金占用损失；申请裁决被申请人退还申请人支付的2000万元纸箱诚意保证金并支付利息；本案仲裁费用、保全费由被申请人承担。</w:t>
            </w:r>
          </w:p>
        </w:tc>
        <w:tc>
          <w:tcPr>
            <w:tcW w:w="987" w:type="dxa"/>
            <w:tcBorders>
              <w:top w:val="single" w:color="auto" w:sz="2" w:space="0"/>
              <w:left w:val="single" w:color="auto" w:sz="2" w:space="0"/>
              <w:bottom w:val="single" w:color="auto" w:sz="2" w:space="0"/>
              <w:right w:val="single" w:color="auto" w:sz="2" w:space="0"/>
            </w:tcBorders>
            <w:vAlign w:val="center"/>
          </w:tcPr>
          <w:p w14:paraId="4D871D39">
            <w:pPr>
              <w:spacing w:line="240" w:lineRule="exact"/>
              <w:jc w:val="right"/>
              <w:rPr>
                <w:rFonts w:ascii="宋体" w:hAnsi="宋体" w:eastAsia="宋体" w:cs="宋体"/>
                <w:sz w:val="18"/>
                <w:szCs w:val="18"/>
              </w:rPr>
            </w:pPr>
            <w:r>
              <w:rPr>
                <w:rFonts w:ascii="宋体" w:hAnsi="宋体" w:eastAsia="宋体" w:cs="宋体"/>
                <w:sz w:val="18"/>
                <w:szCs w:val="18"/>
              </w:rPr>
              <w:t>3,800</w:t>
            </w:r>
          </w:p>
        </w:tc>
        <w:tc>
          <w:tcPr>
            <w:tcW w:w="600" w:type="dxa"/>
            <w:tcBorders>
              <w:top w:val="single" w:color="auto" w:sz="2" w:space="0"/>
              <w:left w:val="single" w:color="auto" w:sz="2" w:space="0"/>
              <w:bottom w:val="single" w:color="auto" w:sz="2" w:space="0"/>
              <w:right w:val="single" w:color="auto" w:sz="2" w:space="0"/>
            </w:tcBorders>
            <w:vAlign w:val="center"/>
          </w:tcPr>
          <w:p w14:paraId="53790560">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64D007DE">
            <w:pPr>
              <w:spacing w:line="240" w:lineRule="exact"/>
              <w:rPr>
                <w:rFonts w:ascii="宋体" w:hAnsi="宋体" w:eastAsia="宋体" w:cs="宋体"/>
                <w:sz w:val="18"/>
                <w:szCs w:val="18"/>
              </w:rPr>
            </w:pPr>
            <w:r>
              <w:rPr>
                <w:rFonts w:ascii="宋体" w:hAnsi="宋体" w:eastAsia="宋体" w:cs="宋体"/>
                <w:sz w:val="18"/>
                <w:szCs w:val="18"/>
              </w:rPr>
              <w:t>公司于2023年4月7日收到《四川省成都市中级人民法院民事裁定书》确认申请人西藏远征包装有限公司与被申请人西藏拉萨啤酒有限公司就《纸箱采购合作协议》不存在仲裁条款；公司于2023年4月13日《成都仲裁委员会决定书》（2022）成仲案字第2368号，决定本案仲裁程序于2023年4月6日终结。公司已向人民法院提起诉讼。2023年12月，公司收到法院（2023）藏0103民初1692号民事判决书，判决主驳回原告拉萨啤酒的诉讼请求，案件受理费用295,180.29元由原告负担。</w:t>
            </w:r>
          </w:p>
        </w:tc>
        <w:tc>
          <w:tcPr>
            <w:tcW w:w="1565" w:type="dxa"/>
            <w:tcBorders>
              <w:top w:val="single" w:color="auto" w:sz="2" w:space="0"/>
              <w:left w:val="single" w:color="auto" w:sz="2" w:space="0"/>
              <w:bottom w:val="single" w:color="auto" w:sz="2" w:space="0"/>
              <w:right w:val="single" w:color="auto" w:sz="2" w:space="0"/>
            </w:tcBorders>
            <w:vAlign w:val="center"/>
          </w:tcPr>
          <w:p w14:paraId="1BCAC13E">
            <w:pPr>
              <w:spacing w:line="240" w:lineRule="exact"/>
              <w:rPr>
                <w:rFonts w:ascii="宋体" w:hAnsi="宋体" w:eastAsia="宋体" w:cs="宋体"/>
                <w:sz w:val="18"/>
                <w:szCs w:val="18"/>
              </w:rPr>
            </w:pPr>
            <w:r>
              <w:rPr>
                <w:rFonts w:ascii="宋体" w:hAnsi="宋体" w:eastAsia="宋体" w:cs="宋体"/>
                <w:sz w:val="18"/>
                <w:szCs w:val="18"/>
              </w:rPr>
              <w:t>二审维持原判，本判决为终审判决。</w:t>
            </w:r>
          </w:p>
        </w:tc>
        <w:tc>
          <w:tcPr>
            <w:tcW w:w="1018" w:type="dxa"/>
            <w:tcBorders>
              <w:top w:val="single" w:color="auto" w:sz="2" w:space="0"/>
              <w:left w:val="single" w:color="auto" w:sz="2" w:space="0"/>
              <w:bottom w:val="single" w:color="auto" w:sz="2" w:space="0"/>
              <w:right w:val="single" w:color="auto" w:sz="2" w:space="0"/>
            </w:tcBorders>
            <w:vAlign w:val="center"/>
          </w:tcPr>
          <w:p w14:paraId="4C642916">
            <w:pPr>
              <w:spacing w:line="240" w:lineRule="exact"/>
              <w:rPr>
                <w:rFonts w:ascii="宋体" w:hAnsi="宋体" w:eastAsia="宋体" w:cs="宋体"/>
                <w:sz w:val="18"/>
                <w:szCs w:val="18"/>
              </w:rPr>
            </w:pPr>
            <w:r>
              <w:rPr>
                <w:rFonts w:ascii="宋体" w:hAnsi="宋体" w:eastAsia="宋体" w:cs="宋体"/>
                <w:sz w:val="18"/>
                <w:szCs w:val="18"/>
              </w:rPr>
              <w:t>暂不涉及</w:t>
            </w:r>
          </w:p>
        </w:tc>
        <w:tc>
          <w:tcPr>
            <w:tcW w:w="589" w:type="dxa"/>
            <w:tcBorders>
              <w:top w:val="single" w:color="auto" w:sz="2" w:space="0"/>
              <w:left w:val="single" w:color="auto" w:sz="2" w:space="0"/>
              <w:bottom w:val="single" w:color="auto" w:sz="2" w:space="0"/>
              <w:right w:val="single" w:color="auto" w:sz="2" w:space="0"/>
            </w:tcBorders>
            <w:vAlign w:val="center"/>
          </w:tcPr>
          <w:p w14:paraId="3989085C">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59128351">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www.cninfo.com.cn）的相关公告：2022年7月7日，公告编号：2022-071号；2022年8月20日，公告编号：2022-092号；2022年8月26日，公告编号：2022-094；2022年9月14日，公告编号：2022-103；2022年9月22日，公告编号：2022-105；2022年9月28日，公告编号：2022-109号；2023年1月3日，公告编号：2023-001；2023年4月8日，公告编号：2023-024；2023年4月14日，公告编号：2023-025；2023年5月25日，公告编号：2023-045；2023年5月31日，公告编号：2023-046；2023年6月16日，公告编号：2023-051；2023年12月15日，公告编号：2023-123；2024年3月21日，公告编号：2024-031、2024年4月10日，公告编号：2024-043；2024年4月12日，公告编号：2024-045；2024年5月6日，公告编号：2024-069；2024年6月6日，公告编号：2024-081。</w:t>
            </w:r>
          </w:p>
        </w:tc>
      </w:tr>
      <w:tr w14:paraId="2B966405">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03098313">
            <w:pPr>
              <w:spacing w:line="240" w:lineRule="exact"/>
              <w:rPr>
                <w:rFonts w:ascii="宋体" w:hAnsi="宋体" w:eastAsia="宋体" w:cs="宋体"/>
                <w:sz w:val="18"/>
                <w:szCs w:val="18"/>
              </w:rPr>
            </w:pPr>
            <w:r>
              <w:rPr>
                <w:rFonts w:ascii="宋体" w:hAnsi="宋体" w:eastAsia="宋体" w:cs="宋体"/>
                <w:sz w:val="18"/>
                <w:szCs w:val="18"/>
              </w:rPr>
              <w:t>（2023）藏01民初10号：嘉士伯国际有限公司作为原告向西藏自治区拉萨市中级人民法院（以下简称“拉萨中院”）提交了《民事诉讼状》，原告向拉萨中院请求判决西藏发展作为被告方之一向拉萨啤酒返还分红款9500万元；公司作为被告方支付9500 万元的资金占用费（暂计）24,644,041.08 元；罗希先生作为被告之一对共计约1.2亿元的款项返还承担连带责任。</w:t>
            </w:r>
          </w:p>
        </w:tc>
        <w:tc>
          <w:tcPr>
            <w:tcW w:w="987" w:type="dxa"/>
            <w:tcBorders>
              <w:top w:val="single" w:color="auto" w:sz="2" w:space="0"/>
              <w:left w:val="single" w:color="auto" w:sz="2" w:space="0"/>
              <w:bottom w:val="single" w:color="auto" w:sz="2" w:space="0"/>
              <w:right w:val="single" w:color="auto" w:sz="2" w:space="0"/>
            </w:tcBorders>
            <w:vAlign w:val="center"/>
          </w:tcPr>
          <w:p w14:paraId="1EF6166B">
            <w:pPr>
              <w:spacing w:line="240" w:lineRule="exact"/>
              <w:jc w:val="right"/>
              <w:rPr>
                <w:rFonts w:ascii="宋体" w:hAnsi="宋体" w:eastAsia="宋体" w:cs="宋体"/>
                <w:sz w:val="18"/>
                <w:szCs w:val="18"/>
              </w:rPr>
            </w:pPr>
            <w:r>
              <w:rPr>
                <w:rFonts w:ascii="宋体" w:hAnsi="宋体" w:eastAsia="宋体" w:cs="宋体"/>
                <w:sz w:val="18"/>
                <w:szCs w:val="18"/>
              </w:rPr>
              <w:t>11,964</w:t>
            </w:r>
          </w:p>
        </w:tc>
        <w:tc>
          <w:tcPr>
            <w:tcW w:w="600" w:type="dxa"/>
            <w:tcBorders>
              <w:top w:val="single" w:color="auto" w:sz="2" w:space="0"/>
              <w:left w:val="single" w:color="auto" w:sz="2" w:space="0"/>
              <w:bottom w:val="single" w:color="auto" w:sz="2" w:space="0"/>
              <w:right w:val="single" w:color="auto" w:sz="2" w:space="0"/>
            </w:tcBorders>
            <w:vAlign w:val="center"/>
          </w:tcPr>
          <w:p w14:paraId="61C6C849">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21FE78F4">
            <w:pPr>
              <w:spacing w:line="240" w:lineRule="exact"/>
              <w:rPr>
                <w:rFonts w:ascii="宋体" w:hAnsi="宋体" w:eastAsia="宋体" w:cs="宋体"/>
                <w:sz w:val="18"/>
                <w:szCs w:val="18"/>
              </w:rPr>
            </w:pPr>
            <w:r>
              <w:rPr>
                <w:rFonts w:ascii="宋体" w:hAnsi="宋体" w:eastAsia="宋体" w:cs="宋体"/>
                <w:sz w:val="18"/>
                <w:szCs w:val="18"/>
              </w:rPr>
              <w:t>本案于2024年2月19日立案，2024年3月12日，公司收到拉萨中院通过电子平台发送的《变更诉讼请求申请书》、《民事起诉状》等材料，嘉士伯公司变更诉讼请求。2024年7月24日，公司收到法院（2024）藏01民初10号民事判决书，判决驳回嘉士伯国际有限公司的全部诉讼请求。</w:t>
            </w:r>
          </w:p>
        </w:tc>
        <w:tc>
          <w:tcPr>
            <w:tcW w:w="1565" w:type="dxa"/>
            <w:tcBorders>
              <w:top w:val="single" w:color="auto" w:sz="2" w:space="0"/>
              <w:left w:val="single" w:color="auto" w:sz="2" w:space="0"/>
              <w:bottom w:val="single" w:color="auto" w:sz="2" w:space="0"/>
              <w:right w:val="single" w:color="auto" w:sz="2" w:space="0"/>
            </w:tcBorders>
            <w:vAlign w:val="center"/>
          </w:tcPr>
          <w:p w14:paraId="3A72F9B7">
            <w:pPr>
              <w:spacing w:line="240" w:lineRule="exact"/>
              <w:rPr>
                <w:rFonts w:ascii="宋体" w:hAnsi="宋体" w:eastAsia="宋体" w:cs="宋体"/>
                <w:sz w:val="18"/>
                <w:szCs w:val="18"/>
              </w:rPr>
            </w:pPr>
            <w:r>
              <w:rPr>
                <w:rFonts w:ascii="宋体" w:hAnsi="宋体" w:eastAsia="宋体" w:cs="宋体"/>
                <w:sz w:val="18"/>
                <w:szCs w:val="18"/>
              </w:rPr>
              <w:t>一审驳回嘉士伯国际有限公司的全部诉讼请求。</w:t>
            </w:r>
          </w:p>
        </w:tc>
        <w:tc>
          <w:tcPr>
            <w:tcW w:w="1018" w:type="dxa"/>
            <w:tcBorders>
              <w:top w:val="single" w:color="auto" w:sz="2" w:space="0"/>
              <w:left w:val="single" w:color="auto" w:sz="2" w:space="0"/>
              <w:bottom w:val="single" w:color="auto" w:sz="2" w:space="0"/>
              <w:right w:val="single" w:color="auto" w:sz="2" w:space="0"/>
            </w:tcBorders>
            <w:vAlign w:val="center"/>
          </w:tcPr>
          <w:p w14:paraId="67E2A97C">
            <w:pPr>
              <w:spacing w:line="240" w:lineRule="exact"/>
              <w:rPr>
                <w:rFonts w:ascii="宋体" w:hAnsi="宋体" w:eastAsia="宋体" w:cs="宋体"/>
                <w:sz w:val="18"/>
                <w:szCs w:val="18"/>
              </w:rPr>
            </w:pPr>
            <w:r>
              <w:rPr>
                <w:rFonts w:ascii="宋体" w:hAnsi="宋体" w:eastAsia="宋体" w:cs="宋体"/>
                <w:sz w:val="18"/>
                <w:szCs w:val="18"/>
              </w:rPr>
              <w:t>暂不涉及</w:t>
            </w:r>
          </w:p>
        </w:tc>
        <w:tc>
          <w:tcPr>
            <w:tcW w:w="589" w:type="dxa"/>
            <w:tcBorders>
              <w:top w:val="single" w:color="auto" w:sz="2" w:space="0"/>
              <w:left w:val="single" w:color="auto" w:sz="2" w:space="0"/>
              <w:bottom w:val="single" w:color="auto" w:sz="2" w:space="0"/>
              <w:right w:val="single" w:color="auto" w:sz="2" w:space="0"/>
            </w:tcBorders>
            <w:vAlign w:val="center"/>
          </w:tcPr>
          <w:p w14:paraId="7D8CE93D">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21DCB848">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 xml:space="preserve">www.cninfo.com.cn）的相关公告：2023年9月5日，公告编号：2023-082；2023年10月16日，公告编号：2023-096；2023年11月17日，公告编号：2023-110；2024年2月3日，公告编号：2024-015；2024年2月22日，公告编号：2024-019；2024年3月13日，公告编号：2024-029；2024年3 </w:t>
            </w:r>
            <w:r>
              <w:rPr>
                <w:rFonts w:hint="eastAsia" w:ascii="宋体" w:hAnsi="宋体" w:eastAsia="宋体" w:cs="宋体"/>
                <w:sz w:val="16"/>
                <w:szCs w:val="16"/>
              </w:rPr>
              <w:t>月</w:t>
            </w:r>
            <w:r>
              <w:rPr>
                <w:rFonts w:ascii="宋体" w:hAnsi="宋体" w:eastAsia="宋体" w:cs="宋体"/>
                <w:sz w:val="16"/>
                <w:szCs w:val="16"/>
              </w:rPr>
              <w:t xml:space="preserve">16日，公告编号：2024-034；2024年4 </w:t>
            </w:r>
            <w:r>
              <w:rPr>
                <w:rFonts w:hint="eastAsia" w:ascii="宋体" w:hAnsi="宋体" w:eastAsia="宋体" w:cs="宋体"/>
                <w:sz w:val="16"/>
                <w:szCs w:val="16"/>
              </w:rPr>
              <w:t>月</w:t>
            </w:r>
            <w:r>
              <w:rPr>
                <w:rFonts w:ascii="宋体" w:hAnsi="宋体" w:eastAsia="宋体" w:cs="宋体"/>
                <w:sz w:val="16"/>
                <w:szCs w:val="16"/>
              </w:rPr>
              <w:t>2日，公告编号：2024-037；2024年4月9日，公告编号：2024-041；2024年5月6日，公告编号:2024-069；2024年7月26日，公告编号：2024-097。</w:t>
            </w:r>
          </w:p>
        </w:tc>
      </w:tr>
      <w:tr w14:paraId="17099992">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4387E0B1">
            <w:pPr>
              <w:spacing w:line="240" w:lineRule="exact"/>
              <w:rPr>
                <w:rFonts w:ascii="宋体" w:hAnsi="宋体" w:eastAsia="宋体" w:cs="宋体"/>
                <w:sz w:val="18"/>
                <w:szCs w:val="18"/>
              </w:rPr>
            </w:pPr>
            <w:r>
              <w:rPr>
                <w:rFonts w:ascii="宋体" w:hAnsi="宋体" w:eastAsia="宋体" w:cs="宋体"/>
                <w:sz w:val="18"/>
                <w:szCs w:val="18"/>
              </w:rPr>
              <w:t>（2023）藏01民初27号：公司作为原告就与被告嘉士伯公司、西藏道合实业有限公司（以下简称“道合公司”）股权转让纠纷事项，向拉萨中院提起诉讼，2023年10月13日，公司收到拉萨中院受理案件通知书及举证通知书（2023）藏01民初27号。</w:t>
            </w:r>
          </w:p>
        </w:tc>
        <w:tc>
          <w:tcPr>
            <w:tcW w:w="987" w:type="dxa"/>
            <w:tcBorders>
              <w:top w:val="single" w:color="auto" w:sz="2" w:space="0"/>
              <w:left w:val="single" w:color="auto" w:sz="2" w:space="0"/>
              <w:bottom w:val="single" w:color="auto" w:sz="2" w:space="0"/>
              <w:right w:val="single" w:color="auto" w:sz="2" w:space="0"/>
            </w:tcBorders>
            <w:vAlign w:val="center"/>
          </w:tcPr>
          <w:p w14:paraId="4EC3CE13">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600" w:type="dxa"/>
            <w:tcBorders>
              <w:top w:val="single" w:color="auto" w:sz="2" w:space="0"/>
              <w:left w:val="single" w:color="auto" w:sz="2" w:space="0"/>
              <w:bottom w:val="single" w:color="auto" w:sz="2" w:space="0"/>
              <w:right w:val="single" w:color="auto" w:sz="2" w:space="0"/>
            </w:tcBorders>
            <w:vAlign w:val="center"/>
          </w:tcPr>
          <w:p w14:paraId="48C59EB2">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6065ECCD">
            <w:pPr>
              <w:spacing w:line="240" w:lineRule="exact"/>
              <w:rPr>
                <w:rFonts w:ascii="宋体" w:hAnsi="宋体" w:eastAsia="宋体" w:cs="宋体"/>
                <w:sz w:val="18"/>
                <w:szCs w:val="18"/>
              </w:rPr>
            </w:pPr>
            <w:r>
              <w:rPr>
                <w:rFonts w:ascii="宋体" w:hAnsi="宋体" w:eastAsia="宋体" w:cs="宋体"/>
                <w:sz w:val="18"/>
                <w:szCs w:val="18"/>
              </w:rPr>
              <w:t>2024年1月，公司收到拉萨中院民事裁定书，裁定依法查封冻结嘉士伯公司持有拉萨啤酒50%的股权。查封、冻结期限为一年。2024年7月10日，公司收到西藏自治区拉萨市中级人民法院《民事判决书》（2023）藏01民初27号，判决：</w:t>
            </w:r>
          </w:p>
          <w:p w14:paraId="413A6205">
            <w:pPr>
              <w:spacing w:line="240" w:lineRule="exact"/>
              <w:rPr>
                <w:rFonts w:ascii="宋体" w:hAnsi="宋体" w:eastAsia="宋体" w:cs="宋体"/>
                <w:sz w:val="18"/>
                <w:szCs w:val="18"/>
              </w:rPr>
            </w:pPr>
            <w:r>
              <w:rPr>
                <w:rFonts w:ascii="宋体" w:hAnsi="宋体" w:eastAsia="宋体" w:cs="宋体"/>
                <w:sz w:val="18"/>
                <w:szCs w:val="18"/>
              </w:rPr>
              <w:t>1.撤销嘉士伯国际有限公司与西藏道合实业有限公司于 2023年3月23日签订的《股权转让协议》《股权转让协议补充协议》《股权认购及股东协议》；</w:t>
            </w:r>
          </w:p>
          <w:p w14:paraId="77CF22B8">
            <w:pPr>
              <w:spacing w:line="240" w:lineRule="exact"/>
              <w:rPr>
                <w:rFonts w:ascii="宋体" w:hAnsi="宋体" w:eastAsia="宋体" w:cs="宋体"/>
                <w:sz w:val="18"/>
                <w:szCs w:val="18"/>
              </w:rPr>
            </w:pPr>
            <w:r>
              <w:rPr>
                <w:rFonts w:ascii="宋体" w:hAnsi="宋体" w:eastAsia="宋体" w:cs="宋体"/>
                <w:sz w:val="18"/>
                <w:szCs w:val="18"/>
              </w:rPr>
              <w:t>2.嘉士伯国际有限公司于本判决生效之日起十五日内向西藏发展股份有限公司支付50万元律师费；</w:t>
            </w:r>
          </w:p>
          <w:p w14:paraId="6073E2EE">
            <w:pPr>
              <w:spacing w:line="240" w:lineRule="exact"/>
              <w:rPr>
                <w:rFonts w:ascii="宋体" w:hAnsi="宋体" w:eastAsia="宋体" w:cs="宋体"/>
                <w:sz w:val="18"/>
                <w:szCs w:val="18"/>
              </w:rPr>
            </w:pPr>
            <w:r>
              <w:rPr>
                <w:rFonts w:ascii="宋体" w:hAnsi="宋体" w:eastAsia="宋体" w:cs="宋体"/>
                <w:sz w:val="18"/>
                <w:szCs w:val="18"/>
              </w:rPr>
              <w:t>3.西藏发展股份有限公司对嘉士伯国际有限公司持有的西藏拉萨啤酒有限公司50%的股权享有同等条件下优先购买权；</w:t>
            </w:r>
          </w:p>
          <w:p w14:paraId="58D5A87D">
            <w:pPr>
              <w:spacing w:line="240" w:lineRule="exact"/>
              <w:rPr>
                <w:rFonts w:ascii="宋体" w:hAnsi="宋体" w:eastAsia="宋体" w:cs="宋体"/>
                <w:sz w:val="18"/>
                <w:szCs w:val="18"/>
              </w:rPr>
            </w:pPr>
            <w:r>
              <w:rPr>
                <w:rFonts w:ascii="宋体" w:hAnsi="宋体" w:eastAsia="宋体" w:cs="宋体"/>
                <w:sz w:val="18"/>
                <w:szCs w:val="18"/>
              </w:rPr>
              <w:t>4.驳回西藏发展股份有限公司的其他诉讼请求。</w:t>
            </w:r>
          </w:p>
        </w:tc>
        <w:tc>
          <w:tcPr>
            <w:tcW w:w="1565" w:type="dxa"/>
            <w:tcBorders>
              <w:top w:val="single" w:color="auto" w:sz="2" w:space="0"/>
              <w:left w:val="single" w:color="auto" w:sz="2" w:space="0"/>
              <w:bottom w:val="single" w:color="auto" w:sz="2" w:space="0"/>
              <w:right w:val="single" w:color="auto" w:sz="2" w:space="0"/>
            </w:tcBorders>
            <w:vAlign w:val="center"/>
          </w:tcPr>
          <w:p w14:paraId="17ADB00F">
            <w:pPr>
              <w:spacing w:line="240" w:lineRule="exact"/>
              <w:rPr>
                <w:rFonts w:ascii="宋体" w:hAnsi="宋体" w:eastAsia="宋体" w:cs="宋体"/>
                <w:sz w:val="18"/>
                <w:szCs w:val="18"/>
              </w:rPr>
            </w:pPr>
            <w:r>
              <w:rPr>
                <w:rFonts w:ascii="宋体" w:hAnsi="宋体" w:eastAsia="宋体" w:cs="宋体"/>
                <w:sz w:val="18"/>
                <w:szCs w:val="18"/>
              </w:rPr>
              <w:t>一审判决公司对嘉士伯国际有限公司持有的西藏拉萨啤酒有限公司50%的股权享有同等条件下优先购买权。</w:t>
            </w:r>
          </w:p>
        </w:tc>
        <w:tc>
          <w:tcPr>
            <w:tcW w:w="1018" w:type="dxa"/>
            <w:tcBorders>
              <w:top w:val="single" w:color="auto" w:sz="2" w:space="0"/>
              <w:left w:val="single" w:color="auto" w:sz="2" w:space="0"/>
              <w:bottom w:val="single" w:color="auto" w:sz="2" w:space="0"/>
              <w:right w:val="single" w:color="auto" w:sz="2" w:space="0"/>
            </w:tcBorders>
            <w:vAlign w:val="center"/>
          </w:tcPr>
          <w:p w14:paraId="7D47F175">
            <w:pPr>
              <w:spacing w:line="240" w:lineRule="exact"/>
              <w:rPr>
                <w:rFonts w:ascii="宋体" w:hAnsi="宋体" w:eastAsia="宋体" w:cs="宋体"/>
                <w:sz w:val="18"/>
                <w:szCs w:val="18"/>
              </w:rPr>
            </w:pPr>
            <w:r>
              <w:rPr>
                <w:rFonts w:ascii="宋体" w:hAnsi="宋体" w:eastAsia="宋体" w:cs="宋体"/>
                <w:sz w:val="18"/>
                <w:szCs w:val="18"/>
              </w:rPr>
              <w:t>暂不涉及</w:t>
            </w:r>
          </w:p>
        </w:tc>
        <w:tc>
          <w:tcPr>
            <w:tcW w:w="589" w:type="dxa"/>
            <w:tcBorders>
              <w:top w:val="single" w:color="auto" w:sz="2" w:space="0"/>
              <w:left w:val="single" w:color="auto" w:sz="2" w:space="0"/>
              <w:bottom w:val="single" w:color="auto" w:sz="2" w:space="0"/>
              <w:right w:val="single" w:color="auto" w:sz="2" w:space="0"/>
            </w:tcBorders>
            <w:vAlign w:val="center"/>
          </w:tcPr>
          <w:p w14:paraId="4C0716AE">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46FDF0BF">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www.cninfo.com.cn）的相关公告：2023年10月16日，公告编号：2023-096； 2023年12月29日，公告编号：2023-131；2024年2月1日，公告编号：2024-013；2024年2月20日，公告编号：2024-018；2024年2月24日，公告编号：2024-023；2024年3月29日，公告编号：2024-036；2024年4月13日，公告编号：2024-046；2024年7月11日，公告编号：2024-092。</w:t>
            </w:r>
          </w:p>
        </w:tc>
      </w:tr>
      <w:tr w14:paraId="3589236F">
        <w:trPr>
          <w:trHeight w:val="240" w:hRule="atLeast"/>
          <w:jc w:val="center"/>
        </w:trPr>
        <w:tc>
          <w:tcPr>
            <w:tcW w:w="1970" w:type="dxa"/>
            <w:tcBorders>
              <w:top w:val="single" w:color="auto" w:sz="2" w:space="0"/>
              <w:left w:val="single" w:color="auto" w:sz="2" w:space="0"/>
              <w:bottom w:val="single" w:color="auto" w:sz="2" w:space="0"/>
              <w:right w:val="single" w:color="auto" w:sz="2" w:space="0"/>
            </w:tcBorders>
            <w:vAlign w:val="center"/>
          </w:tcPr>
          <w:p w14:paraId="665522C5">
            <w:pPr>
              <w:spacing w:line="240" w:lineRule="exact"/>
              <w:rPr>
                <w:rFonts w:ascii="宋体" w:hAnsi="宋体" w:eastAsia="宋体" w:cs="宋体"/>
                <w:sz w:val="18"/>
                <w:szCs w:val="18"/>
              </w:rPr>
            </w:pPr>
            <w:r>
              <w:rPr>
                <w:rFonts w:ascii="宋体" w:hAnsi="宋体" w:eastAsia="宋体" w:cs="宋体"/>
                <w:sz w:val="18"/>
                <w:szCs w:val="18"/>
              </w:rPr>
              <w:t>（2023）藏01民初41号：公司控股子公司拉萨啤酒因股权转让纠纷事项向西藏自治区拉萨市中级人民法院起诉深圳市金脉青枫投资管理有限公司，请求判决被告金脉青枫向原告拉萨啤酒返还2018年分红款9,500万元及资金占用利息,以上分红款及利息暂计算至2023年12月11日为119,321,116.44元。</w:t>
            </w:r>
          </w:p>
        </w:tc>
        <w:tc>
          <w:tcPr>
            <w:tcW w:w="987" w:type="dxa"/>
            <w:tcBorders>
              <w:top w:val="single" w:color="auto" w:sz="2" w:space="0"/>
              <w:left w:val="single" w:color="auto" w:sz="2" w:space="0"/>
              <w:bottom w:val="single" w:color="auto" w:sz="2" w:space="0"/>
              <w:right w:val="single" w:color="auto" w:sz="2" w:space="0"/>
            </w:tcBorders>
            <w:vAlign w:val="center"/>
          </w:tcPr>
          <w:p w14:paraId="6B23CA43">
            <w:pPr>
              <w:spacing w:line="240" w:lineRule="exact"/>
              <w:jc w:val="right"/>
              <w:rPr>
                <w:rFonts w:ascii="宋体" w:hAnsi="宋体" w:eastAsia="宋体" w:cs="宋体"/>
                <w:sz w:val="18"/>
                <w:szCs w:val="18"/>
              </w:rPr>
            </w:pPr>
            <w:r>
              <w:rPr>
                <w:rFonts w:ascii="宋体" w:hAnsi="宋体" w:eastAsia="宋体" w:cs="宋体"/>
                <w:sz w:val="18"/>
                <w:szCs w:val="18"/>
              </w:rPr>
              <w:t>11,932.11</w:t>
            </w:r>
          </w:p>
        </w:tc>
        <w:tc>
          <w:tcPr>
            <w:tcW w:w="600" w:type="dxa"/>
            <w:tcBorders>
              <w:top w:val="single" w:color="auto" w:sz="2" w:space="0"/>
              <w:left w:val="single" w:color="auto" w:sz="2" w:space="0"/>
              <w:bottom w:val="single" w:color="auto" w:sz="2" w:space="0"/>
              <w:right w:val="single" w:color="auto" w:sz="2" w:space="0"/>
            </w:tcBorders>
            <w:vAlign w:val="center"/>
          </w:tcPr>
          <w:p w14:paraId="57135F5B">
            <w:pPr>
              <w:spacing w:line="240" w:lineRule="exact"/>
              <w:rPr>
                <w:rFonts w:ascii="宋体" w:hAnsi="宋体" w:eastAsia="宋体" w:cs="宋体"/>
                <w:sz w:val="18"/>
                <w:szCs w:val="18"/>
              </w:rPr>
            </w:pPr>
            <w:r>
              <w:rPr>
                <w:rFonts w:ascii="宋体" w:hAnsi="宋体" w:eastAsia="宋体" w:cs="宋体"/>
                <w:sz w:val="18"/>
                <w:szCs w:val="18"/>
              </w:rPr>
              <w:t>否</w:t>
            </w:r>
          </w:p>
        </w:tc>
        <w:tc>
          <w:tcPr>
            <w:tcW w:w="1660" w:type="dxa"/>
            <w:tcBorders>
              <w:top w:val="single" w:color="auto" w:sz="2" w:space="0"/>
              <w:left w:val="single" w:color="auto" w:sz="2" w:space="0"/>
              <w:bottom w:val="single" w:color="auto" w:sz="2" w:space="0"/>
              <w:right w:val="single" w:color="auto" w:sz="2" w:space="0"/>
            </w:tcBorders>
            <w:vAlign w:val="center"/>
          </w:tcPr>
          <w:p w14:paraId="1D3DF902">
            <w:pPr>
              <w:spacing w:line="240" w:lineRule="exact"/>
              <w:rPr>
                <w:rFonts w:ascii="宋体" w:hAnsi="宋体" w:eastAsia="宋体" w:cs="宋体"/>
                <w:sz w:val="18"/>
                <w:szCs w:val="18"/>
              </w:rPr>
            </w:pPr>
            <w:r>
              <w:rPr>
                <w:rFonts w:ascii="宋体" w:hAnsi="宋体" w:eastAsia="宋体" w:cs="宋体"/>
                <w:sz w:val="18"/>
                <w:szCs w:val="18"/>
              </w:rPr>
              <w:t>公司于2023年12月14日，收到拉萨中院受理案件通知书与举证通知书（2023）藏01民初41号。2024年3月，公司收到法院通知，公司作为第三人参加诉讼。2024年7月9日，公司收到拉萨中院（2023）藏01民初41号《民事裁定书》，裁定驳回西藏拉萨啤酒有限公司的起诉。</w:t>
            </w:r>
          </w:p>
        </w:tc>
        <w:tc>
          <w:tcPr>
            <w:tcW w:w="1565" w:type="dxa"/>
            <w:tcBorders>
              <w:top w:val="single" w:color="auto" w:sz="2" w:space="0"/>
              <w:left w:val="single" w:color="auto" w:sz="2" w:space="0"/>
              <w:bottom w:val="single" w:color="auto" w:sz="2" w:space="0"/>
              <w:right w:val="single" w:color="auto" w:sz="2" w:space="0"/>
            </w:tcBorders>
            <w:vAlign w:val="center"/>
          </w:tcPr>
          <w:p w14:paraId="6D86781F">
            <w:pPr>
              <w:spacing w:line="240" w:lineRule="exact"/>
              <w:rPr>
                <w:rFonts w:ascii="宋体" w:hAnsi="宋体" w:eastAsia="宋体" w:cs="宋体"/>
                <w:sz w:val="18"/>
                <w:szCs w:val="18"/>
              </w:rPr>
            </w:pPr>
            <w:r>
              <w:rPr>
                <w:rFonts w:ascii="宋体" w:hAnsi="宋体" w:eastAsia="宋体" w:cs="宋体"/>
                <w:sz w:val="18"/>
                <w:szCs w:val="18"/>
              </w:rPr>
              <w:t>拉萨中院裁决驳回拉萨啤酒起诉。</w:t>
            </w:r>
          </w:p>
        </w:tc>
        <w:tc>
          <w:tcPr>
            <w:tcW w:w="1018" w:type="dxa"/>
            <w:tcBorders>
              <w:top w:val="single" w:color="auto" w:sz="2" w:space="0"/>
              <w:left w:val="single" w:color="auto" w:sz="2" w:space="0"/>
              <w:bottom w:val="single" w:color="auto" w:sz="2" w:space="0"/>
              <w:right w:val="single" w:color="auto" w:sz="2" w:space="0"/>
            </w:tcBorders>
            <w:vAlign w:val="center"/>
          </w:tcPr>
          <w:p w14:paraId="5ABB3884">
            <w:pPr>
              <w:spacing w:line="240" w:lineRule="exact"/>
              <w:rPr>
                <w:rFonts w:ascii="宋体" w:hAnsi="宋体" w:eastAsia="宋体" w:cs="宋体"/>
                <w:sz w:val="18"/>
                <w:szCs w:val="18"/>
              </w:rPr>
            </w:pPr>
            <w:r>
              <w:rPr>
                <w:rFonts w:ascii="宋体" w:hAnsi="宋体" w:eastAsia="宋体" w:cs="宋体"/>
                <w:sz w:val="18"/>
                <w:szCs w:val="18"/>
              </w:rPr>
              <w:t>暂不涉及</w:t>
            </w:r>
          </w:p>
        </w:tc>
        <w:tc>
          <w:tcPr>
            <w:tcW w:w="589" w:type="dxa"/>
            <w:tcBorders>
              <w:top w:val="single" w:color="auto" w:sz="2" w:space="0"/>
              <w:left w:val="single" w:color="auto" w:sz="2" w:space="0"/>
              <w:bottom w:val="single" w:color="auto" w:sz="2" w:space="0"/>
              <w:right w:val="single" w:color="auto" w:sz="2" w:space="0"/>
            </w:tcBorders>
            <w:vAlign w:val="center"/>
          </w:tcPr>
          <w:p w14:paraId="5B741883">
            <w:pPr>
              <w:spacing w:line="240" w:lineRule="exact"/>
              <w:rPr>
                <w:rFonts w:ascii="宋体" w:hAnsi="宋体" w:eastAsia="宋体" w:cs="宋体"/>
                <w:sz w:val="18"/>
                <w:szCs w:val="18"/>
              </w:rPr>
            </w:pPr>
          </w:p>
        </w:tc>
        <w:tc>
          <w:tcPr>
            <w:tcW w:w="1987" w:type="dxa"/>
            <w:tcBorders>
              <w:top w:val="single" w:color="auto" w:sz="2" w:space="0"/>
              <w:left w:val="single" w:color="auto" w:sz="2" w:space="0"/>
              <w:bottom w:val="single" w:color="auto" w:sz="2" w:space="0"/>
              <w:right w:val="single" w:color="auto" w:sz="2" w:space="0"/>
            </w:tcBorders>
            <w:vAlign w:val="center"/>
          </w:tcPr>
          <w:p w14:paraId="0FDD3D66">
            <w:pPr>
              <w:spacing w:line="240" w:lineRule="exact"/>
              <w:rPr>
                <w:rFonts w:ascii="宋体" w:hAnsi="宋体" w:eastAsia="宋体" w:cs="宋体"/>
                <w:sz w:val="16"/>
                <w:szCs w:val="16"/>
              </w:rPr>
            </w:pPr>
            <w:r>
              <w:rPr>
                <w:rFonts w:hint="eastAsia" w:ascii="宋体" w:hAnsi="宋体" w:eastAsia="宋体" w:cs="宋体"/>
                <w:sz w:val="16"/>
                <w:szCs w:val="16"/>
              </w:rPr>
              <w:t>详细情况请见刊登于巨潮资讯网（</w:t>
            </w:r>
            <w:r>
              <w:rPr>
                <w:rFonts w:ascii="宋体" w:hAnsi="宋体" w:eastAsia="宋体" w:cs="宋体"/>
                <w:sz w:val="16"/>
                <w:szCs w:val="16"/>
              </w:rPr>
              <w:t xml:space="preserve">www.cninfo.com.cn）的相关公告：2023年12月15日，公告编号：2023-125 </w:t>
            </w:r>
            <w:r>
              <w:rPr>
                <w:rFonts w:hint="eastAsia" w:ascii="宋体" w:hAnsi="宋体" w:eastAsia="宋体" w:cs="宋体"/>
                <w:sz w:val="16"/>
                <w:szCs w:val="16"/>
              </w:rPr>
              <w:t>；</w:t>
            </w:r>
            <w:r>
              <w:rPr>
                <w:rFonts w:ascii="宋体" w:hAnsi="宋体" w:eastAsia="宋体" w:cs="宋体"/>
                <w:sz w:val="16"/>
                <w:szCs w:val="16"/>
              </w:rPr>
              <w:t>2024年2月1日，公告编号：2024-013；2024年3月21日；公告编号：2024-031；2024年3月29日，公告编号：2024-036；2024年4月9日，2024-041；2024年5月6日，公告编号：2024-069；2024年7月10日，公告编号：2024-089。</w:t>
            </w:r>
          </w:p>
        </w:tc>
      </w:tr>
    </w:tbl>
    <w:p w14:paraId="692127B2">
      <w:pPr>
        <w:spacing w:before="100" w:after="100" w:line="240" w:lineRule="exact"/>
        <w:rPr>
          <w:rFonts w:ascii="宋体" w:hAnsi="宋体" w:eastAsia="宋体" w:cs="宋体"/>
          <w:sz w:val="18"/>
          <w:szCs w:val="18"/>
        </w:rPr>
      </w:pPr>
      <w:r>
        <w:rPr>
          <w:rFonts w:ascii="宋体" w:hAnsi="宋体" w:eastAsia="宋体" w:cs="宋体"/>
          <w:sz w:val="18"/>
          <w:szCs w:val="18"/>
        </w:rPr>
        <w:t>其他诉讼事项</w:t>
      </w:r>
    </w:p>
    <w:p w14:paraId="4D0C52A9">
      <w:pPr>
        <w:spacing w:before="100" w:after="100" w:line="240" w:lineRule="exact"/>
      </w:pPr>
      <w:r>
        <w:rPr>
          <w:rFonts w:hint="eastAsia" w:ascii="宋体" w:hAnsi="宋体" w:eastAsia="宋体" w:cs="宋体"/>
          <w:sz w:val="18"/>
          <w:szCs w:val="18"/>
          <w:lang w:eastAsia="zh-CN"/>
        </w:rPr>
        <w:t>☑</w:t>
      </w:r>
      <w:r>
        <w:rPr>
          <w:rFonts w:ascii="宋体" w:hAnsi="宋体" w:eastAsia="宋体" w:cs="宋体"/>
          <w:sz w:val="18"/>
          <w:szCs w:val="18"/>
        </w:rPr>
        <w:t xml:space="preserve">适用 </w:t>
      </w:r>
      <w:r>
        <w:rPr>
          <w:rFonts w:ascii="宋体" w:hAnsi="宋体" w:eastAsia="宋体" w:cs="宋体"/>
          <w:sz w:val="18"/>
          <w:szCs w:val="18"/>
        </w:rPr>
        <w:sym w:font="Wingdings 2" w:char="00A3"/>
      </w:r>
      <w:r>
        <w:rPr>
          <w:rFonts w:ascii="宋体" w:hAnsi="宋体" w:eastAsia="宋体" w:cs="宋体"/>
          <w:sz w:val="18"/>
          <w:szCs w:val="18"/>
        </w:rPr>
        <w:t>不适用</w:t>
      </w:r>
    </w:p>
    <w:tbl>
      <w:tblPr>
        <w:tblStyle w:val="11"/>
        <w:tblW w:w="9911" w:type="dxa"/>
        <w:tblInd w:w="-271"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65"/>
        <w:gridCol w:w="1035"/>
        <w:gridCol w:w="585"/>
        <w:gridCol w:w="1635"/>
        <w:gridCol w:w="1605"/>
        <w:gridCol w:w="855"/>
        <w:gridCol w:w="1026"/>
        <w:gridCol w:w="1205"/>
      </w:tblGrid>
      <w:tr w14:paraId="4B44A253">
        <w:trPr>
          <w:trHeight w:val="240" w:hRule="atLeast"/>
        </w:trPr>
        <w:tc>
          <w:tcPr>
            <w:tcW w:w="1965" w:type="dxa"/>
            <w:tcBorders>
              <w:top w:val="single" w:color="auto" w:sz="2" w:space="0"/>
              <w:left w:val="single" w:color="auto" w:sz="2" w:space="0"/>
              <w:bottom w:val="single" w:color="auto" w:sz="2" w:space="0"/>
              <w:right w:val="single" w:color="auto" w:sz="2" w:space="0"/>
            </w:tcBorders>
            <w:shd w:val="clear" w:color="auto" w:fill="D3D3D3"/>
            <w:vAlign w:val="center"/>
          </w:tcPr>
          <w:p w14:paraId="3A42BB51">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诉讼(仲裁)基本情况</w:t>
            </w:r>
          </w:p>
        </w:tc>
        <w:tc>
          <w:tcPr>
            <w:tcW w:w="1035" w:type="dxa"/>
            <w:tcBorders>
              <w:top w:val="single" w:color="auto" w:sz="2" w:space="0"/>
              <w:left w:val="single" w:color="auto" w:sz="2" w:space="0"/>
              <w:bottom w:val="single" w:color="auto" w:sz="2" w:space="0"/>
              <w:right w:val="single" w:color="auto" w:sz="2" w:space="0"/>
            </w:tcBorders>
            <w:shd w:val="clear" w:color="auto" w:fill="D3D3D3"/>
            <w:vAlign w:val="center"/>
          </w:tcPr>
          <w:p w14:paraId="31229BF4">
            <w:pPr>
              <w:spacing w:before="40" w:after="40" w:line="240" w:lineRule="exact"/>
              <w:jc w:val="center"/>
              <w:rPr>
                <w:rFonts w:ascii="宋体" w:hAnsi="宋体" w:eastAsia="宋体" w:cs="宋体"/>
                <w:sz w:val="18"/>
                <w:szCs w:val="18"/>
              </w:rPr>
            </w:pPr>
            <w:r>
              <w:rPr>
                <w:rFonts w:ascii="宋体" w:hAnsi="宋体" w:eastAsia="宋体" w:cs="宋体"/>
                <w:sz w:val="18"/>
                <w:szCs w:val="18"/>
              </w:rPr>
              <w:t>涉案金额（万元）</w:t>
            </w:r>
          </w:p>
        </w:tc>
        <w:tc>
          <w:tcPr>
            <w:tcW w:w="585" w:type="dxa"/>
            <w:tcBorders>
              <w:top w:val="single" w:color="auto" w:sz="2" w:space="0"/>
              <w:left w:val="single" w:color="auto" w:sz="2" w:space="0"/>
              <w:bottom w:val="single" w:color="auto" w:sz="2" w:space="0"/>
              <w:right w:val="single" w:color="auto" w:sz="2" w:space="0"/>
            </w:tcBorders>
            <w:shd w:val="clear" w:color="auto" w:fill="D3D3D3"/>
            <w:vAlign w:val="center"/>
          </w:tcPr>
          <w:p w14:paraId="381755CE">
            <w:pPr>
              <w:spacing w:before="40" w:after="40" w:line="240" w:lineRule="exact"/>
              <w:jc w:val="center"/>
              <w:rPr>
                <w:rFonts w:ascii="宋体" w:hAnsi="宋体" w:eastAsia="宋体" w:cs="宋体"/>
                <w:sz w:val="18"/>
                <w:szCs w:val="18"/>
              </w:rPr>
            </w:pPr>
            <w:r>
              <w:rPr>
                <w:rFonts w:ascii="宋体" w:hAnsi="宋体" w:eastAsia="宋体" w:cs="宋体"/>
                <w:sz w:val="18"/>
                <w:szCs w:val="18"/>
              </w:rPr>
              <w:t>是否形成预计负债</w:t>
            </w:r>
          </w:p>
        </w:tc>
        <w:tc>
          <w:tcPr>
            <w:tcW w:w="1635" w:type="dxa"/>
            <w:tcBorders>
              <w:top w:val="single" w:color="auto" w:sz="2" w:space="0"/>
              <w:left w:val="single" w:color="auto" w:sz="2" w:space="0"/>
              <w:bottom w:val="single" w:color="auto" w:sz="2" w:space="0"/>
              <w:right w:val="single" w:color="auto" w:sz="2" w:space="0"/>
            </w:tcBorders>
            <w:shd w:val="clear" w:color="auto" w:fill="D3D3D3"/>
            <w:vAlign w:val="center"/>
          </w:tcPr>
          <w:p w14:paraId="10833CB8">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诉讼(仲裁)进展</w:t>
            </w:r>
          </w:p>
        </w:tc>
        <w:tc>
          <w:tcPr>
            <w:tcW w:w="1605" w:type="dxa"/>
            <w:tcBorders>
              <w:top w:val="single" w:color="auto" w:sz="2" w:space="0"/>
              <w:left w:val="single" w:color="auto" w:sz="2" w:space="0"/>
              <w:bottom w:val="single" w:color="auto" w:sz="2" w:space="0"/>
              <w:right w:val="single" w:color="auto" w:sz="2" w:space="0"/>
            </w:tcBorders>
            <w:shd w:val="clear" w:color="auto" w:fill="D3D3D3"/>
            <w:vAlign w:val="center"/>
          </w:tcPr>
          <w:p w14:paraId="126A18B0">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诉讼(仲裁)审理结果及影响</w:t>
            </w:r>
          </w:p>
        </w:tc>
        <w:tc>
          <w:tcPr>
            <w:tcW w:w="855" w:type="dxa"/>
            <w:tcBorders>
              <w:top w:val="single" w:color="auto" w:sz="2" w:space="0"/>
              <w:left w:val="single" w:color="auto" w:sz="2" w:space="0"/>
              <w:bottom w:val="single" w:color="auto" w:sz="2" w:space="0"/>
              <w:right w:val="single" w:color="auto" w:sz="2" w:space="0"/>
            </w:tcBorders>
            <w:shd w:val="clear" w:color="auto" w:fill="D3D3D3"/>
            <w:vAlign w:val="center"/>
          </w:tcPr>
          <w:p w14:paraId="73DD54FD">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诉讼(仲裁)判决执行情况</w:t>
            </w:r>
          </w:p>
        </w:tc>
        <w:tc>
          <w:tcPr>
            <w:tcW w:w="1026" w:type="dxa"/>
            <w:tcBorders>
              <w:top w:val="single" w:color="auto" w:sz="2" w:space="0"/>
              <w:left w:val="single" w:color="auto" w:sz="2" w:space="0"/>
              <w:bottom w:val="single" w:color="auto" w:sz="2" w:space="0"/>
              <w:right w:val="single" w:color="auto" w:sz="2" w:space="0"/>
            </w:tcBorders>
            <w:shd w:val="clear" w:color="auto" w:fill="D3D3D3"/>
            <w:vAlign w:val="center"/>
          </w:tcPr>
          <w:p w14:paraId="300F2D6B">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6163C87">
            <w:pPr>
              <w:spacing w:before="40" w:after="40" w:line="240" w:lineRule="exact"/>
              <w:jc w:val="center"/>
              <w:rPr>
                <w:rFonts w:ascii="宋体" w:hAnsi="宋体" w:eastAsia="宋体" w:cs="宋体"/>
                <w:sz w:val="18"/>
                <w:szCs w:val="18"/>
              </w:rPr>
            </w:pPr>
            <w:r>
              <w:rPr>
                <w:rFonts w:ascii="宋体" w:hAnsi="宋体" w:eastAsia="宋体" w:cs="宋体"/>
                <w:sz w:val="18"/>
                <w:szCs w:val="18"/>
              </w:rPr>
              <w:t>披露索引</w:t>
            </w:r>
          </w:p>
        </w:tc>
      </w:tr>
      <w:tr w14:paraId="07C50F6B">
        <w:trPr>
          <w:trHeight w:val="240" w:hRule="atLeast"/>
        </w:trPr>
        <w:tc>
          <w:tcPr>
            <w:tcW w:w="1965" w:type="dxa"/>
            <w:tcBorders>
              <w:top w:val="single" w:color="auto" w:sz="2" w:space="0"/>
              <w:left w:val="single" w:color="auto" w:sz="2" w:space="0"/>
              <w:bottom w:val="single" w:color="auto" w:sz="2" w:space="0"/>
              <w:right w:val="single" w:color="auto" w:sz="2" w:space="0"/>
            </w:tcBorders>
            <w:vAlign w:val="center"/>
          </w:tcPr>
          <w:p w14:paraId="17EAF3DC">
            <w:pPr>
              <w:spacing w:before="0" w:after="0" w:line="240" w:lineRule="exact"/>
              <w:jc w:val="left"/>
              <w:rPr>
                <w:rFonts w:ascii="宋体" w:hAnsi="宋体" w:eastAsia="宋体" w:cs="宋体"/>
                <w:sz w:val="18"/>
                <w:szCs w:val="18"/>
              </w:rPr>
            </w:pPr>
            <w:r>
              <w:rPr>
                <w:rFonts w:ascii="宋体" w:hAnsi="宋体" w:eastAsia="宋体" w:cs="宋体"/>
                <w:sz w:val="18"/>
                <w:szCs w:val="18"/>
              </w:rPr>
              <w:t>（2023）川0191执恢234号：付智鹏作为原告以与西藏银河商贸有限公司（简称“银河商贸”）民间借贷纠纷为由，向四川省成都市成都高新技术产业开发区人民法院提起诉讼，主要诉讼请求为：请求判令银河商贸向其支付借款本金350,000元；2018年5月18日至2020年11于20日的利息106,777.40元，以350,000元为基数按年利率10%计算从2020年11月21日至付清之日止的利息，申请人垫付的诉讼费及公告费等，一审原告胜诉。原告以西藏发展为银河商贸公司股东且未履行全 部出资义务为由，向一审法院提出执行异议，请求依法追加西藏发展为（2021）川0191执2865号案件的被执行人。</w:t>
            </w:r>
          </w:p>
        </w:tc>
        <w:tc>
          <w:tcPr>
            <w:tcW w:w="1035" w:type="dxa"/>
            <w:tcBorders>
              <w:top w:val="single" w:color="auto" w:sz="2" w:space="0"/>
              <w:left w:val="single" w:color="auto" w:sz="2" w:space="0"/>
              <w:bottom w:val="single" w:color="auto" w:sz="2" w:space="0"/>
              <w:right w:val="single" w:color="auto" w:sz="2" w:space="0"/>
            </w:tcBorders>
            <w:vAlign w:val="center"/>
          </w:tcPr>
          <w:p w14:paraId="4641FAE3">
            <w:pPr>
              <w:spacing w:before="0" w:after="0" w:line="240" w:lineRule="exact"/>
              <w:jc w:val="right"/>
              <w:rPr>
                <w:rFonts w:ascii="宋体" w:hAnsi="宋体" w:eastAsia="宋体" w:cs="宋体"/>
                <w:sz w:val="18"/>
                <w:szCs w:val="18"/>
              </w:rPr>
            </w:pPr>
            <w:r>
              <w:rPr>
                <w:rFonts w:ascii="宋体" w:hAnsi="宋体" w:eastAsia="宋体" w:cs="宋体"/>
                <w:sz w:val="18"/>
                <w:szCs w:val="18"/>
              </w:rPr>
              <w:t>47</w:t>
            </w:r>
          </w:p>
        </w:tc>
        <w:tc>
          <w:tcPr>
            <w:tcW w:w="585" w:type="dxa"/>
            <w:tcBorders>
              <w:top w:val="single" w:color="auto" w:sz="2" w:space="0"/>
              <w:left w:val="single" w:color="auto" w:sz="2" w:space="0"/>
              <w:bottom w:val="single" w:color="auto" w:sz="2" w:space="0"/>
              <w:right w:val="single" w:color="auto" w:sz="2" w:space="0"/>
            </w:tcBorders>
            <w:vAlign w:val="center"/>
          </w:tcPr>
          <w:p w14:paraId="64C800D5">
            <w:pPr>
              <w:spacing w:before="0" w:after="0" w:line="240" w:lineRule="exact"/>
              <w:jc w:val="center"/>
              <w:rPr>
                <w:rFonts w:ascii="宋体" w:hAnsi="宋体" w:eastAsia="宋体" w:cs="宋体"/>
                <w:sz w:val="18"/>
                <w:szCs w:val="18"/>
              </w:rPr>
            </w:pPr>
            <w:r>
              <w:rPr>
                <w:rFonts w:ascii="宋体" w:hAnsi="宋体" w:eastAsia="宋体" w:cs="宋体"/>
                <w:sz w:val="18"/>
                <w:szCs w:val="18"/>
              </w:rPr>
              <w:t>否</w:t>
            </w:r>
          </w:p>
        </w:tc>
        <w:tc>
          <w:tcPr>
            <w:tcW w:w="1635" w:type="dxa"/>
            <w:tcBorders>
              <w:top w:val="single" w:color="auto" w:sz="2" w:space="0"/>
              <w:left w:val="single" w:color="auto" w:sz="2" w:space="0"/>
              <w:bottom w:val="single" w:color="auto" w:sz="2" w:space="0"/>
              <w:right w:val="single" w:color="auto" w:sz="2" w:space="0"/>
            </w:tcBorders>
            <w:vAlign w:val="center"/>
          </w:tcPr>
          <w:p w14:paraId="3B78A003">
            <w:pPr>
              <w:spacing w:before="0" w:after="0" w:line="240" w:lineRule="exact"/>
              <w:jc w:val="left"/>
              <w:rPr>
                <w:rFonts w:ascii="宋体" w:hAnsi="宋体" w:eastAsia="宋体" w:cs="宋体"/>
                <w:sz w:val="18"/>
                <w:szCs w:val="18"/>
              </w:rPr>
            </w:pPr>
            <w:r>
              <w:rPr>
                <w:rFonts w:ascii="宋体" w:hAnsi="宋体" w:eastAsia="宋体" w:cs="宋体"/>
                <w:sz w:val="18"/>
                <w:szCs w:val="18"/>
              </w:rPr>
              <w:t>四川省成都市成都高新技术产业开发区人民法院已执行立案，执行案号（2023）川 0191 执恢234号，执行标的 469,034.00元。</w:t>
            </w:r>
          </w:p>
        </w:tc>
        <w:tc>
          <w:tcPr>
            <w:tcW w:w="1605" w:type="dxa"/>
            <w:tcBorders>
              <w:top w:val="single" w:color="auto" w:sz="2" w:space="0"/>
              <w:left w:val="single" w:color="auto" w:sz="2" w:space="0"/>
              <w:bottom w:val="single" w:color="auto" w:sz="2" w:space="0"/>
              <w:right w:val="single" w:color="auto" w:sz="2" w:space="0"/>
            </w:tcBorders>
            <w:vAlign w:val="center"/>
          </w:tcPr>
          <w:p w14:paraId="30D2575C">
            <w:pPr>
              <w:spacing w:before="0" w:after="0" w:line="240" w:lineRule="exact"/>
              <w:jc w:val="left"/>
              <w:rPr>
                <w:rFonts w:ascii="宋体" w:hAnsi="宋体" w:eastAsia="宋体" w:cs="宋体"/>
                <w:sz w:val="18"/>
                <w:szCs w:val="18"/>
              </w:rPr>
            </w:pPr>
            <w:r>
              <w:rPr>
                <w:rFonts w:ascii="宋体" w:hAnsi="宋体" w:eastAsia="宋体" w:cs="宋体"/>
                <w:sz w:val="18"/>
                <w:szCs w:val="18"/>
              </w:rPr>
              <w:t>该案已被执行立案，执行标的469,034.00元，公司持有西藏拉萨啤酒有限公司的股权被冻结。</w:t>
            </w:r>
          </w:p>
        </w:tc>
        <w:tc>
          <w:tcPr>
            <w:tcW w:w="855" w:type="dxa"/>
            <w:tcBorders>
              <w:top w:val="single" w:color="auto" w:sz="2" w:space="0"/>
              <w:left w:val="single" w:color="auto" w:sz="2" w:space="0"/>
              <w:bottom w:val="single" w:color="auto" w:sz="2" w:space="0"/>
              <w:right w:val="single" w:color="auto" w:sz="2" w:space="0"/>
            </w:tcBorders>
            <w:vAlign w:val="center"/>
          </w:tcPr>
          <w:p w14:paraId="3C3AE667">
            <w:pPr>
              <w:spacing w:before="0" w:after="0" w:line="240" w:lineRule="exact"/>
              <w:jc w:val="left"/>
              <w:rPr>
                <w:rFonts w:ascii="宋体" w:hAnsi="宋体" w:eastAsia="宋体" w:cs="宋体"/>
                <w:sz w:val="18"/>
                <w:szCs w:val="18"/>
              </w:rPr>
            </w:pPr>
            <w:r>
              <w:rPr>
                <w:rFonts w:ascii="宋体" w:hAnsi="宋体" w:eastAsia="宋体" w:cs="宋体"/>
                <w:sz w:val="18"/>
                <w:szCs w:val="18"/>
              </w:rPr>
              <w:t>进入执行阶段</w:t>
            </w:r>
          </w:p>
        </w:tc>
        <w:tc>
          <w:tcPr>
            <w:tcW w:w="1026" w:type="dxa"/>
            <w:tcBorders>
              <w:top w:val="single" w:color="auto" w:sz="2" w:space="0"/>
              <w:left w:val="single" w:color="auto" w:sz="2" w:space="0"/>
              <w:bottom w:val="single" w:color="auto" w:sz="2" w:space="0"/>
              <w:right w:val="single" w:color="auto" w:sz="2" w:space="0"/>
            </w:tcBorders>
            <w:vAlign w:val="center"/>
          </w:tcPr>
          <w:p w14:paraId="3A3418F0">
            <w:pPr>
              <w:spacing w:before="0" w:after="0" w:line="240" w:lineRule="exact"/>
              <w:jc w:val="left"/>
              <w:rPr>
                <w:rFonts w:ascii="宋体" w:hAnsi="宋体" w:eastAsia="宋体" w:cs="宋体"/>
                <w:sz w:val="18"/>
                <w:szCs w:val="18"/>
              </w:rPr>
            </w:pPr>
            <w:r>
              <w:rPr>
                <w:rFonts w:ascii="宋体" w:hAnsi="宋体" w:eastAsia="宋体" w:cs="宋体"/>
                <w:sz w:val="18"/>
                <w:szCs w:val="18"/>
              </w:rPr>
              <w:t>2023年02月22日</w:t>
            </w:r>
          </w:p>
        </w:tc>
        <w:tc>
          <w:tcPr>
            <w:tcW w:w="1205" w:type="dxa"/>
            <w:tcBorders>
              <w:top w:val="single" w:color="auto" w:sz="2" w:space="0"/>
              <w:left w:val="single" w:color="auto" w:sz="2" w:space="0"/>
              <w:bottom w:val="single" w:color="auto" w:sz="2" w:space="0"/>
              <w:right w:val="single" w:color="auto" w:sz="2" w:space="0"/>
            </w:tcBorders>
            <w:vAlign w:val="center"/>
          </w:tcPr>
          <w:p w14:paraId="1DF37490">
            <w:pPr>
              <w:spacing w:before="0" w:after="0" w:line="240" w:lineRule="exact"/>
              <w:jc w:val="left"/>
              <w:rPr>
                <w:rFonts w:ascii="宋体" w:hAnsi="宋体" w:eastAsia="宋体" w:cs="宋体"/>
                <w:sz w:val="16"/>
                <w:szCs w:val="16"/>
              </w:rPr>
            </w:pPr>
            <w:r>
              <w:rPr>
                <w:rFonts w:ascii="宋体" w:hAnsi="宋体" w:eastAsia="宋体" w:cs="宋体"/>
                <w:sz w:val="18"/>
                <w:szCs w:val="18"/>
              </w:rPr>
              <w:t>详细情况请见刊登于巨潮资讯网（www.cninfo.com.cn）的相关公告：2023年2月22日，公告编号：2023-012。</w:t>
            </w:r>
          </w:p>
        </w:tc>
      </w:tr>
    </w:tbl>
    <w:p w14:paraId="7F0EFF5E">
      <w:pPr>
        <w:spacing w:before="100" w:after="100" w:line="240" w:lineRule="exact"/>
        <w:rPr>
          <w:rFonts w:ascii="宋体" w:hAnsi="宋体" w:eastAsia="宋体" w:cs="宋体"/>
          <w:sz w:val="18"/>
          <w:szCs w:val="18"/>
        </w:rPr>
      </w:pPr>
    </w:p>
    <w:p w14:paraId="79EC7193">
      <w:pPr>
        <w:pStyle w:val="2"/>
        <w:spacing w:before="300" w:after="300" w:line="320" w:lineRule="exact"/>
        <w:rPr>
          <w:rFonts w:ascii="宋体" w:hAnsi="宋体" w:eastAsia="宋体" w:cs="宋体"/>
          <w:b/>
          <w:bCs/>
          <w:sz w:val="24"/>
          <w:szCs w:val="24"/>
        </w:rPr>
      </w:pPr>
      <w:bookmarkStart w:id="57" w:name="_Toc988946"/>
      <w:r>
        <w:rPr>
          <w:rFonts w:ascii="宋体" w:hAnsi="宋体" w:eastAsia="宋体" w:cs="宋体"/>
          <w:b/>
          <w:bCs/>
          <w:sz w:val="24"/>
          <w:szCs w:val="24"/>
        </w:rPr>
        <w:t>九、处罚及整改情况</w:t>
      </w:r>
      <w:bookmarkEnd w:id="57"/>
    </w:p>
    <w:p w14:paraId="7ECE1C65">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11"/>
        <w:tblW w:w="5237"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97"/>
        <w:gridCol w:w="776"/>
        <w:gridCol w:w="2495"/>
        <w:gridCol w:w="1104"/>
        <w:gridCol w:w="1775"/>
        <w:gridCol w:w="1063"/>
        <w:gridCol w:w="1810"/>
      </w:tblGrid>
      <w:tr w14:paraId="29CD49F5">
        <w:trPr>
          <w:trHeight w:val="240" w:hRule="atLeast"/>
          <w:jc w:val="center"/>
        </w:trPr>
        <w:tc>
          <w:tcPr>
            <w:tcW w:w="627" w:type="pct"/>
            <w:tcBorders>
              <w:top w:val="single" w:color="auto" w:sz="2" w:space="0"/>
              <w:left w:val="single" w:color="auto" w:sz="2" w:space="0"/>
              <w:bottom w:val="single" w:color="auto" w:sz="2" w:space="0"/>
              <w:right w:val="single" w:color="auto" w:sz="2" w:space="0"/>
            </w:tcBorders>
            <w:shd w:val="clear" w:color="auto" w:fill="D3D3D3"/>
            <w:vAlign w:val="center"/>
          </w:tcPr>
          <w:p w14:paraId="4424429B">
            <w:pPr>
              <w:spacing w:before="40" w:after="40" w:line="240" w:lineRule="exact"/>
              <w:jc w:val="center"/>
              <w:rPr>
                <w:rFonts w:ascii="宋体" w:hAnsi="宋体" w:eastAsia="宋体" w:cs="宋体"/>
                <w:sz w:val="18"/>
                <w:szCs w:val="18"/>
              </w:rPr>
            </w:pPr>
            <w:r>
              <w:rPr>
                <w:rFonts w:ascii="宋体" w:hAnsi="宋体" w:eastAsia="宋体" w:cs="宋体"/>
                <w:sz w:val="18"/>
                <w:szCs w:val="18"/>
              </w:rPr>
              <w:t>名称/姓名</w:t>
            </w: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3E1C0E26">
            <w:pPr>
              <w:spacing w:before="40" w:after="40" w:line="240" w:lineRule="exact"/>
              <w:jc w:val="center"/>
              <w:rPr>
                <w:rFonts w:ascii="宋体" w:hAnsi="宋体" w:eastAsia="宋体" w:cs="宋体"/>
                <w:sz w:val="18"/>
                <w:szCs w:val="18"/>
              </w:rPr>
            </w:pPr>
            <w:r>
              <w:rPr>
                <w:rFonts w:ascii="宋体" w:hAnsi="宋体" w:eastAsia="宋体" w:cs="宋体"/>
                <w:sz w:val="18"/>
                <w:szCs w:val="18"/>
              </w:rPr>
              <w:t>类型</w:t>
            </w:r>
          </w:p>
        </w:tc>
        <w:tc>
          <w:tcPr>
            <w:tcW w:w="1208" w:type="pct"/>
            <w:tcBorders>
              <w:top w:val="single" w:color="auto" w:sz="2" w:space="0"/>
              <w:left w:val="single" w:color="auto" w:sz="2" w:space="0"/>
              <w:bottom w:val="single" w:color="auto" w:sz="2" w:space="0"/>
              <w:right w:val="single" w:color="auto" w:sz="2" w:space="0"/>
            </w:tcBorders>
            <w:shd w:val="clear" w:color="auto" w:fill="D3D3D3"/>
            <w:vAlign w:val="center"/>
          </w:tcPr>
          <w:p w14:paraId="5557997A">
            <w:pPr>
              <w:spacing w:before="40" w:after="40" w:line="240" w:lineRule="exact"/>
              <w:jc w:val="center"/>
              <w:rPr>
                <w:rFonts w:ascii="宋体" w:hAnsi="宋体" w:eastAsia="宋体" w:cs="宋体"/>
                <w:sz w:val="18"/>
                <w:szCs w:val="18"/>
              </w:rPr>
            </w:pPr>
            <w:r>
              <w:rPr>
                <w:rFonts w:ascii="宋体" w:hAnsi="宋体" w:eastAsia="宋体" w:cs="宋体"/>
                <w:sz w:val="18"/>
                <w:szCs w:val="18"/>
              </w:rPr>
              <w:t>原因</w:t>
            </w:r>
          </w:p>
        </w:tc>
        <w:tc>
          <w:tcPr>
            <w:tcW w:w="535" w:type="pct"/>
            <w:tcBorders>
              <w:top w:val="single" w:color="auto" w:sz="2" w:space="0"/>
              <w:left w:val="single" w:color="auto" w:sz="2" w:space="0"/>
              <w:bottom w:val="single" w:color="auto" w:sz="2" w:space="0"/>
              <w:right w:val="single" w:color="auto" w:sz="2" w:space="0"/>
            </w:tcBorders>
            <w:shd w:val="clear" w:color="auto" w:fill="D3D3D3"/>
            <w:vAlign w:val="center"/>
          </w:tcPr>
          <w:p w14:paraId="1CA7B6B6">
            <w:pPr>
              <w:spacing w:before="40" w:after="40" w:line="240" w:lineRule="exact"/>
              <w:jc w:val="center"/>
              <w:rPr>
                <w:rFonts w:ascii="宋体" w:hAnsi="宋体" w:eastAsia="宋体" w:cs="宋体"/>
                <w:sz w:val="18"/>
                <w:szCs w:val="18"/>
              </w:rPr>
            </w:pPr>
            <w:r>
              <w:rPr>
                <w:rFonts w:ascii="宋体" w:hAnsi="宋体" w:eastAsia="宋体" w:cs="宋体"/>
                <w:sz w:val="18"/>
                <w:szCs w:val="18"/>
              </w:rPr>
              <w:t>调查处罚类型</w:t>
            </w:r>
          </w:p>
        </w:tc>
        <w:tc>
          <w:tcPr>
            <w:tcW w:w="859" w:type="pct"/>
            <w:tcBorders>
              <w:top w:val="single" w:color="auto" w:sz="2" w:space="0"/>
              <w:left w:val="single" w:color="auto" w:sz="2" w:space="0"/>
              <w:bottom w:val="single" w:color="auto" w:sz="2" w:space="0"/>
              <w:right w:val="single" w:color="auto" w:sz="2" w:space="0"/>
            </w:tcBorders>
            <w:shd w:val="clear" w:color="auto" w:fill="D3D3D3"/>
            <w:vAlign w:val="center"/>
          </w:tcPr>
          <w:p w14:paraId="69193257">
            <w:pPr>
              <w:spacing w:before="40" w:after="40" w:line="240" w:lineRule="exact"/>
              <w:jc w:val="center"/>
              <w:rPr>
                <w:rFonts w:ascii="宋体" w:hAnsi="宋体" w:eastAsia="宋体" w:cs="宋体"/>
                <w:sz w:val="18"/>
                <w:szCs w:val="18"/>
              </w:rPr>
            </w:pPr>
            <w:r>
              <w:rPr>
                <w:rFonts w:ascii="宋体" w:hAnsi="宋体" w:eastAsia="宋体" w:cs="宋体"/>
                <w:sz w:val="18"/>
                <w:szCs w:val="18"/>
              </w:rPr>
              <w:t>结论（如有）</w:t>
            </w:r>
          </w:p>
        </w:tc>
        <w:tc>
          <w:tcPr>
            <w:tcW w:w="515" w:type="pct"/>
            <w:tcBorders>
              <w:top w:val="single" w:color="auto" w:sz="2" w:space="0"/>
              <w:left w:val="single" w:color="auto" w:sz="2" w:space="0"/>
              <w:bottom w:val="single" w:color="auto" w:sz="2" w:space="0"/>
              <w:right w:val="single" w:color="auto" w:sz="2" w:space="0"/>
            </w:tcBorders>
            <w:shd w:val="clear" w:color="auto" w:fill="D3D3D3"/>
            <w:vAlign w:val="center"/>
          </w:tcPr>
          <w:p w14:paraId="06AD25BA">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876" w:type="pct"/>
            <w:tcBorders>
              <w:top w:val="single" w:color="auto" w:sz="2" w:space="0"/>
              <w:left w:val="single" w:color="auto" w:sz="2" w:space="0"/>
              <w:bottom w:val="single" w:color="auto" w:sz="2" w:space="0"/>
              <w:right w:val="single" w:color="auto" w:sz="2" w:space="0"/>
            </w:tcBorders>
            <w:shd w:val="clear" w:color="auto" w:fill="D3D3D3"/>
            <w:vAlign w:val="center"/>
          </w:tcPr>
          <w:p w14:paraId="3B8CF62F">
            <w:pPr>
              <w:spacing w:before="40" w:after="40" w:line="240" w:lineRule="exact"/>
              <w:jc w:val="center"/>
              <w:rPr>
                <w:rFonts w:ascii="宋体" w:hAnsi="宋体" w:eastAsia="宋体" w:cs="宋体"/>
                <w:sz w:val="18"/>
                <w:szCs w:val="18"/>
              </w:rPr>
            </w:pPr>
            <w:r>
              <w:rPr>
                <w:rFonts w:ascii="宋体" w:hAnsi="宋体" w:eastAsia="宋体" w:cs="宋体"/>
                <w:sz w:val="18"/>
                <w:szCs w:val="18"/>
              </w:rPr>
              <w:t>披露索引</w:t>
            </w:r>
          </w:p>
        </w:tc>
      </w:tr>
      <w:tr w14:paraId="1AAF5D53">
        <w:trPr>
          <w:trHeight w:val="2046" w:hRule="atLeast"/>
          <w:jc w:val="center"/>
        </w:trPr>
        <w:tc>
          <w:tcPr>
            <w:tcW w:w="627" w:type="pct"/>
            <w:tcBorders>
              <w:top w:val="single" w:color="auto" w:sz="2" w:space="0"/>
              <w:left w:val="single" w:color="auto" w:sz="2" w:space="0"/>
              <w:right w:val="single" w:color="auto" w:sz="2" w:space="0"/>
            </w:tcBorders>
            <w:vAlign w:val="center"/>
          </w:tcPr>
          <w:p w14:paraId="439B1086">
            <w:pPr>
              <w:spacing w:line="240" w:lineRule="exact"/>
              <w:rPr>
                <w:rFonts w:ascii="宋体" w:hAnsi="宋体" w:eastAsia="宋体" w:cs="宋体"/>
                <w:sz w:val="18"/>
                <w:szCs w:val="18"/>
              </w:rPr>
            </w:pPr>
            <w:r>
              <w:rPr>
                <w:rFonts w:ascii="宋体" w:hAnsi="宋体" w:eastAsia="宋体" w:cs="宋体"/>
                <w:sz w:val="18"/>
                <w:szCs w:val="18"/>
              </w:rPr>
              <w:t>西藏发展股份有限公司</w:t>
            </w:r>
            <w:r>
              <w:rPr>
                <w:rFonts w:hint="eastAsia" w:ascii="宋体" w:hAnsi="宋体" w:eastAsia="宋体" w:cs="宋体"/>
                <w:sz w:val="18"/>
                <w:szCs w:val="18"/>
              </w:rPr>
              <w:t>、</w:t>
            </w:r>
          </w:p>
          <w:p w14:paraId="55E3D17B">
            <w:pPr>
              <w:spacing w:line="240" w:lineRule="exact"/>
              <w:rPr>
                <w:rFonts w:ascii="宋体" w:hAnsi="宋体" w:eastAsia="宋体" w:cs="宋体"/>
                <w:sz w:val="18"/>
                <w:szCs w:val="18"/>
              </w:rPr>
            </w:pPr>
            <w:r>
              <w:rPr>
                <w:rFonts w:ascii="宋体" w:hAnsi="宋体" w:eastAsia="宋体" w:cs="宋体"/>
                <w:sz w:val="18"/>
                <w:szCs w:val="18"/>
              </w:rPr>
              <w:t>罗希</w:t>
            </w:r>
          </w:p>
        </w:tc>
        <w:tc>
          <w:tcPr>
            <w:tcW w:w="376" w:type="pct"/>
            <w:tcBorders>
              <w:top w:val="single" w:color="auto" w:sz="2" w:space="0"/>
              <w:left w:val="single" w:color="auto" w:sz="2" w:space="0"/>
              <w:right w:val="single" w:color="auto" w:sz="2" w:space="0"/>
            </w:tcBorders>
            <w:vAlign w:val="center"/>
          </w:tcPr>
          <w:p w14:paraId="7D5237BC">
            <w:pPr>
              <w:spacing w:line="240" w:lineRule="exact"/>
              <w:rPr>
                <w:rFonts w:ascii="宋体" w:hAnsi="宋体" w:eastAsia="宋体" w:cs="宋体"/>
                <w:sz w:val="18"/>
                <w:szCs w:val="18"/>
              </w:rPr>
            </w:pPr>
            <w:r>
              <w:rPr>
                <w:rFonts w:hint="eastAsia" w:ascii="宋体" w:hAnsi="宋体" w:eastAsia="宋体" w:cs="宋体"/>
                <w:sz w:val="18"/>
                <w:szCs w:val="18"/>
              </w:rPr>
              <w:t>上市公司、董事长</w:t>
            </w:r>
          </w:p>
        </w:tc>
        <w:tc>
          <w:tcPr>
            <w:tcW w:w="1208" w:type="pct"/>
            <w:tcBorders>
              <w:top w:val="single" w:color="auto" w:sz="2" w:space="0"/>
              <w:left w:val="single" w:color="auto" w:sz="2" w:space="0"/>
              <w:right w:val="single" w:color="auto" w:sz="2" w:space="0"/>
            </w:tcBorders>
            <w:vAlign w:val="center"/>
          </w:tcPr>
          <w:p w14:paraId="73AE51F2">
            <w:pPr>
              <w:spacing w:line="240" w:lineRule="exact"/>
              <w:rPr>
                <w:rFonts w:ascii="宋体" w:hAnsi="宋体" w:eastAsia="宋体" w:cs="宋体"/>
                <w:sz w:val="18"/>
                <w:szCs w:val="18"/>
              </w:rPr>
            </w:pPr>
            <w:r>
              <w:rPr>
                <w:rFonts w:ascii="宋体" w:hAnsi="宋体" w:eastAsia="宋体" w:cs="宋体"/>
                <w:sz w:val="18"/>
                <w:szCs w:val="18"/>
              </w:rPr>
              <w:t>公司未及时披露(2023)藏01民初25号诉讼案件重大变化进展情况，违反了《上市公司信息披露管理办法》第三条第一款、第二十五条的规定。</w:t>
            </w:r>
          </w:p>
        </w:tc>
        <w:tc>
          <w:tcPr>
            <w:tcW w:w="535" w:type="pct"/>
            <w:tcBorders>
              <w:top w:val="single" w:color="auto" w:sz="2" w:space="0"/>
              <w:left w:val="single" w:color="auto" w:sz="2" w:space="0"/>
              <w:right w:val="single" w:color="auto" w:sz="2" w:space="0"/>
            </w:tcBorders>
            <w:vAlign w:val="center"/>
          </w:tcPr>
          <w:p w14:paraId="08232A6D">
            <w:pPr>
              <w:spacing w:line="240" w:lineRule="exact"/>
              <w:rPr>
                <w:rFonts w:ascii="宋体" w:hAnsi="宋体" w:eastAsia="宋体" w:cs="宋体"/>
                <w:sz w:val="18"/>
                <w:szCs w:val="18"/>
              </w:rPr>
            </w:pPr>
            <w:r>
              <w:rPr>
                <w:rFonts w:ascii="宋体" w:hAnsi="宋体" w:eastAsia="宋体" w:cs="宋体"/>
                <w:sz w:val="18"/>
                <w:szCs w:val="18"/>
              </w:rPr>
              <w:t>中国证监会采取行政监管措施</w:t>
            </w:r>
          </w:p>
          <w:p w14:paraId="252CD277">
            <w:pPr>
              <w:spacing w:line="240" w:lineRule="exact"/>
              <w:rPr>
                <w:rFonts w:ascii="宋体" w:hAnsi="宋体" w:eastAsia="宋体" w:cs="宋体"/>
                <w:sz w:val="18"/>
                <w:szCs w:val="18"/>
              </w:rPr>
            </w:pPr>
          </w:p>
        </w:tc>
        <w:tc>
          <w:tcPr>
            <w:tcW w:w="859" w:type="pct"/>
            <w:tcBorders>
              <w:top w:val="single" w:color="auto" w:sz="2" w:space="0"/>
              <w:left w:val="single" w:color="auto" w:sz="2" w:space="0"/>
              <w:right w:val="single" w:color="auto" w:sz="2" w:space="0"/>
            </w:tcBorders>
            <w:vAlign w:val="center"/>
          </w:tcPr>
          <w:p w14:paraId="739CC714">
            <w:pPr>
              <w:spacing w:line="240" w:lineRule="exact"/>
              <w:rPr>
                <w:rFonts w:ascii="宋体" w:hAnsi="宋体" w:eastAsia="宋体" w:cs="宋体"/>
                <w:sz w:val="18"/>
                <w:szCs w:val="18"/>
              </w:rPr>
            </w:pPr>
            <w:r>
              <w:rPr>
                <w:rFonts w:ascii="宋体" w:hAnsi="宋体" w:eastAsia="宋体" w:cs="宋体"/>
                <w:sz w:val="18"/>
                <w:szCs w:val="18"/>
              </w:rPr>
              <w:t>中国证券监督管理委员会西藏监管局决定对公司</w:t>
            </w:r>
            <w:r>
              <w:rPr>
                <w:rFonts w:hint="eastAsia" w:ascii="宋体" w:hAnsi="宋体" w:eastAsia="宋体" w:cs="宋体"/>
                <w:sz w:val="18"/>
                <w:szCs w:val="18"/>
              </w:rPr>
              <w:t>、</w:t>
            </w:r>
            <w:r>
              <w:rPr>
                <w:rFonts w:ascii="宋体" w:hAnsi="宋体" w:eastAsia="宋体" w:cs="宋体"/>
                <w:sz w:val="18"/>
                <w:szCs w:val="18"/>
              </w:rPr>
              <w:t>相关人员采取出具警示函的监督管理措施，并将相关情况记入证券期货市场诚信档案。</w:t>
            </w:r>
          </w:p>
        </w:tc>
        <w:tc>
          <w:tcPr>
            <w:tcW w:w="515" w:type="pct"/>
            <w:tcBorders>
              <w:top w:val="single" w:color="auto" w:sz="2" w:space="0"/>
              <w:left w:val="single" w:color="auto" w:sz="2" w:space="0"/>
              <w:right w:val="single" w:color="auto" w:sz="2" w:space="0"/>
            </w:tcBorders>
            <w:vAlign w:val="center"/>
          </w:tcPr>
          <w:p w14:paraId="50A8632F">
            <w:pPr>
              <w:spacing w:line="240" w:lineRule="exact"/>
              <w:rPr>
                <w:rFonts w:ascii="宋体" w:hAnsi="宋体" w:eastAsia="宋体" w:cs="宋体"/>
                <w:sz w:val="18"/>
                <w:szCs w:val="18"/>
              </w:rPr>
            </w:pPr>
            <w:r>
              <w:rPr>
                <w:rFonts w:ascii="宋体" w:hAnsi="宋体" w:eastAsia="宋体" w:cs="宋体"/>
                <w:sz w:val="18"/>
                <w:szCs w:val="18"/>
              </w:rPr>
              <w:t>2024年04月08日</w:t>
            </w:r>
          </w:p>
        </w:tc>
        <w:tc>
          <w:tcPr>
            <w:tcW w:w="876" w:type="pct"/>
            <w:tcBorders>
              <w:top w:val="single" w:color="auto" w:sz="2" w:space="0"/>
              <w:left w:val="single" w:color="auto" w:sz="2" w:space="0"/>
              <w:bottom w:val="single" w:color="auto" w:sz="2" w:space="0"/>
              <w:right w:val="single" w:color="auto" w:sz="2" w:space="0"/>
            </w:tcBorders>
            <w:vAlign w:val="center"/>
          </w:tcPr>
          <w:p w14:paraId="0BBD929C">
            <w:pPr>
              <w:spacing w:line="240" w:lineRule="exact"/>
              <w:rPr>
                <w:rFonts w:ascii="宋体" w:hAnsi="宋体" w:eastAsia="宋体" w:cs="宋体"/>
                <w:sz w:val="18"/>
                <w:szCs w:val="18"/>
              </w:rPr>
            </w:pPr>
            <w:r>
              <w:rPr>
                <w:rFonts w:ascii="宋体" w:hAnsi="宋体" w:eastAsia="宋体" w:cs="宋体"/>
                <w:sz w:val="18"/>
                <w:szCs w:val="18"/>
              </w:rPr>
              <w:t>http://www.cninfo.com.cn 《关于公司及相关人员收到中国证券监督管理委员会西藏监管局&lt;行政监管措施决定书&gt;的公告》公告编号</w:t>
            </w:r>
            <w:r>
              <w:rPr>
                <w:rFonts w:hint="eastAsia" w:ascii="宋体" w:hAnsi="宋体" w:eastAsia="宋体" w:cs="宋体"/>
                <w:sz w:val="18"/>
                <w:szCs w:val="18"/>
              </w:rPr>
              <w:t>：</w:t>
            </w:r>
            <w:r>
              <w:rPr>
                <w:rFonts w:ascii="宋体" w:hAnsi="宋体" w:eastAsia="宋体" w:cs="宋体"/>
                <w:sz w:val="18"/>
                <w:szCs w:val="18"/>
              </w:rPr>
              <w:t>2024-040。</w:t>
            </w:r>
          </w:p>
        </w:tc>
      </w:tr>
      <w:tr w14:paraId="336E51D1">
        <w:trPr>
          <w:trHeight w:val="240" w:hRule="atLeast"/>
          <w:jc w:val="center"/>
        </w:trPr>
        <w:tc>
          <w:tcPr>
            <w:tcW w:w="627" w:type="pct"/>
            <w:tcBorders>
              <w:top w:val="single" w:color="auto" w:sz="2" w:space="0"/>
              <w:left w:val="single" w:color="auto" w:sz="2" w:space="0"/>
              <w:bottom w:val="single" w:color="auto" w:sz="2" w:space="0"/>
              <w:right w:val="single" w:color="auto" w:sz="2" w:space="0"/>
            </w:tcBorders>
            <w:vAlign w:val="center"/>
          </w:tcPr>
          <w:p w14:paraId="42645F0C">
            <w:pPr>
              <w:spacing w:line="240" w:lineRule="exact"/>
              <w:rPr>
                <w:rFonts w:ascii="宋体" w:hAnsi="宋体" w:eastAsia="宋体" w:cs="宋体"/>
                <w:sz w:val="18"/>
                <w:szCs w:val="18"/>
              </w:rPr>
            </w:pPr>
            <w:r>
              <w:rPr>
                <w:rFonts w:ascii="宋体" w:hAnsi="宋体" w:eastAsia="宋体" w:cs="宋体"/>
                <w:sz w:val="18"/>
                <w:szCs w:val="18"/>
              </w:rPr>
              <w:t>西藏发展股份有限公司</w:t>
            </w:r>
          </w:p>
        </w:tc>
        <w:tc>
          <w:tcPr>
            <w:tcW w:w="376" w:type="pct"/>
            <w:tcBorders>
              <w:top w:val="single" w:color="auto" w:sz="2" w:space="0"/>
              <w:left w:val="single" w:color="auto" w:sz="2" w:space="0"/>
              <w:bottom w:val="single" w:color="auto" w:sz="2" w:space="0"/>
              <w:right w:val="single" w:color="auto" w:sz="2" w:space="0"/>
            </w:tcBorders>
            <w:vAlign w:val="center"/>
          </w:tcPr>
          <w:p w14:paraId="1F9F33EA">
            <w:pPr>
              <w:spacing w:line="240" w:lineRule="exact"/>
              <w:rPr>
                <w:rFonts w:ascii="宋体" w:hAnsi="宋体" w:eastAsia="宋体" w:cs="宋体"/>
                <w:sz w:val="18"/>
                <w:szCs w:val="18"/>
              </w:rPr>
            </w:pPr>
            <w:r>
              <w:rPr>
                <w:rFonts w:hint="eastAsia" w:ascii="宋体" w:hAnsi="宋体" w:eastAsia="宋体" w:cs="宋体"/>
                <w:sz w:val="18"/>
                <w:szCs w:val="18"/>
              </w:rPr>
              <w:t>上市公司</w:t>
            </w:r>
          </w:p>
        </w:tc>
        <w:tc>
          <w:tcPr>
            <w:tcW w:w="1208" w:type="pct"/>
            <w:tcBorders>
              <w:top w:val="single" w:color="auto" w:sz="2" w:space="0"/>
              <w:left w:val="single" w:color="auto" w:sz="2" w:space="0"/>
              <w:bottom w:val="single" w:color="auto" w:sz="2" w:space="0"/>
              <w:right w:val="single" w:color="auto" w:sz="2" w:space="0"/>
            </w:tcBorders>
            <w:vAlign w:val="center"/>
          </w:tcPr>
          <w:p w14:paraId="399768B5">
            <w:pPr>
              <w:spacing w:line="240" w:lineRule="exact"/>
              <w:rPr>
                <w:rFonts w:ascii="宋体" w:hAnsi="宋体" w:eastAsia="宋体" w:cs="宋体"/>
                <w:sz w:val="18"/>
                <w:szCs w:val="18"/>
              </w:rPr>
            </w:pPr>
            <w:r>
              <w:rPr>
                <w:rFonts w:ascii="宋体" w:hAnsi="宋体" w:eastAsia="宋体" w:cs="宋体"/>
                <w:sz w:val="18"/>
                <w:szCs w:val="18"/>
              </w:rPr>
              <w:t>1、西藏发展2016年至2022年年度报告、2022年中期报告存在重大遗漏。</w:t>
            </w:r>
          </w:p>
          <w:p w14:paraId="0098B349">
            <w:pPr>
              <w:spacing w:line="240" w:lineRule="exact"/>
              <w:rPr>
                <w:rFonts w:ascii="宋体" w:hAnsi="宋体" w:eastAsia="宋体" w:cs="宋体"/>
                <w:sz w:val="18"/>
                <w:szCs w:val="18"/>
              </w:rPr>
            </w:pPr>
            <w:r>
              <w:rPr>
                <w:rFonts w:ascii="宋体" w:hAnsi="宋体" w:eastAsia="宋体" w:cs="宋体"/>
                <w:sz w:val="18"/>
                <w:szCs w:val="18"/>
              </w:rPr>
              <w:t>2、西藏发展2016年至2018年年度报告、2018年中期报告存在虚假记载。</w:t>
            </w:r>
          </w:p>
          <w:p w14:paraId="7D22AE97">
            <w:pPr>
              <w:spacing w:line="240" w:lineRule="exact"/>
              <w:rPr>
                <w:rFonts w:ascii="宋体" w:hAnsi="宋体" w:eastAsia="宋体" w:cs="宋体"/>
                <w:sz w:val="18"/>
                <w:szCs w:val="18"/>
              </w:rPr>
            </w:pPr>
            <w:r>
              <w:rPr>
                <w:rFonts w:ascii="宋体" w:hAnsi="宋体" w:eastAsia="宋体" w:cs="宋体"/>
                <w:sz w:val="18"/>
                <w:szCs w:val="18"/>
              </w:rPr>
              <w:t>3、西藏发展未及时披露重大对外借款及天易隆兴所持西藏发展10.65%股权被冻结事项。</w:t>
            </w:r>
          </w:p>
        </w:tc>
        <w:tc>
          <w:tcPr>
            <w:tcW w:w="535" w:type="pct"/>
            <w:tcBorders>
              <w:top w:val="single" w:color="auto" w:sz="2" w:space="0"/>
              <w:left w:val="single" w:color="auto" w:sz="2" w:space="0"/>
              <w:bottom w:val="single" w:color="auto" w:sz="2" w:space="0"/>
              <w:right w:val="single" w:color="auto" w:sz="2" w:space="0"/>
            </w:tcBorders>
            <w:vAlign w:val="center"/>
          </w:tcPr>
          <w:p w14:paraId="3690C41A">
            <w:pPr>
              <w:spacing w:line="240" w:lineRule="exact"/>
              <w:rPr>
                <w:rFonts w:ascii="宋体" w:hAnsi="宋体" w:eastAsia="宋体" w:cs="宋体"/>
                <w:sz w:val="18"/>
                <w:szCs w:val="18"/>
              </w:rPr>
            </w:pPr>
            <w:r>
              <w:rPr>
                <w:rFonts w:ascii="宋体" w:hAnsi="宋体" w:eastAsia="宋体" w:cs="宋体"/>
                <w:sz w:val="18"/>
                <w:szCs w:val="18"/>
              </w:rPr>
              <w:t>被中国证监会立案调查或行政处罚</w:t>
            </w:r>
          </w:p>
        </w:tc>
        <w:tc>
          <w:tcPr>
            <w:tcW w:w="859" w:type="pct"/>
            <w:tcBorders>
              <w:top w:val="single" w:color="auto" w:sz="2" w:space="0"/>
              <w:left w:val="single" w:color="auto" w:sz="2" w:space="0"/>
              <w:bottom w:val="single" w:color="auto" w:sz="2" w:space="0"/>
              <w:right w:val="single" w:color="auto" w:sz="2" w:space="0"/>
            </w:tcBorders>
            <w:vAlign w:val="center"/>
          </w:tcPr>
          <w:p w14:paraId="6ABFF861">
            <w:pPr>
              <w:spacing w:line="240" w:lineRule="exact"/>
              <w:rPr>
                <w:rFonts w:hint="eastAsia" w:ascii="宋体" w:hAnsi="宋体" w:eastAsia="宋体" w:cs="宋体"/>
                <w:sz w:val="18"/>
                <w:szCs w:val="18"/>
                <w:highlight w:val="none"/>
                <w:lang w:eastAsia="zh-CN"/>
              </w:rPr>
            </w:pPr>
            <w:r>
              <w:rPr>
                <w:rFonts w:ascii="宋体" w:hAnsi="宋体" w:eastAsia="宋体" w:cs="宋体"/>
                <w:sz w:val="18"/>
                <w:szCs w:val="18"/>
                <w:highlight w:val="none"/>
              </w:rPr>
              <w:t>中国证券监督管理委员会对西藏发展责令改正，给予警告，并处以800万元罚款</w:t>
            </w:r>
            <w:r>
              <w:rPr>
                <w:rFonts w:hint="eastAsia" w:ascii="宋体" w:hAnsi="宋体" w:eastAsia="宋体" w:cs="宋体"/>
                <w:sz w:val="18"/>
                <w:szCs w:val="18"/>
                <w:highlight w:val="none"/>
                <w:lang w:eastAsia="zh-CN"/>
              </w:rPr>
              <w:t>。</w:t>
            </w:r>
            <w:r>
              <w:rPr>
                <w:rFonts w:hint="eastAsia" w:ascii="宋体" w:hAnsi="宋体" w:eastAsia="宋体" w:cs="宋体"/>
                <w:sz w:val="18"/>
                <w:szCs w:val="18"/>
                <w:highlight w:val="none"/>
                <w:lang w:val="en-US" w:eastAsia="zh-CN"/>
              </w:rPr>
              <w:t>本次《事先告知书》，仅为中国证监会对公司的事先告知。本次行政处罚最终结果以中国证监会正式出具的行政处罚决定为准。</w:t>
            </w:r>
          </w:p>
        </w:tc>
        <w:tc>
          <w:tcPr>
            <w:tcW w:w="515" w:type="pct"/>
            <w:tcBorders>
              <w:top w:val="single" w:color="auto" w:sz="2" w:space="0"/>
              <w:left w:val="single" w:color="auto" w:sz="2" w:space="0"/>
              <w:bottom w:val="single" w:color="auto" w:sz="2" w:space="0"/>
              <w:right w:val="single" w:color="auto" w:sz="2" w:space="0"/>
            </w:tcBorders>
            <w:vAlign w:val="center"/>
          </w:tcPr>
          <w:p w14:paraId="61A88065">
            <w:pPr>
              <w:spacing w:line="240" w:lineRule="exact"/>
              <w:rPr>
                <w:rFonts w:ascii="宋体" w:hAnsi="宋体" w:eastAsia="宋体" w:cs="宋体"/>
                <w:sz w:val="18"/>
                <w:szCs w:val="18"/>
              </w:rPr>
            </w:pPr>
            <w:r>
              <w:rPr>
                <w:rFonts w:ascii="宋体" w:hAnsi="宋体" w:eastAsia="宋体" w:cs="宋体"/>
                <w:sz w:val="18"/>
                <w:szCs w:val="18"/>
              </w:rPr>
              <w:t>2024年06月08日</w:t>
            </w:r>
          </w:p>
        </w:tc>
        <w:tc>
          <w:tcPr>
            <w:tcW w:w="876" w:type="pct"/>
            <w:tcBorders>
              <w:top w:val="single" w:color="auto" w:sz="2" w:space="0"/>
              <w:left w:val="single" w:color="auto" w:sz="2" w:space="0"/>
              <w:bottom w:val="single" w:color="auto" w:sz="2" w:space="0"/>
              <w:right w:val="single" w:color="auto" w:sz="2" w:space="0"/>
            </w:tcBorders>
            <w:vAlign w:val="center"/>
          </w:tcPr>
          <w:p w14:paraId="185296C2">
            <w:pPr>
              <w:spacing w:line="240" w:lineRule="exact"/>
              <w:rPr>
                <w:rFonts w:ascii="宋体" w:hAnsi="宋体" w:eastAsia="宋体" w:cs="宋体"/>
                <w:sz w:val="18"/>
                <w:szCs w:val="18"/>
              </w:rPr>
            </w:pPr>
            <w:r>
              <w:rPr>
                <w:rFonts w:ascii="宋体" w:hAnsi="宋体" w:eastAsia="宋体" w:cs="宋体"/>
                <w:sz w:val="18"/>
                <w:szCs w:val="18"/>
              </w:rPr>
              <w:t>http://www.cninfo.com.cn《关于公司及相关责任人收到中国证券监督管理委员会&lt;行政处罚及市场禁入事先告知书&gt;的公告》，公告编号：2024-083。</w:t>
            </w:r>
          </w:p>
        </w:tc>
      </w:tr>
      <w:tr w14:paraId="63A406A3">
        <w:trPr>
          <w:trHeight w:val="240" w:hRule="atLeast"/>
          <w:jc w:val="center"/>
        </w:trPr>
        <w:tc>
          <w:tcPr>
            <w:tcW w:w="627" w:type="pct"/>
            <w:tcBorders>
              <w:top w:val="single" w:color="auto" w:sz="2" w:space="0"/>
              <w:left w:val="single" w:color="auto" w:sz="2" w:space="0"/>
              <w:bottom w:val="single" w:color="auto" w:sz="2" w:space="0"/>
              <w:right w:val="single" w:color="auto" w:sz="2" w:space="0"/>
            </w:tcBorders>
            <w:vAlign w:val="center"/>
          </w:tcPr>
          <w:p w14:paraId="2A458164">
            <w:pPr>
              <w:spacing w:line="240" w:lineRule="exact"/>
              <w:rPr>
                <w:rFonts w:ascii="宋体" w:hAnsi="宋体" w:eastAsia="宋体" w:cs="宋体"/>
                <w:sz w:val="18"/>
                <w:szCs w:val="18"/>
              </w:rPr>
            </w:pPr>
            <w:r>
              <w:rPr>
                <w:rFonts w:ascii="宋体" w:hAnsi="宋体" w:eastAsia="宋体" w:cs="宋体"/>
                <w:sz w:val="18"/>
                <w:szCs w:val="18"/>
              </w:rPr>
              <w:t>罗希</w:t>
            </w:r>
          </w:p>
        </w:tc>
        <w:tc>
          <w:tcPr>
            <w:tcW w:w="376" w:type="pct"/>
            <w:tcBorders>
              <w:top w:val="single" w:color="auto" w:sz="2" w:space="0"/>
              <w:left w:val="single" w:color="auto" w:sz="2" w:space="0"/>
              <w:bottom w:val="single" w:color="auto" w:sz="2" w:space="0"/>
              <w:right w:val="single" w:color="auto" w:sz="2" w:space="0"/>
            </w:tcBorders>
            <w:vAlign w:val="center"/>
          </w:tcPr>
          <w:p w14:paraId="47819139">
            <w:pPr>
              <w:spacing w:line="240" w:lineRule="exact"/>
              <w:rPr>
                <w:rFonts w:ascii="宋体" w:hAnsi="宋体" w:eastAsia="宋体" w:cs="宋体"/>
                <w:sz w:val="18"/>
                <w:szCs w:val="18"/>
              </w:rPr>
            </w:pPr>
            <w:r>
              <w:rPr>
                <w:rFonts w:hint="eastAsia" w:ascii="宋体" w:hAnsi="宋体" w:eastAsia="宋体" w:cs="宋体"/>
                <w:sz w:val="18"/>
                <w:szCs w:val="18"/>
              </w:rPr>
              <w:t>董事长、</w:t>
            </w:r>
            <w:r>
              <w:rPr>
                <w:rFonts w:ascii="宋体" w:hAnsi="宋体" w:eastAsia="宋体" w:cs="宋体"/>
                <w:sz w:val="18"/>
                <w:szCs w:val="18"/>
              </w:rPr>
              <w:t>实际控制人</w:t>
            </w:r>
          </w:p>
        </w:tc>
        <w:tc>
          <w:tcPr>
            <w:tcW w:w="1208" w:type="pct"/>
            <w:tcBorders>
              <w:top w:val="single" w:color="auto" w:sz="2" w:space="0"/>
              <w:left w:val="single" w:color="auto" w:sz="2" w:space="0"/>
              <w:bottom w:val="single" w:color="auto" w:sz="2" w:space="0"/>
              <w:right w:val="single" w:color="auto" w:sz="2" w:space="0"/>
            </w:tcBorders>
            <w:vAlign w:val="center"/>
          </w:tcPr>
          <w:p w14:paraId="1D6C982B">
            <w:pPr>
              <w:spacing w:line="240" w:lineRule="exact"/>
              <w:rPr>
                <w:rFonts w:ascii="宋体" w:hAnsi="宋体" w:eastAsia="宋体" w:cs="宋体"/>
                <w:sz w:val="18"/>
                <w:szCs w:val="18"/>
              </w:rPr>
            </w:pPr>
            <w:r>
              <w:rPr>
                <w:rFonts w:ascii="宋体" w:hAnsi="宋体" w:eastAsia="宋体" w:cs="宋体"/>
                <w:sz w:val="18"/>
                <w:szCs w:val="18"/>
              </w:rPr>
              <w:t>作为董事长，全面管理公司事务，明知西藏发展未及时披露相关信息且相关年度报告存在重大遗漏，仍然签字并承诺保证相关文件真实、准确、完整，是西藏发展2020年至2022年年度报告、2022年中期报告重大遗漏直接负责的主管人员。同时，作为西藏发展实际控制人，指挥相关人员将上市公司资金转至关联方，向上市公司隐瞒关联交易及资金占用等事项，构成《证券法》第一百九十七条第二款所述“发行人的控股股东、实际控制人组织、指使从事上述违法行为”的情形。</w:t>
            </w:r>
          </w:p>
        </w:tc>
        <w:tc>
          <w:tcPr>
            <w:tcW w:w="535" w:type="pct"/>
            <w:tcBorders>
              <w:top w:val="single" w:color="auto" w:sz="2" w:space="0"/>
              <w:left w:val="single" w:color="auto" w:sz="2" w:space="0"/>
              <w:bottom w:val="single" w:color="auto" w:sz="2" w:space="0"/>
              <w:right w:val="single" w:color="auto" w:sz="2" w:space="0"/>
            </w:tcBorders>
            <w:vAlign w:val="center"/>
          </w:tcPr>
          <w:p w14:paraId="6A166796">
            <w:pPr>
              <w:spacing w:line="240" w:lineRule="exact"/>
              <w:rPr>
                <w:rFonts w:ascii="宋体" w:hAnsi="宋体" w:eastAsia="宋体" w:cs="宋体"/>
                <w:sz w:val="18"/>
                <w:szCs w:val="18"/>
              </w:rPr>
            </w:pPr>
            <w:r>
              <w:rPr>
                <w:rFonts w:ascii="宋体" w:hAnsi="宋体" w:eastAsia="宋体" w:cs="宋体"/>
                <w:sz w:val="18"/>
                <w:szCs w:val="18"/>
              </w:rPr>
              <w:t>被中国证监会立案调查或行政处罚</w:t>
            </w:r>
          </w:p>
        </w:tc>
        <w:tc>
          <w:tcPr>
            <w:tcW w:w="859" w:type="pct"/>
            <w:tcBorders>
              <w:top w:val="single" w:color="auto" w:sz="2" w:space="0"/>
              <w:left w:val="single" w:color="auto" w:sz="2" w:space="0"/>
              <w:bottom w:val="single" w:color="auto" w:sz="2" w:space="0"/>
              <w:right w:val="single" w:color="auto" w:sz="2" w:space="0"/>
            </w:tcBorders>
            <w:vAlign w:val="center"/>
          </w:tcPr>
          <w:p w14:paraId="7890C7A5">
            <w:pPr>
              <w:spacing w:line="240" w:lineRule="exact"/>
              <w:rPr>
                <w:rFonts w:ascii="宋体" w:hAnsi="宋体" w:eastAsia="宋体" w:cs="宋体"/>
                <w:sz w:val="18"/>
                <w:szCs w:val="18"/>
                <w:highlight w:val="none"/>
              </w:rPr>
            </w:pPr>
            <w:r>
              <w:rPr>
                <w:rFonts w:ascii="宋体" w:hAnsi="宋体" w:eastAsia="宋体" w:cs="宋体"/>
                <w:sz w:val="18"/>
                <w:szCs w:val="18"/>
                <w:highlight w:val="none"/>
              </w:rPr>
              <w:t>中国证券监督管理委员会对罗希给予警告，并处以800万元罚款，其中作为直接负责的主管人员和实际控制人分别罚款300万元、500万元。同时对罗希采取10年市场禁入措施。</w:t>
            </w:r>
            <w:r>
              <w:rPr>
                <w:rFonts w:hint="eastAsia" w:ascii="宋体" w:hAnsi="宋体" w:eastAsia="宋体" w:cs="宋体"/>
                <w:sz w:val="18"/>
                <w:szCs w:val="18"/>
                <w:highlight w:val="none"/>
                <w:lang w:val="en-US" w:eastAsia="zh-CN"/>
              </w:rPr>
              <w:t>本次《事先告知书》，仅为中国证监会对相关人员的事先告知。本次行政处罚最终结果以中国证监会正式出具的行政处罚决定为准。</w:t>
            </w:r>
          </w:p>
        </w:tc>
        <w:tc>
          <w:tcPr>
            <w:tcW w:w="515" w:type="pct"/>
            <w:tcBorders>
              <w:top w:val="single" w:color="auto" w:sz="2" w:space="0"/>
              <w:left w:val="single" w:color="auto" w:sz="2" w:space="0"/>
              <w:bottom w:val="single" w:color="auto" w:sz="2" w:space="0"/>
              <w:right w:val="single" w:color="auto" w:sz="2" w:space="0"/>
            </w:tcBorders>
            <w:vAlign w:val="center"/>
          </w:tcPr>
          <w:p w14:paraId="65480332">
            <w:pPr>
              <w:spacing w:line="240" w:lineRule="exact"/>
              <w:rPr>
                <w:rFonts w:ascii="宋体" w:hAnsi="宋体" w:eastAsia="宋体" w:cs="宋体"/>
                <w:sz w:val="18"/>
                <w:szCs w:val="18"/>
              </w:rPr>
            </w:pPr>
            <w:r>
              <w:rPr>
                <w:rFonts w:ascii="宋体" w:hAnsi="宋体" w:eastAsia="宋体" w:cs="宋体"/>
                <w:sz w:val="18"/>
                <w:szCs w:val="18"/>
              </w:rPr>
              <w:t>2024年06月08日</w:t>
            </w:r>
          </w:p>
        </w:tc>
        <w:tc>
          <w:tcPr>
            <w:tcW w:w="876" w:type="pct"/>
            <w:tcBorders>
              <w:top w:val="single" w:color="auto" w:sz="2" w:space="0"/>
              <w:left w:val="single" w:color="auto" w:sz="2" w:space="0"/>
              <w:bottom w:val="single" w:color="auto" w:sz="2" w:space="0"/>
              <w:right w:val="single" w:color="auto" w:sz="2" w:space="0"/>
            </w:tcBorders>
            <w:vAlign w:val="center"/>
          </w:tcPr>
          <w:p w14:paraId="16AF718E">
            <w:pPr>
              <w:spacing w:line="240" w:lineRule="exact"/>
              <w:rPr>
                <w:rFonts w:ascii="宋体" w:hAnsi="宋体" w:eastAsia="宋体" w:cs="宋体"/>
                <w:sz w:val="18"/>
                <w:szCs w:val="18"/>
              </w:rPr>
            </w:pPr>
            <w:r>
              <w:rPr>
                <w:rFonts w:ascii="宋体" w:hAnsi="宋体" w:eastAsia="宋体" w:cs="宋体"/>
                <w:sz w:val="18"/>
                <w:szCs w:val="18"/>
              </w:rPr>
              <w:t>http://www.cninfo.com.cn《关于公司及相关责任人收到中国证券监督管理委员会&lt;行政处罚及市场禁入事先告知书&gt;的公告》，公告编号：2024-083。</w:t>
            </w:r>
          </w:p>
        </w:tc>
      </w:tr>
      <w:tr w14:paraId="6DAC4867">
        <w:trPr>
          <w:trHeight w:val="240" w:hRule="atLeast"/>
          <w:jc w:val="center"/>
        </w:trPr>
        <w:tc>
          <w:tcPr>
            <w:tcW w:w="627" w:type="pct"/>
            <w:tcBorders>
              <w:top w:val="single" w:color="auto" w:sz="2" w:space="0"/>
              <w:left w:val="single" w:color="auto" w:sz="2" w:space="0"/>
              <w:bottom w:val="single" w:color="auto" w:sz="2" w:space="0"/>
              <w:right w:val="single" w:color="auto" w:sz="2" w:space="0"/>
            </w:tcBorders>
            <w:vAlign w:val="center"/>
          </w:tcPr>
          <w:p w14:paraId="269F81F2">
            <w:pPr>
              <w:spacing w:line="240" w:lineRule="exact"/>
              <w:rPr>
                <w:rFonts w:ascii="宋体" w:hAnsi="宋体" w:eastAsia="宋体" w:cs="宋体"/>
                <w:sz w:val="18"/>
                <w:szCs w:val="18"/>
              </w:rPr>
            </w:pPr>
            <w:r>
              <w:rPr>
                <w:rFonts w:ascii="宋体" w:hAnsi="宋体" w:eastAsia="宋体" w:cs="宋体"/>
                <w:sz w:val="18"/>
                <w:szCs w:val="18"/>
              </w:rPr>
              <w:t>陈婷婷、唐逸</w:t>
            </w:r>
          </w:p>
        </w:tc>
        <w:tc>
          <w:tcPr>
            <w:tcW w:w="376" w:type="pct"/>
            <w:tcBorders>
              <w:top w:val="single" w:color="auto" w:sz="2" w:space="0"/>
              <w:left w:val="single" w:color="auto" w:sz="2" w:space="0"/>
              <w:bottom w:val="single" w:color="auto" w:sz="2" w:space="0"/>
              <w:right w:val="single" w:color="auto" w:sz="2" w:space="0"/>
            </w:tcBorders>
            <w:vAlign w:val="center"/>
          </w:tcPr>
          <w:p w14:paraId="5048D583">
            <w:pPr>
              <w:spacing w:line="240" w:lineRule="exact"/>
              <w:rPr>
                <w:rFonts w:ascii="宋体" w:hAnsi="宋体" w:eastAsia="宋体" w:cs="宋体"/>
                <w:sz w:val="18"/>
                <w:szCs w:val="18"/>
              </w:rPr>
            </w:pPr>
            <w:r>
              <w:rPr>
                <w:rFonts w:ascii="宋体" w:hAnsi="宋体" w:eastAsia="宋体" w:cs="宋体"/>
                <w:sz w:val="18"/>
                <w:szCs w:val="18"/>
              </w:rPr>
              <w:t>高级管理人员</w:t>
            </w:r>
          </w:p>
        </w:tc>
        <w:tc>
          <w:tcPr>
            <w:tcW w:w="1208" w:type="pct"/>
            <w:tcBorders>
              <w:top w:val="single" w:color="auto" w:sz="2" w:space="0"/>
              <w:left w:val="single" w:color="auto" w:sz="2" w:space="0"/>
              <w:bottom w:val="single" w:color="auto" w:sz="2" w:space="0"/>
              <w:right w:val="single" w:color="auto" w:sz="2" w:space="0"/>
            </w:tcBorders>
            <w:vAlign w:val="center"/>
          </w:tcPr>
          <w:p w14:paraId="1533F010">
            <w:pPr>
              <w:spacing w:line="240" w:lineRule="exact"/>
              <w:rPr>
                <w:rFonts w:ascii="宋体" w:hAnsi="宋体" w:eastAsia="宋体" w:cs="宋体"/>
                <w:sz w:val="18"/>
                <w:szCs w:val="18"/>
              </w:rPr>
            </w:pPr>
            <w:r>
              <w:rPr>
                <w:rFonts w:ascii="宋体" w:hAnsi="宋体" w:eastAsia="宋体" w:cs="宋体"/>
                <w:sz w:val="18"/>
                <w:szCs w:val="18"/>
              </w:rPr>
              <w:t>陈婷婷作为董事、总经理，是2021年至2022年年度报告重大遗漏直接负责的主管人员；唐逸作为董事、财务总监，是2020年至2022年年度报告、2022年中期报告重大遗漏其他直接责任人员。</w:t>
            </w:r>
          </w:p>
        </w:tc>
        <w:tc>
          <w:tcPr>
            <w:tcW w:w="535" w:type="pct"/>
            <w:tcBorders>
              <w:top w:val="single" w:color="auto" w:sz="2" w:space="0"/>
              <w:left w:val="single" w:color="auto" w:sz="2" w:space="0"/>
              <w:bottom w:val="single" w:color="auto" w:sz="2" w:space="0"/>
              <w:right w:val="single" w:color="auto" w:sz="2" w:space="0"/>
            </w:tcBorders>
            <w:vAlign w:val="center"/>
          </w:tcPr>
          <w:p w14:paraId="048D57C1">
            <w:pPr>
              <w:spacing w:line="240" w:lineRule="exact"/>
              <w:rPr>
                <w:rFonts w:ascii="宋体" w:hAnsi="宋体" w:eastAsia="宋体" w:cs="宋体"/>
                <w:sz w:val="18"/>
                <w:szCs w:val="18"/>
              </w:rPr>
            </w:pPr>
            <w:r>
              <w:rPr>
                <w:rFonts w:ascii="宋体" w:hAnsi="宋体" w:eastAsia="宋体" w:cs="宋体"/>
                <w:sz w:val="18"/>
                <w:szCs w:val="18"/>
              </w:rPr>
              <w:t>被中国证监会立案调查或行政处罚</w:t>
            </w:r>
          </w:p>
        </w:tc>
        <w:tc>
          <w:tcPr>
            <w:tcW w:w="859" w:type="pct"/>
            <w:tcBorders>
              <w:top w:val="single" w:color="auto" w:sz="2" w:space="0"/>
              <w:left w:val="single" w:color="auto" w:sz="2" w:space="0"/>
              <w:bottom w:val="single" w:color="auto" w:sz="2" w:space="0"/>
              <w:right w:val="single" w:color="auto" w:sz="2" w:space="0"/>
            </w:tcBorders>
            <w:vAlign w:val="center"/>
          </w:tcPr>
          <w:p w14:paraId="3D6C3498">
            <w:pPr>
              <w:spacing w:line="240" w:lineRule="exact"/>
              <w:rPr>
                <w:rFonts w:ascii="宋体" w:hAnsi="宋体" w:eastAsia="宋体" w:cs="宋体"/>
                <w:sz w:val="18"/>
                <w:szCs w:val="18"/>
              </w:rPr>
            </w:pPr>
            <w:r>
              <w:rPr>
                <w:rFonts w:ascii="宋体" w:hAnsi="宋体" w:eastAsia="宋体" w:cs="宋体"/>
                <w:sz w:val="18"/>
                <w:szCs w:val="18"/>
              </w:rPr>
              <w:t>中国证券监督管理委员会对相关责任人给予警告，对陈婷婷处以100万元罚款，对唐逸</w:t>
            </w:r>
            <w:r>
              <w:rPr>
                <w:rFonts w:hint="eastAsia" w:ascii="宋体" w:hAnsi="宋体" w:eastAsia="宋体" w:cs="宋体"/>
                <w:sz w:val="18"/>
                <w:szCs w:val="18"/>
                <w:lang w:val="en-US" w:eastAsia="zh-CN"/>
              </w:rPr>
              <w:t>处以</w:t>
            </w:r>
            <w:r>
              <w:rPr>
                <w:rFonts w:ascii="宋体" w:hAnsi="宋体" w:eastAsia="宋体" w:cs="宋体"/>
                <w:sz w:val="18"/>
                <w:szCs w:val="18"/>
              </w:rPr>
              <w:t>50万元罚款。</w:t>
            </w:r>
            <w:r>
              <w:rPr>
                <w:rFonts w:hint="eastAsia" w:ascii="宋体" w:hAnsi="宋体" w:eastAsia="宋体" w:cs="宋体"/>
                <w:sz w:val="18"/>
                <w:szCs w:val="18"/>
                <w:lang w:val="en-US" w:eastAsia="zh-CN"/>
              </w:rPr>
              <w:t>本次《事先告知书》，仅为中国证监会对相关人员的事先告知。本次行政处罚最终结果以中国证监会正式出具的行政处罚决定为准。</w:t>
            </w:r>
          </w:p>
        </w:tc>
        <w:tc>
          <w:tcPr>
            <w:tcW w:w="515" w:type="pct"/>
            <w:tcBorders>
              <w:top w:val="single" w:color="auto" w:sz="2" w:space="0"/>
              <w:left w:val="single" w:color="auto" w:sz="2" w:space="0"/>
              <w:bottom w:val="single" w:color="auto" w:sz="2" w:space="0"/>
              <w:right w:val="single" w:color="auto" w:sz="2" w:space="0"/>
            </w:tcBorders>
            <w:vAlign w:val="center"/>
          </w:tcPr>
          <w:p w14:paraId="7B2A8EDF">
            <w:pPr>
              <w:spacing w:line="240" w:lineRule="exact"/>
              <w:rPr>
                <w:rFonts w:ascii="宋体" w:hAnsi="宋体" w:eastAsia="宋体" w:cs="宋体"/>
                <w:sz w:val="18"/>
                <w:szCs w:val="18"/>
              </w:rPr>
            </w:pPr>
            <w:r>
              <w:rPr>
                <w:rFonts w:ascii="宋体" w:hAnsi="宋体" w:eastAsia="宋体" w:cs="宋体"/>
                <w:sz w:val="18"/>
                <w:szCs w:val="18"/>
              </w:rPr>
              <w:t>2024年06月08日</w:t>
            </w:r>
          </w:p>
        </w:tc>
        <w:tc>
          <w:tcPr>
            <w:tcW w:w="876" w:type="pct"/>
            <w:tcBorders>
              <w:top w:val="single" w:color="auto" w:sz="2" w:space="0"/>
              <w:left w:val="single" w:color="auto" w:sz="2" w:space="0"/>
              <w:bottom w:val="single" w:color="auto" w:sz="2" w:space="0"/>
              <w:right w:val="single" w:color="auto" w:sz="2" w:space="0"/>
            </w:tcBorders>
            <w:vAlign w:val="center"/>
          </w:tcPr>
          <w:p w14:paraId="2AB7F12E">
            <w:pPr>
              <w:spacing w:line="240" w:lineRule="exact"/>
              <w:rPr>
                <w:rFonts w:ascii="宋体" w:hAnsi="宋体" w:eastAsia="宋体" w:cs="宋体"/>
                <w:sz w:val="18"/>
                <w:szCs w:val="18"/>
              </w:rPr>
            </w:pPr>
            <w:r>
              <w:rPr>
                <w:rFonts w:ascii="宋体" w:hAnsi="宋体" w:eastAsia="宋体" w:cs="宋体"/>
                <w:sz w:val="18"/>
                <w:szCs w:val="18"/>
              </w:rPr>
              <w:t>http://www.cninfo.com.cn《关于公司及相关责任人收到中国证券监督管理委员会&lt;行政处罚及市场禁入事先告知书&gt;的公告》，公告编号：2024-083。</w:t>
            </w:r>
          </w:p>
        </w:tc>
      </w:tr>
      <w:tr w14:paraId="2238DCCC">
        <w:trPr>
          <w:trHeight w:val="240" w:hRule="atLeast"/>
          <w:jc w:val="center"/>
        </w:trPr>
        <w:tc>
          <w:tcPr>
            <w:tcW w:w="627" w:type="pct"/>
            <w:tcBorders>
              <w:top w:val="single" w:color="auto" w:sz="2" w:space="0"/>
              <w:left w:val="single" w:color="auto" w:sz="2" w:space="0"/>
              <w:bottom w:val="single" w:color="auto" w:sz="2" w:space="0"/>
              <w:right w:val="single" w:color="auto" w:sz="2" w:space="0"/>
            </w:tcBorders>
            <w:vAlign w:val="center"/>
          </w:tcPr>
          <w:p w14:paraId="05627755">
            <w:pPr>
              <w:spacing w:line="240" w:lineRule="exact"/>
              <w:rPr>
                <w:rFonts w:ascii="宋体" w:hAnsi="宋体" w:eastAsia="宋体" w:cs="宋体"/>
                <w:sz w:val="18"/>
                <w:szCs w:val="18"/>
              </w:rPr>
            </w:pPr>
            <w:r>
              <w:rPr>
                <w:rFonts w:ascii="宋体" w:hAnsi="宋体" w:eastAsia="宋体" w:cs="宋体"/>
                <w:sz w:val="18"/>
                <w:szCs w:val="18"/>
              </w:rPr>
              <w:t>王坚、闫清江、魏晓刚、储小晗、王承波、谭昌彬、吴刚、牟春华</w:t>
            </w:r>
          </w:p>
        </w:tc>
        <w:tc>
          <w:tcPr>
            <w:tcW w:w="376" w:type="pct"/>
            <w:tcBorders>
              <w:top w:val="single" w:color="auto" w:sz="2" w:space="0"/>
              <w:left w:val="single" w:color="auto" w:sz="2" w:space="0"/>
              <w:bottom w:val="single" w:color="auto" w:sz="2" w:space="0"/>
              <w:right w:val="single" w:color="auto" w:sz="2" w:space="0"/>
            </w:tcBorders>
            <w:vAlign w:val="center"/>
          </w:tcPr>
          <w:p w14:paraId="2D88982D">
            <w:pPr>
              <w:spacing w:line="240" w:lineRule="exact"/>
              <w:rPr>
                <w:rFonts w:ascii="宋体" w:hAnsi="宋体" w:eastAsia="宋体" w:cs="宋体"/>
                <w:sz w:val="18"/>
                <w:szCs w:val="18"/>
              </w:rPr>
            </w:pPr>
            <w:r>
              <w:rPr>
                <w:rFonts w:ascii="宋体" w:hAnsi="宋体" w:eastAsia="宋体" w:cs="宋体"/>
                <w:sz w:val="18"/>
                <w:szCs w:val="18"/>
              </w:rPr>
              <w:t>其他</w:t>
            </w:r>
          </w:p>
        </w:tc>
        <w:tc>
          <w:tcPr>
            <w:tcW w:w="1208" w:type="pct"/>
            <w:tcBorders>
              <w:top w:val="single" w:color="auto" w:sz="2" w:space="0"/>
              <w:left w:val="single" w:color="auto" w:sz="2" w:space="0"/>
              <w:bottom w:val="single" w:color="auto" w:sz="2" w:space="0"/>
              <w:right w:val="single" w:color="auto" w:sz="2" w:space="0"/>
            </w:tcBorders>
            <w:vAlign w:val="center"/>
          </w:tcPr>
          <w:p w14:paraId="6C42B4D6">
            <w:pPr>
              <w:spacing w:line="240" w:lineRule="exact"/>
              <w:rPr>
                <w:rFonts w:ascii="宋体" w:hAnsi="宋体" w:eastAsia="宋体" w:cs="宋体"/>
                <w:sz w:val="18"/>
                <w:szCs w:val="18"/>
              </w:rPr>
            </w:pPr>
            <w:r>
              <w:rPr>
                <w:rFonts w:ascii="宋体" w:hAnsi="宋体" w:eastAsia="宋体" w:cs="宋体"/>
                <w:sz w:val="18"/>
                <w:szCs w:val="18"/>
              </w:rPr>
              <w:t>王坚、闫清江、魏晓刚，是西藏发展2016年至2019年年度报告重大遗漏、2017年和2018年年度报告虚假记载直接负责的主管人员；王承波是西藏发展2017年和2018年年度报告重大遗漏、2017年年度报告和2018年中期报告虚假记载、未及时披露重大对外借款及天易隆兴所持西藏发展10.65%股权被冻结事项直接负责的主管人员；谭昌彬、吴刚是西藏发展2017年和2018年年度报告重大遗漏、2016年至2017年年度报告和2018年中期报告虚假记载、未及时披露重大对外借款及天易隆兴所持西藏发展10.65%股权被冻结事项直接负责的主管人员；牟春华是西藏发展2016年至2019年年度报告重大遗漏其他直接责任人员。</w:t>
            </w:r>
          </w:p>
        </w:tc>
        <w:tc>
          <w:tcPr>
            <w:tcW w:w="535" w:type="pct"/>
            <w:tcBorders>
              <w:top w:val="single" w:color="auto" w:sz="2" w:space="0"/>
              <w:left w:val="single" w:color="auto" w:sz="2" w:space="0"/>
              <w:bottom w:val="single" w:color="auto" w:sz="2" w:space="0"/>
              <w:right w:val="single" w:color="auto" w:sz="2" w:space="0"/>
            </w:tcBorders>
            <w:vAlign w:val="center"/>
          </w:tcPr>
          <w:p w14:paraId="56206250">
            <w:pPr>
              <w:spacing w:line="240" w:lineRule="exact"/>
              <w:rPr>
                <w:rFonts w:ascii="宋体" w:hAnsi="宋体" w:eastAsia="宋体" w:cs="宋体"/>
                <w:sz w:val="18"/>
                <w:szCs w:val="18"/>
              </w:rPr>
            </w:pPr>
            <w:r>
              <w:rPr>
                <w:rFonts w:ascii="宋体" w:hAnsi="宋体" w:eastAsia="宋体" w:cs="宋体"/>
                <w:sz w:val="18"/>
                <w:szCs w:val="18"/>
              </w:rPr>
              <w:t>被中国证监会立案调查或行政处罚</w:t>
            </w:r>
          </w:p>
        </w:tc>
        <w:tc>
          <w:tcPr>
            <w:tcW w:w="859" w:type="pct"/>
            <w:tcBorders>
              <w:top w:val="single" w:color="auto" w:sz="2" w:space="0"/>
              <w:left w:val="single" w:color="auto" w:sz="2" w:space="0"/>
              <w:bottom w:val="single" w:color="auto" w:sz="2" w:space="0"/>
              <w:right w:val="single" w:color="auto" w:sz="2" w:space="0"/>
            </w:tcBorders>
            <w:vAlign w:val="center"/>
          </w:tcPr>
          <w:p w14:paraId="3368788C">
            <w:pPr>
              <w:spacing w:line="240" w:lineRule="exact"/>
              <w:rPr>
                <w:rFonts w:ascii="宋体" w:hAnsi="宋体" w:eastAsia="宋体" w:cs="宋体"/>
                <w:sz w:val="18"/>
                <w:szCs w:val="18"/>
              </w:rPr>
            </w:pPr>
            <w:r>
              <w:rPr>
                <w:rFonts w:ascii="宋体" w:hAnsi="宋体" w:eastAsia="宋体" w:cs="宋体"/>
                <w:sz w:val="18"/>
                <w:szCs w:val="18"/>
              </w:rPr>
              <w:t>中国证券监督管理委员会对王坚给予警告，并处400万元罚款，同时采取十年市场禁入措施；对闫清江、魏晓刚给予警告，分别罚款250万元，同时对二人分别采取5年市场禁入措施；对储小晗给予警告，并处以90万元罚款，同时采取终身市场禁入措施；对王承波给予警告，并处以30万元罚款，同时采取终身市场禁入措施；对谭昌彬、吴刚给予警告，分别并处以30万元罚款，同时采取5年市场禁入措施；对牟春华给予警告，并处以100万元罚款。</w:t>
            </w:r>
            <w:r>
              <w:rPr>
                <w:rFonts w:hint="eastAsia" w:ascii="宋体" w:hAnsi="宋体" w:eastAsia="宋体" w:cs="宋体"/>
                <w:sz w:val="18"/>
                <w:szCs w:val="18"/>
                <w:lang w:val="en-US" w:eastAsia="zh-CN"/>
              </w:rPr>
              <w:t>本次《事先告知书》，仅为中国证监会对相关人员的事先告知。本次行政处罚最终结果以中国证监会正式出具的行政处罚决定为准。</w:t>
            </w:r>
          </w:p>
        </w:tc>
        <w:tc>
          <w:tcPr>
            <w:tcW w:w="515" w:type="pct"/>
            <w:tcBorders>
              <w:top w:val="single" w:color="auto" w:sz="2" w:space="0"/>
              <w:left w:val="single" w:color="auto" w:sz="2" w:space="0"/>
              <w:bottom w:val="single" w:color="auto" w:sz="2" w:space="0"/>
              <w:right w:val="single" w:color="auto" w:sz="2" w:space="0"/>
            </w:tcBorders>
            <w:vAlign w:val="center"/>
          </w:tcPr>
          <w:p w14:paraId="49E55266">
            <w:pPr>
              <w:spacing w:line="240" w:lineRule="exact"/>
              <w:rPr>
                <w:rFonts w:ascii="宋体" w:hAnsi="宋体" w:eastAsia="宋体" w:cs="宋体"/>
                <w:sz w:val="18"/>
                <w:szCs w:val="18"/>
              </w:rPr>
            </w:pPr>
            <w:r>
              <w:rPr>
                <w:rFonts w:ascii="宋体" w:hAnsi="宋体" w:eastAsia="宋体" w:cs="宋体"/>
                <w:sz w:val="18"/>
                <w:szCs w:val="18"/>
              </w:rPr>
              <w:t>2024年06月08日</w:t>
            </w:r>
          </w:p>
        </w:tc>
        <w:tc>
          <w:tcPr>
            <w:tcW w:w="876" w:type="pct"/>
            <w:tcBorders>
              <w:top w:val="single" w:color="auto" w:sz="2" w:space="0"/>
              <w:left w:val="single" w:color="auto" w:sz="2" w:space="0"/>
              <w:bottom w:val="single" w:color="auto" w:sz="2" w:space="0"/>
              <w:right w:val="single" w:color="auto" w:sz="2" w:space="0"/>
            </w:tcBorders>
            <w:vAlign w:val="center"/>
          </w:tcPr>
          <w:p w14:paraId="7D96EE17">
            <w:pPr>
              <w:spacing w:line="240" w:lineRule="exact"/>
              <w:rPr>
                <w:rFonts w:ascii="宋体" w:hAnsi="宋体" w:eastAsia="宋体" w:cs="宋体"/>
                <w:sz w:val="18"/>
                <w:szCs w:val="18"/>
              </w:rPr>
            </w:pPr>
            <w:r>
              <w:rPr>
                <w:rFonts w:ascii="宋体" w:hAnsi="宋体" w:eastAsia="宋体" w:cs="宋体"/>
                <w:sz w:val="18"/>
                <w:szCs w:val="18"/>
              </w:rPr>
              <w:t>http://www.cninfo.com.cn《关于公司及相关责任人收到中国证券监督管理委员会&lt;行政处罚及市场禁入事先告知书&gt;的公告》，公告编号：2024-083。</w:t>
            </w:r>
          </w:p>
        </w:tc>
      </w:tr>
    </w:tbl>
    <w:p w14:paraId="7A7B3C12">
      <w:pPr>
        <w:pStyle w:val="2"/>
        <w:spacing w:before="300" w:after="300" w:line="320" w:lineRule="exact"/>
        <w:rPr>
          <w:rFonts w:ascii="宋体" w:hAnsi="宋体" w:eastAsia="宋体" w:cs="宋体"/>
          <w:b/>
          <w:bCs/>
          <w:sz w:val="24"/>
          <w:szCs w:val="24"/>
        </w:rPr>
      </w:pPr>
      <w:bookmarkStart w:id="58" w:name="_Toc988947"/>
      <w:r>
        <w:rPr>
          <w:rFonts w:ascii="宋体" w:hAnsi="宋体" w:eastAsia="宋体" w:cs="宋体"/>
          <w:b/>
          <w:bCs/>
          <w:sz w:val="24"/>
          <w:szCs w:val="24"/>
        </w:rPr>
        <w:t>十、公司及其控股股东、实际控制人的诚信状况</w:t>
      </w:r>
      <w:bookmarkEnd w:id="58"/>
    </w:p>
    <w:p w14:paraId="64BC870E">
      <w:pPr>
        <w:spacing w:before="100" w:after="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DB5FFA9">
      <w:pPr>
        <w:pStyle w:val="9"/>
        <w:ind w:firstLine="360" w:firstLineChars="200"/>
        <w:rPr>
          <w:rFonts w:ascii="Times New Roman" w:hAnsi="Times New Roman" w:cs="Times New Roman"/>
        </w:rPr>
      </w:pPr>
      <w:r>
        <w:rPr>
          <w:rFonts w:hint="eastAsia" w:cs="Times New Roman"/>
          <w:sz w:val="18"/>
          <w:szCs w:val="18"/>
        </w:rPr>
        <w:t>1.公司涉诉案件中已经仲裁委员会裁决、法院终审判决或裁定以及与原告达成债务和解协议应由公司履行偿还义务还未履行完毕的案件为：（2018）成仲案字第1227号案件、</w:t>
      </w:r>
      <w:r>
        <w:rPr>
          <w:rFonts w:hint="eastAsia" w:ascii="宋体" w:hAnsi="宋体" w:eastAsia="宋体" w:cs="宋体"/>
          <w:sz w:val="18"/>
          <w:szCs w:val="18"/>
        </w:rPr>
        <w:t>（2023）川0191执恢234号</w:t>
      </w:r>
      <w:r>
        <w:rPr>
          <w:rFonts w:hint="eastAsia" w:cs="宋体"/>
          <w:sz w:val="18"/>
          <w:szCs w:val="18"/>
          <w:lang w:eastAsia="zh-CN"/>
        </w:rPr>
        <w:t>、</w:t>
      </w:r>
      <w:r>
        <w:rPr>
          <w:rFonts w:hint="eastAsia" w:cs="Times New Roman"/>
          <w:sz w:val="18"/>
          <w:szCs w:val="18"/>
        </w:rPr>
        <w:t>（2018）川0113民初2099号案件、（2018）川01民初1985号案件、（2018）浙01民初3924号案件、（2020）新01民初3号案件、（2021）川0107民初3251号、（2019）川0112民初6523号。</w:t>
      </w:r>
    </w:p>
    <w:p w14:paraId="3A1DBF9A">
      <w:pPr>
        <w:pStyle w:val="2"/>
        <w:spacing w:before="300" w:after="300" w:line="320" w:lineRule="exact"/>
        <w:rPr>
          <w:rFonts w:ascii="宋体" w:hAnsi="宋体" w:eastAsia="宋体" w:cs="宋体"/>
          <w:b/>
          <w:bCs/>
          <w:sz w:val="24"/>
          <w:szCs w:val="24"/>
        </w:rPr>
      </w:pPr>
      <w:bookmarkStart w:id="59" w:name="_Toc988948"/>
      <w:r>
        <w:rPr>
          <w:rFonts w:ascii="宋体" w:hAnsi="宋体" w:eastAsia="宋体" w:cs="宋体"/>
          <w:b/>
          <w:bCs/>
          <w:sz w:val="24"/>
          <w:szCs w:val="24"/>
        </w:rPr>
        <w:t>十一、重大关联交易</w:t>
      </w:r>
      <w:bookmarkEnd w:id="59"/>
    </w:p>
    <w:p w14:paraId="224C3C2E">
      <w:pPr>
        <w:pStyle w:val="3"/>
        <w:spacing w:line="280" w:lineRule="exact"/>
        <w:jc w:val="left"/>
        <w:rPr>
          <w:rFonts w:ascii="宋体" w:hAnsi="宋体" w:cs="宋体"/>
          <w:b/>
          <w:bCs/>
        </w:rPr>
      </w:pPr>
      <w:bookmarkStart w:id="60" w:name="_Toc988949"/>
      <w:r>
        <w:rPr>
          <w:rFonts w:ascii="宋体" w:hAnsi="宋体" w:cs="宋体"/>
          <w:b/>
          <w:bCs/>
        </w:rPr>
        <w:t>1、与日常经营相关的关联交易</w:t>
      </w:r>
      <w:bookmarkEnd w:id="60"/>
    </w:p>
    <w:p w14:paraId="61AD8441">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750"/>
        <w:gridCol w:w="627"/>
        <w:gridCol w:w="688"/>
        <w:gridCol w:w="688"/>
        <w:gridCol w:w="688"/>
        <w:gridCol w:w="688"/>
        <w:gridCol w:w="688"/>
        <w:gridCol w:w="688"/>
      </w:tblGrid>
      <w:tr w14:paraId="1E3B8142">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8B79FC2">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关联交易方</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778AFC5">
            <w:pPr>
              <w:spacing w:before="40" w:after="40" w:line="240" w:lineRule="exact"/>
              <w:jc w:val="center"/>
              <w:rPr>
                <w:rFonts w:ascii="宋体" w:hAnsi="宋体" w:eastAsia="宋体" w:cs="宋体"/>
                <w:sz w:val="18"/>
                <w:szCs w:val="18"/>
              </w:rPr>
            </w:pPr>
            <w:r>
              <w:rPr>
                <w:rFonts w:ascii="宋体" w:hAnsi="宋体" w:eastAsia="宋体" w:cs="宋体"/>
                <w:sz w:val="18"/>
                <w:szCs w:val="18"/>
              </w:rPr>
              <w:t>关联关系</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BFBC753">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关联交易类型</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51A7BD1">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40CD165">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关联交易定价原则</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ACA130B">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关联交易价格</w:t>
            </w:r>
          </w:p>
        </w:tc>
        <w:tc>
          <w:tcPr>
            <w:tcW w:w="750" w:type="dxa"/>
            <w:tcBorders>
              <w:top w:val="single" w:color="auto" w:sz="2" w:space="0"/>
              <w:left w:val="single" w:color="auto" w:sz="2" w:space="0"/>
              <w:bottom w:val="single" w:color="auto" w:sz="2" w:space="0"/>
              <w:right w:val="single" w:color="auto" w:sz="2" w:space="0"/>
            </w:tcBorders>
            <w:shd w:val="clear" w:color="auto" w:fill="D3D3D3"/>
            <w:vAlign w:val="center"/>
          </w:tcPr>
          <w:p w14:paraId="25495082">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关联交易金额（万元）</w:t>
            </w:r>
          </w:p>
        </w:tc>
        <w:tc>
          <w:tcPr>
            <w:tcW w:w="627" w:type="dxa"/>
            <w:tcBorders>
              <w:top w:val="single" w:color="auto" w:sz="2" w:space="0"/>
              <w:left w:val="single" w:color="auto" w:sz="2" w:space="0"/>
              <w:bottom w:val="single" w:color="auto" w:sz="2" w:space="0"/>
              <w:right w:val="single" w:color="auto" w:sz="2" w:space="0"/>
            </w:tcBorders>
            <w:shd w:val="clear" w:color="auto" w:fill="D3D3D3"/>
            <w:vAlign w:val="center"/>
          </w:tcPr>
          <w:p w14:paraId="08A257F5">
            <w:pPr>
              <w:spacing w:before="40" w:after="40" w:line="240" w:lineRule="exact"/>
              <w:jc w:val="center"/>
              <w:rPr>
                <w:rFonts w:ascii="宋体" w:hAnsi="宋体" w:eastAsia="宋体" w:cs="宋体"/>
                <w:sz w:val="18"/>
                <w:szCs w:val="18"/>
              </w:rPr>
            </w:pPr>
            <w:r>
              <w:rPr>
                <w:rFonts w:ascii="宋体" w:hAnsi="宋体" w:eastAsia="宋体" w:cs="宋体"/>
                <w:sz w:val="18"/>
                <w:szCs w:val="18"/>
              </w:rPr>
              <w:t>占同类交易金额的比例</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5715057B">
            <w:pPr>
              <w:spacing w:before="40" w:after="40" w:line="240" w:lineRule="exact"/>
              <w:jc w:val="center"/>
              <w:rPr>
                <w:rFonts w:ascii="宋体" w:hAnsi="宋体" w:eastAsia="宋体" w:cs="宋体"/>
                <w:sz w:val="18"/>
                <w:szCs w:val="18"/>
              </w:rPr>
            </w:pPr>
            <w:r>
              <w:rPr>
                <w:rFonts w:ascii="宋体" w:hAnsi="宋体" w:eastAsia="宋体" w:cs="宋体"/>
                <w:sz w:val="18"/>
                <w:szCs w:val="18"/>
              </w:rPr>
              <w:t>获批的交易额度（万元）</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5C80115B">
            <w:pPr>
              <w:spacing w:before="40" w:after="40" w:line="240" w:lineRule="exact"/>
              <w:jc w:val="center"/>
              <w:rPr>
                <w:rFonts w:ascii="宋体" w:hAnsi="宋体" w:eastAsia="宋体" w:cs="宋体"/>
                <w:sz w:val="18"/>
                <w:szCs w:val="18"/>
              </w:rPr>
            </w:pPr>
            <w:r>
              <w:rPr>
                <w:rFonts w:ascii="宋体" w:hAnsi="宋体" w:eastAsia="宋体" w:cs="宋体"/>
                <w:sz w:val="18"/>
                <w:szCs w:val="18"/>
              </w:rPr>
              <w:t>是否超过获批额度</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3826A973">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关联交易结算方式</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3E3F6F01">
            <w:pPr>
              <w:spacing w:before="40" w:after="40" w:line="240" w:lineRule="exact"/>
              <w:jc w:val="center"/>
              <w:rPr>
                <w:rFonts w:ascii="宋体" w:hAnsi="宋体" w:eastAsia="宋体" w:cs="宋体"/>
                <w:sz w:val="18"/>
                <w:szCs w:val="18"/>
              </w:rPr>
            </w:pPr>
            <w:r>
              <w:rPr>
                <w:rFonts w:ascii="宋体" w:hAnsi="宋体" w:eastAsia="宋体" w:cs="宋体"/>
                <w:sz w:val="18"/>
                <w:szCs w:val="18"/>
              </w:rPr>
              <w:t>可获得的同类交易市价</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2292451E">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60725BE0">
            <w:pPr>
              <w:spacing w:before="40" w:after="40" w:line="240" w:lineRule="exact"/>
              <w:jc w:val="center"/>
              <w:rPr>
                <w:rFonts w:ascii="宋体" w:hAnsi="宋体" w:eastAsia="宋体" w:cs="宋体"/>
                <w:sz w:val="18"/>
                <w:szCs w:val="18"/>
              </w:rPr>
            </w:pPr>
            <w:r>
              <w:rPr>
                <w:rFonts w:ascii="宋体" w:hAnsi="宋体" w:eastAsia="宋体" w:cs="宋体"/>
                <w:sz w:val="18"/>
                <w:szCs w:val="18"/>
              </w:rPr>
              <w:t>披露索引</w:t>
            </w:r>
          </w:p>
        </w:tc>
      </w:tr>
      <w:tr w14:paraId="57B69013">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6BDA957E">
            <w:pPr>
              <w:spacing w:line="240" w:lineRule="exact"/>
              <w:rPr>
                <w:rFonts w:ascii="宋体" w:hAnsi="宋体" w:eastAsia="宋体" w:cs="宋体"/>
                <w:sz w:val="18"/>
                <w:szCs w:val="18"/>
              </w:rPr>
            </w:pPr>
            <w:r>
              <w:rPr>
                <w:rFonts w:ascii="宋体" w:hAnsi="宋体" w:eastAsia="宋体" w:cs="宋体"/>
                <w:sz w:val="18"/>
                <w:szCs w:val="18"/>
              </w:rPr>
              <w:t>西藏好物商业有限公司</w:t>
            </w:r>
          </w:p>
        </w:tc>
        <w:tc>
          <w:tcPr>
            <w:tcW w:w="689" w:type="dxa"/>
            <w:tcBorders>
              <w:top w:val="single" w:color="auto" w:sz="2" w:space="0"/>
              <w:left w:val="single" w:color="auto" w:sz="2" w:space="0"/>
              <w:bottom w:val="single" w:color="auto" w:sz="2" w:space="0"/>
              <w:right w:val="single" w:color="auto" w:sz="2" w:space="0"/>
            </w:tcBorders>
            <w:vAlign w:val="center"/>
          </w:tcPr>
          <w:p w14:paraId="3BA5FEC8">
            <w:pPr>
              <w:spacing w:line="240" w:lineRule="exact"/>
              <w:rPr>
                <w:rFonts w:ascii="宋体" w:hAnsi="宋体" w:eastAsia="宋体" w:cs="宋体"/>
                <w:sz w:val="18"/>
                <w:szCs w:val="18"/>
              </w:rPr>
            </w:pPr>
            <w:r>
              <w:rPr>
                <w:rFonts w:ascii="宋体" w:hAnsi="宋体" w:eastAsia="宋体" w:cs="宋体"/>
                <w:sz w:val="18"/>
                <w:szCs w:val="18"/>
              </w:rPr>
              <w:t>控股股东关联企业</w:t>
            </w:r>
          </w:p>
        </w:tc>
        <w:tc>
          <w:tcPr>
            <w:tcW w:w="689" w:type="dxa"/>
            <w:tcBorders>
              <w:top w:val="single" w:color="auto" w:sz="2" w:space="0"/>
              <w:left w:val="single" w:color="auto" w:sz="2" w:space="0"/>
              <w:bottom w:val="single" w:color="auto" w:sz="2" w:space="0"/>
              <w:right w:val="single" w:color="auto" w:sz="2" w:space="0"/>
            </w:tcBorders>
            <w:vAlign w:val="center"/>
          </w:tcPr>
          <w:p w14:paraId="6A2C09CF">
            <w:pPr>
              <w:spacing w:line="240" w:lineRule="exact"/>
              <w:rPr>
                <w:rFonts w:ascii="宋体" w:hAnsi="宋体" w:eastAsia="宋体" w:cs="宋体"/>
                <w:sz w:val="18"/>
                <w:szCs w:val="18"/>
              </w:rPr>
            </w:pPr>
            <w:r>
              <w:rPr>
                <w:rFonts w:ascii="宋体" w:hAnsi="宋体" w:eastAsia="宋体" w:cs="宋体"/>
                <w:sz w:val="18"/>
                <w:szCs w:val="18"/>
              </w:rPr>
              <w:t>向关联方销售商品</w:t>
            </w:r>
          </w:p>
        </w:tc>
        <w:tc>
          <w:tcPr>
            <w:tcW w:w="689" w:type="dxa"/>
            <w:tcBorders>
              <w:top w:val="single" w:color="auto" w:sz="2" w:space="0"/>
              <w:left w:val="single" w:color="auto" w:sz="2" w:space="0"/>
              <w:bottom w:val="single" w:color="auto" w:sz="2" w:space="0"/>
              <w:right w:val="single" w:color="auto" w:sz="2" w:space="0"/>
            </w:tcBorders>
            <w:vAlign w:val="center"/>
          </w:tcPr>
          <w:p w14:paraId="36812B28">
            <w:pPr>
              <w:spacing w:line="240" w:lineRule="exact"/>
              <w:rPr>
                <w:rFonts w:ascii="宋体" w:hAnsi="宋体" w:eastAsia="宋体" w:cs="宋体"/>
                <w:sz w:val="18"/>
                <w:szCs w:val="18"/>
              </w:rPr>
            </w:pPr>
            <w:r>
              <w:rPr>
                <w:rFonts w:ascii="宋体" w:hAnsi="宋体" w:eastAsia="宋体" w:cs="宋体"/>
                <w:sz w:val="18"/>
                <w:szCs w:val="18"/>
              </w:rPr>
              <w:t>啤酒销售</w:t>
            </w:r>
          </w:p>
        </w:tc>
        <w:tc>
          <w:tcPr>
            <w:tcW w:w="689" w:type="dxa"/>
            <w:tcBorders>
              <w:top w:val="single" w:color="auto" w:sz="2" w:space="0"/>
              <w:left w:val="single" w:color="auto" w:sz="2" w:space="0"/>
              <w:bottom w:val="single" w:color="auto" w:sz="2" w:space="0"/>
              <w:right w:val="single" w:color="auto" w:sz="2" w:space="0"/>
            </w:tcBorders>
            <w:vAlign w:val="center"/>
          </w:tcPr>
          <w:p w14:paraId="14617906">
            <w:pPr>
              <w:spacing w:line="240" w:lineRule="exact"/>
              <w:rPr>
                <w:rFonts w:ascii="宋体" w:hAnsi="宋体" w:eastAsia="宋体" w:cs="宋体"/>
                <w:sz w:val="18"/>
                <w:szCs w:val="18"/>
              </w:rPr>
            </w:pPr>
            <w:r>
              <w:rPr>
                <w:rFonts w:ascii="宋体" w:hAnsi="宋体" w:eastAsia="宋体" w:cs="宋体"/>
                <w:sz w:val="18"/>
                <w:szCs w:val="18"/>
              </w:rPr>
              <w:t>按照独立</w:t>
            </w:r>
            <w:r>
              <w:rPr>
                <w:rFonts w:hint="eastAsia" w:ascii="宋体" w:hAnsi="宋体" w:eastAsia="宋体" w:cs="宋体"/>
                <w:sz w:val="18"/>
                <w:szCs w:val="18"/>
              </w:rPr>
              <w:t>交易</w:t>
            </w:r>
            <w:r>
              <w:rPr>
                <w:rFonts w:ascii="宋体" w:hAnsi="宋体" w:eastAsia="宋体" w:cs="宋体"/>
                <w:sz w:val="18"/>
                <w:szCs w:val="18"/>
              </w:rPr>
              <w:t>原值，参考市场行情协商确定</w:t>
            </w:r>
          </w:p>
        </w:tc>
        <w:tc>
          <w:tcPr>
            <w:tcW w:w="689" w:type="dxa"/>
            <w:tcBorders>
              <w:top w:val="single" w:color="auto" w:sz="2" w:space="0"/>
              <w:left w:val="single" w:color="auto" w:sz="2" w:space="0"/>
              <w:bottom w:val="single" w:color="auto" w:sz="2" w:space="0"/>
              <w:right w:val="single" w:color="auto" w:sz="2" w:space="0"/>
            </w:tcBorders>
            <w:vAlign w:val="center"/>
          </w:tcPr>
          <w:p w14:paraId="7A6C8656">
            <w:pPr>
              <w:spacing w:line="240" w:lineRule="exact"/>
              <w:rPr>
                <w:rFonts w:ascii="宋体" w:hAnsi="宋体" w:eastAsia="宋体" w:cs="宋体"/>
                <w:sz w:val="18"/>
                <w:szCs w:val="18"/>
              </w:rPr>
            </w:pPr>
            <w:r>
              <w:rPr>
                <w:rFonts w:ascii="宋体" w:hAnsi="宋体" w:eastAsia="宋体" w:cs="宋体"/>
                <w:sz w:val="18"/>
                <w:szCs w:val="18"/>
              </w:rPr>
              <w:t>公司同期及过去年度对外销售价格</w:t>
            </w:r>
          </w:p>
        </w:tc>
        <w:tc>
          <w:tcPr>
            <w:tcW w:w="750" w:type="dxa"/>
            <w:tcBorders>
              <w:top w:val="single" w:color="auto" w:sz="2" w:space="0"/>
              <w:left w:val="single" w:color="auto" w:sz="2" w:space="0"/>
              <w:bottom w:val="single" w:color="auto" w:sz="2" w:space="0"/>
              <w:right w:val="single" w:color="auto" w:sz="2" w:space="0"/>
            </w:tcBorders>
            <w:vAlign w:val="center"/>
          </w:tcPr>
          <w:p w14:paraId="306A830F">
            <w:pPr>
              <w:spacing w:line="240" w:lineRule="exact"/>
              <w:jc w:val="right"/>
              <w:rPr>
                <w:rFonts w:ascii="宋体" w:hAnsi="宋体" w:eastAsia="宋体" w:cs="宋体"/>
                <w:sz w:val="18"/>
                <w:szCs w:val="18"/>
              </w:rPr>
            </w:pPr>
            <w:r>
              <w:rPr>
                <w:rFonts w:hint="eastAsia"/>
                <w:color w:val="333333"/>
                <w:sz w:val="18"/>
                <w:szCs w:val="18"/>
                <w:shd w:val="clear" w:color="auto" w:fill="FFFFFF"/>
              </w:rPr>
              <w:t>866.57</w:t>
            </w:r>
          </w:p>
        </w:tc>
        <w:tc>
          <w:tcPr>
            <w:tcW w:w="627" w:type="dxa"/>
            <w:tcBorders>
              <w:top w:val="single" w:color="auto" w:sz="2" w:space="0"/>
              <w:left w:val="single" w:color="auto" w:sz="2" w:space="0"/>
              <w:bottom w:val="single" w:color="auto" w:sz="2" w:space="0"/>
              <w:right w:val="single" w:color="auto" w:sz="2" w:space="0"/>
            </w:tcBorders>
            <w:vAlign w:val="center"/>
          </w:tcPr>
          <w:p w14:paraId="0132ACFF">
            <w:pPr>
              <w:spacing w:line="240" w:lineRule="exact"/>
              <w:jc w:val="right"/>
              <w:rPr>
                <w:rFonts w:ascii="宋体" w:hAnsi="宋体" w:eastAsia="宋体" w:cs="宋体"/>
                <w:sz w:val="18"/>
                <w:szCs w:val="18"/>
              </w:rPr>
            </w:pPr>
            <w:r>
              <w:rPr>
                <w:rFonts w:ascii="宋体" w:hAnsi="宋体" w:eastAsia="宋体" w:cs="宋体"/>
                <w:sz w:val="18"/>
                <w:szCs w:val="18"/>
              </w:rPr>
              <w:t>4.13%</w:t>
            </w:r>
          </w:p>
        </w:tc>
        <w:tc>
          <w:tcPr>
            <w:tcW w:w="688" w:type="dxa"/>
            <w:tcBorders>
              <w:top w:val="single" w:color="auto" w:sz="2" w:space="0"/>
              <w:left w:val="single" w:color="auto" w:sz="2" w:space="0"/>
              <w:bottom w:val="single" w:color="auto" w:sz="2" w:space="0"/>
              <w:right w:val="single" w:color="auto" w:sz="2" w:space="0"/>
            </w:tcBorders>
            <w:vAlign w:val="center"/>
          </w:tcPr>
          <w:p w14:paraId="10235E40">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688" w:type="dxa"/>
            <w:tcBorders>
              <w:top w:val="single" w:color="auto" w:sz="2" w:space="0"/>
              <w:left w:val="single" w:color="auto" w:sz="2" w:space="0"/>
              <w:bottom w:val="single" w:color="auto" w:sz="2" w:space="0"/>
              <w:right w:val="single" w:color="auto" w:sz="2" w:space="0"/>
            </w:tcBorders>
            <w:vAlign w:val="center"/>
          </w:tcPr>
          <w:p w14:paraId="37E365CA">
            <w:pPr>
              <w:spacing w:line="240" w:lineRule="exact"/>
              <w:rPr>
                <w:rFonts w:ascii="宋体" w:hAnsi="宋体" w:eastAsia="宋体" w:cs="宋体"/>
                <w:sz w:val="18"/>
                <w:szCs w:val="18"/>
              </w:rPr>
            </w:pPr>
            <w:r>
              <w:rPr>
                <w:rFonts w:ascii="宋体" w:hAnsi="宋体" w:eastAsia="宋体" w:cs="宋体"/>
                <w:sz w:val="18"/>
                <w:szCs w:val="18"/>
              </w:rPr>
              <w:t>是</w:t>
            </w:r>
          </w:p>
        </w:tc>
        <w:tc>
          <w:tcPr>
            <w:tcW w:w="688" w:type="dxa"/>
            <w:tcBorders>
              <w:top w:val="single" w:color="auto" w:sz="2" w:space="0"/>
              <w:left w:val="single" w:color="auto" w:sz="2" w:space="0"/>
              <w:bottom w:val="single" w:color="auto" w:sz="2" w:space="0"/>
              <w:right w:val="single" w:color="auto" w:sz="2" w:space="0"/>
            </w:tcBorders>
            <w:vAlign w:val="center"/>
          </w:tcPr>
          <w:p w14:paraId="29C4BFA0">
            <w:pPr>
              <w:spacing w:line="240" w:lineRule="exact"/>
              <w:rPr>
                <w:rFonts w:ascii="宋体" w:hAnsi="宋体" w:eastAsia="宋体" w:cs="宋体"/>
                <w:sz w:val="18"/>
                <w:szCs w:val="18"/>
              </w:rPr>
            </w:pPr>
            <w:r>
              <w:rPr>
                <w:rFonts w:ascii="宋体" w:hAnsi="宋体" w:eastAsia="宋体" w:cs="宋体"/>
                <w:sz w:val="18"/>
                <w:szCs w:val="18"/>
              </w:rPr>
              <w:t>转账</w:t>
            </w:r>
          </w:p>
        </w:tc>
        <w:tc>
          <w:tcPr>
            <w:tcW w:w="688" w:type="dxa"/>
            <w:tcBorders>
              <w:top w:val="single" w:color="auto" w:sz="2" w:space="0"/>
              <w:left w:val="single" w:color="auto" w:sz="2" w:space="0"/>
              <w:bottom w:val="single" w:color="auto" w:sz="2" w:space="0"/>
              <w:right w:val="single" w:color="auto" w:sz="2" w:space="0"/>
            </w:tcBorders>
            <w:vAlign w:val="center"/>
          </w:tcPr>
          <w:p w14:paraId="7BF838FC">
            <w:pPr>
              <w:spacing w:line="240" w:lineRule="exact"/>
              <w:rPr>
                <w:rFonts w:ascii="宋体" w:hAnsi="宋体" w:eastAsia="宋体" w:cs="宋体"/>
                <w:sz w:val="18"/>
                <w:szCs w:val="18"/>
              </w:rPr>
            </w:pPr>
            <w:r>
              <w:rPr>
                <w:rFonts w:ascii="宋体" w:hAnsi="宋体" w:eastAsia="宋体" w:cs="宋体"/>
                <w:sz w:val="18"/>
                <w:szCs w:val="18"/>
              </w:rPr>
              <w:t>同交易</w:t>
            </w:r>
          </w:p>
          <w:p w14:paraId="7CAF0FE8">
            <w:pPr>
              <w:spacing w:line="240" w:lineRule="exact"/>
              <w:rPr>
                <w:rFonts w:ascii="宋体" w:hAnsi="宋体" w:eastAsia="宋体" w:cs="宋体"/>
                <w:sz w:val="18"/>
                <w:szCs w:val="18"/>
              </w:rPr>
            </w:pPr>
            <w:r>
              <w:rPr>
                <w:rFonts w:ascii="宋体" w:hAnsi="宋体" w:eastAsia="宋体" w:cs="宋体"/>
                <w:sz w:val="18"/>
                <w:szCs w:val="18"/>
              </w:rPr>
              <w:t>价格</w:t>
            </w:r>
          </w:p>
        </w:tc>
        <w:tc>
          <w:tcPr>
            <w:tcW w:w="688" w:type="dxa"/>
            <w:tcBorders>
              <w:top w:val="single" w:color="auto" w:sz="2" w:space="0"/>
              <w:left w:val="single" w:color="auto" w:sz="2" w:space="0"/>
              <w:bottom w:val="single" w:color="auto" w:sz="2" w:space="0"/>
              <w:right w:val="single" w:color="auto" w:sz="2" w:space="0"/>
            </w:tcBorders>
            <w:vAlign w:val="center"/>
          </w:tcPr>
          <w:p w14:paraId="63023AEE">
            <w:pPr>
              <w:spacing w:line="240" w:lineRule="exact"/>
              <w:rPr>
                <w:rFonts w:ascii="宋体" w:hAnsi="宋体" w:eastAsia="宋体" w:cs="宋体"/>
                <w:sz w:val="18"/>
                <w:szCs w:val="18"/>
              </w:rPr>
            </w:pPr>
          </w:p>
        </w:tc>
        <w:tc>
          <w:tcPr>
            <w:tcW w:w="688" w:type="dxa"/>
            <w:tcBorders>
              <w:top w:val="single" w:color="auto" w:sz="2" w:space="0"/>
              <w:left w:val="single" w:color="auto" w:sz="2" w:space="0"/>
              <w:bottom w:val="single" w:color="auto" w:sz="2" w:space="0"/>
              <w:right w:val="single" w:color="auto" w:sz="2" w:space="0"/>
            </w:tcBorders>
            <w:vAlign w:val="center"/>
          </w:tcPr>
          <w:p w14:paraId="679B9BD8">
            <w:pPr>
              <w:spacing w:line="240" w:lineRule="exact"/>
              <w:rPr>
                <w:rFonts w:ascii="宋体" w:hAnsi="宋体" w:eastAsia="宋体" w:cs="宋体"/>
                <w:sz w:val="18"/>
                <w:szCs w:val="18"/>
              </w:rPr>
            </w:pPr>
          </w:p>
        </w:tc>
      </w:tr>
      <w:tr w14:paraId="33F8CD28">
        <w:trPr>
          <w:trHeight w:val="240" w:hRule="atLeast"/>
        </w:trPr>
        <w:tc>
          <w:tcPr>
            <w:tcW w:w="275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1C2043E">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B29821C">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2713FDD">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50" w:type="dxa"/>
            <w:tcBorders>
              <w:top w:val="single" w:color="auto" w:sz="2" w:space="0"/>
              <w:left w:val="single" w:color="auto" w:sz="2" w:space="0"/>
              <w:bottom w:val="single" w:color="auto" w:sz="2" w:space="0"/>
              <w:right w:val="single" w:color="auto" w:sz="2" w:space="0"/>
            </w:tcBorders>
            <w:vAlign w:val="center"/>
          </w:tcPr>
          <w:p w14:paraId="2DABFD5E">
            <w:pPr>
              <w:spacing w:line="240" w:lineRule="exact"/>
              <w:jc w:val="right"/>
              <w:rPr>
                <w:rFonts w:ascii="宋体" w:hAnsi="宋体" w:eastAsia="宋体" w:cs="宋体"/>
                <w:sz w:val="18"/>
                <w:szCs w:val="18"/>
              </w:rPr>
            </w:pPr>
            <w:r>
              <w:rPr>
                <w:rFonts w:hint="eastAsia"/>
                <w:color w:val="333333"/>
                <w:sz w:val="18"/>
                <w:szCs w:val="18"/>
                <w:shd w:val="clear" w:color="auto" w:fill="FFFFFF"/>
              </w:rPr>
              <w:t>866.57</w:t>
            </w:r>
          </w:p>
        </w:tc>
        <w:tc>
          <w:tcPr>
            <w:tcW w:w="627" w:type="dxa"/>
            <w:tcBorders>
              <w:top w:val="single" w:color="auto" w:sz="2" w:space="0"/>
              <w:left w:val="single" w:color="auto" w:sz="2" w:space="0"/>
              <w:bottom w:val="single" w:color="auto" w:sz="2" w:space="0"/>
              <w:right w:val="single" w:color="auto" w:sz="2" w:space="0"/>
            </w:tcBorders>
            <w:shd w:val="clear" w:color="auto" w:fill="D3D3D3"/>
            <w:vAlign w:val="center"/>
          </w:tcPr>
          <w:p w14:paraId="3A23D132">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8" w:type="dxa"/>
            <w:tcBorders>
              <w:top w:val="single" w:color="auto" w:sz="2" w:space="0"/>
              <w:left w:val="single" w:color="auto" w:sz="2" w:space="0"/>
              <w:bottom w:val="single" w:color="auto" w:sz="2" w:space="0"/>
              <w:right w:val="single" w:color="auto" w:sz="2" w:space="0"/>
            </w:tcBorders>
            <w:vAlign w:val="center"/>
          </w:tcPr>
          <w:p w14:paraId="0B1D4109">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7C54AFE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57EC8B74">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28AEC1E0">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535074F5">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8" w:type="dxa"/>
            <w:tcBorders>
              <w:top w:val="single" w:color="auto" w:sz="2" w:space="0"/>
              <w:left w:val="single" w:color="auto" w:sz="2" w:space="0"/>
              <w:bottom w:val="single" w:color="auto" w:sz="2" w:space="0"/>
              <w:right w:val="single" w:color="auto" w:sz="2" w:space="0"/>
            </w:tcBorders>
            <w:shd w:val="clear" w:color="auto" w:fill="D3D3D3"/>
            <w:vAlign w:val="center"/>
          </w:tcPr>
          <w:p w14:paraId="50A3B8E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00AB491F">
        <w:trPr>
          <w:trHeight w:val="240" w:hRule="atLeast"/>
        </w:trPr>
        <w:tc>
          <w:tcPr>
            <w:tcW w:w="275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AE35890">
            <w:pPr>
              <w:spacing w:before="40" w:after="40" w:line="240" w:lineRule="exact"/>
              <w:rPr>
                <w:rFonts w:ascii="宋体" w:hAnsi="宋体" w:eastAsia="宋体" w:cs="宋体"/>
                <w:sz w:val="18"/>
                <w:szCs w:val="18"/>
              </w:rPr>
            </w:pPr>
            <w:r>
              <w:rPr>
                <w:rFonts w:ascii="宋体" w:hAnsi="宋体" w:eastAsia="宋体" w:cs="宋体"/>
                <w:sz w:val="18"/>
                <w:szCs w:val="18"/>
              </w:rPr>
              <w:t>大额销货退回的详细情况</w:t>
            </w:r>
          </w:p>
        </w:tc>
        <w:tc>
          <w:tcPr>
            <w:tcW w:w="6883" w:type="dxa"/>
            <w:gridSpan w:val="10"/>
            <w:tcBorders>
              <w:top w:val="single" w:color="auto" w:sz="2" w:space="0"/>
              <w:left w:val="single" w:color="auto" w:sz="2" w:space="0"/>
              <w:bottom w:val="single" w:color="auto" w:sz="2" w:space="0"/>
              <w:right w:val="single" w:color="auto" w:sz="2" w:space="0"/>
            </w:tcBorders>
            <w:vAlign w:val="center"/>
          </w:tcPr>
          <w:p w14:paraId="2EC96EC5">
            <w:pPr>
              <w:spacing w:line="240" w:lineRule="exact"/>
              <w:rPr>
                <w:rFonts w:ascii="宋体" w:hAnsi="宋体" w:eastAsia="宋体" w:cs="宋体"/>
                <w:sz w:val="18"/>
                <w:szCs w:val="18"/>
              </w:rPr>
            </w:pPr>
            <w:r>
              <w:rPr>
                <w:rFonts w:ascii="宋体" w:hAnsi="宋体" w:eastAsia="宋体" w:cs="宋体"/>
                <w:sz w:val="18"/>
                <w:szCs w:val="18"/>
              </w:rPr>
              <w:t>无</w:t>
            </w:r>
          </w:p>
        </w:tc>
      </w:tr>
      <w:tr w14:paraId="5C13D0D7">
        <w:trPr>
          <w:trHeight w:val="240" w:hRule="atLeast"/>
        </w:trPr>
        <w:tc>
          <w:tcPr>
            <w:tcW w:w="275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620DDAA">
            <w:pPr>
              <w:spacing w:before="40" w:after="40" w:line="240" w:lineRule="exact"/>
              <w:rPr>
                <w:rFonts w:ascii="宋体" w:hAnsi="宋体" w:eastAsia="宋体" w:cs="宋体"/>
                <w:sz w:val="18"/>
                <w:szCs w:val="18"/>
              </w:rPr>
            </w:pPr>
            <w:r>
              <w:rPr>
                <w:rFonts w:ascii="宋体" w:hAnsi="宋体" w:eastAsia="宋体" w:cs="宋体"/>
                <w:sz w:val="18"/>
                <w:szCs w:val="18"/>
              </w:rPr>
              <w:t>按类别对本期将发生的日常关联交易进行总金额预计的，在报告期内的实际履行情况（如有）</w:t>
            </w:r>
          </w:p>
        </w:tc>
        <w:tc>
          <w:tcPr>
            <w:tcW w:w="6883" w:type="dxa"/>
            <w:gridSpan w:val="10"/>
            <w:tcBorders>
              <w:top w:val="single" w:color="auto" w:sz="2" w:space="0"/>
              <w:left w:val="single" w:color="auto" w:sz="2" w:space="0"/>
              <w:bottom w:val="single" w:color="auto" w:sz="2" w:space="0"/>
              <w:right w:val="single" w:color="auto" w:sz="2" w:space="0"/>
            </w:tcBorders>
            <w:vAlign w:val="center"/>
          </w:tcPr>
          <w:p w14:paraId="75E48D76">
            <w:pPr>
              <w:spacing w:line="240" w:lineRule="exact"/>
              <w:rPr>
                <w:rFonts w:ascii="宋体" w:hAnsi="宋体" w:eastAsia="宋体" w:cs="宋体"/>
                <w:sz w:val="18"/>
                <w:szCs w:val="18"/>
              </w:rPr>
            </w:pPr>
            <w:r>
              <w:rPr>
                <w:rFonts w:ascii="宋体" w:hAnsi="宋体" w:eastAsia="宋体" w:cs="宋体"/>
                <w:sz w:val="18"/>
                <w:szCs w:val="18"/>
              </w:rPr>
              <w:t>无</w:t>
            </w:r>
          </w:p>
        </w:tc>
      </w:tr>
      <w:tr w14:paraId="3E921EFC">
        <w:trPr>
          <w:trHeight w:val="240" w:hRule="atLeast"/>
        </w:trPr>
        <w:tc>
          <w:tcPr>
            <w:tcW w:w="2756"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F3FB460">
            <w:pPr>
              <w:spacing w:before="40" w:after="40" w:line="240" w:lineRule="exact"/>
              <w:rPr>
                <w:rFonts w:ascii="宋体" w:hAnsi="宋体" w:eastAsia="宋体" w:cs="宋体"/>
                <w:sz w:val="18"/>
                <w:szCs w:val="18"/>
              </w:rPr>
            </w:pPr>
            <w:r>
              <w:rPr>
                <w:rFonts w:ascii="宋体" w:hAnsi="宋体" w:eastAsia="宋体" w:cs="宋体"/>
                <w:sz w:val="18"/>
                <w:szCs w:val="18"/>
              </w:rPr>
              <w:t>交易价格与市场参考价格差异较大的原因（如适用）</w:t>
            </w:r>
          </w:p>
        </w:tc>
        <w:tc>
          <w:tcPr>
            <w:tcW w:w="6883" w:type="dxa"/>
            <w:gridSpan w:val="10"/>
            <w:tcBorders>
              <w:top w:val="single" w:color="auto" w:sz="2" w:space="0"/>
              <w:left w:val="single" w:color="auto" w:sz="2" w:space="0"/>
              <w:bottom w:val="single" w:color="auto" w:sz="2" w:space="0"/>
              <w:right w:val="single" w:color="auto" w:sz="2" w:space="0"/>
            </w:tcBorders>
            <w:vAlign w:val="center"/>
          </w:tcPr>
          <w:p w14:paraId="49F7B2C5">
            <w:pPr>
              <w:spacing w:line="240" w:lineRule="exact"/>
              <w:rPr>
                <w:rFonts w:ascii="宋体" w:hAnsi="宋体" w:eastAsia="宋体" w:cs="宋体"/>
                <w:sz w:val="18"/>
                <w:szCs w:val="18"/>
              </w:rPr>
            </w:pPr>
            <w:r>
              <w:rPr>
                <w:rFonts w:ascii="宋体" w:hAnsi="宋体" w:eastAsia="宋体" w:cs="宋体"/>
                <w:sz w:val="18"/>
                <w:szCs w:val="18"/>
              </w:rPr>
              <w:t>不适用</w:t>
            </w:r>
          </w:p>
        </w:tc>
      </w:tr>
    </w:tbl>
    <w:p w14:paraId="06BB8736">
      <w:pPr>
        <w:pStyle w:val="3"/>
        <w:spacing w:after="100" w:line="280" w:lineRule="exact"/>
        <w:jc w:val="left"/>
        <w:rPr>
          <w:rFonts w:ascii="宋体" w:hAnsi="宋体" w:cs="宋体"/>
          <w:b/>
          <w:bCs/>
        </w:rPr>
      </w:pPr>
      <w:bookmarkStart w:id="61" w:name="_Toc988950"/>
      <w:r>
        <w:rPr>
          <w:rFonts w:ascii="宋体" w:hAnsi="宋体" w:cs="宋体"/>
          <w:b/>
          <w:bCs/>
        </w:rPr>
        <w:t>2、资产或股权收购、出售发生的关联交易</w:t>
      </w:r>
      <w:bookmarkEnd w:id="61"/>
    </w:p>
    <w:p w14:paraId="633ED80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CF2E506">
      <w:pPr>
        <w:spacing w:before="100" w:after="100" w:line="240" w:lineRule="exact"/>
        <w:rPr>
          <w:rFonts w:ascii="宋体" w:hAnsi="宋体" w:eastAsia="宋体" w:cs="宋体"/>
          <w:sz w:val="18"/>
          <w:szCs w:val="18"/>
        </w:rPr>
      </w:pPr>
      <w:r>
        <w:rPr>
          <w:rFonts w:ascii="宋体" w:hAnsi="宋体" w:eastAsia="宋体" w:cs="宋体"/>
          <w:sz w:val="18"/>
          <w:szCs w:val="18"/>
        </w:rPr>
        <w:t>公司报告期未发生资产或股权收购、出售的关联交易。</w:t>
      </w:r>
    </w:p>
    <w:p w14:paraId="0D491EE1">
      <w:pPr>
        <w:pStyle w:val="3"/>
        <w:spacing w:after="100" w:line="280" w:lineRule="exact"/>
        <w:jc w:val="left"/>
        <w:rPr>
          <w:rFonts w:ascii="宋体" w:hAnsi="宋体" w:cs="宋体"/>
          <w:b/>
          <w:bCs/>
        </w:rPr>
      </w:pPr>
      <w:bookmarkStart w:id="62" w:name="_Toc988951"/>
      <w:r>
        <w:rPr>
          <w:rFonts w:ascii="宋体" w:hAnsi="宋体" w:cs="宋体"/>
          <w:b/>
          <w:bCs/>
        </w:rPr>
        <w:t>3、共同对外投资的关联交易</w:t>
      </w:r>
      <w:bookmarkEnd w:id="62"/>
    </w:p>
    <w:p w14:paraId="49324F6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A1D7FC2">
      <w:pPr>
        <w:spacing w:before="100" w:after="100" w:line="240" w:lineRule="exact"/>
        <w:rPr>
          <w:rFonts w:ascii="宋体" w:hAnsi="宋体" w:eastAsia="宋体" w:cs="宋体"/>
          <w:sz w:val="18"/>
          <w:szCs w:val="18"/>
        </w:rPr>
      </w:pPr>
      <w:r>
        <w:rPr>
          <w:rFonts w:ascii="宋体" w:hAnsi="宋体" w:eastAsia="宋体" w:cs="宋体"/>
          <w:sz w:val="18"/>
          <w:szCs w:val="18"/>
        </w:rPr>
        <w:t>公司报告期未发生共同对外投资的关联交易。</w:t>
      </w:r>
    </w:p>
    <w:p w14:paraId="48BAFEAE">
      <w:pPr>
        <w:pStyle w:val="3"/>
        <w:spacing w:after="100" w:line="280" w:lineRule="exact"/>
        <w:jc w:val="left"/>
        <w:rPr>
          <w:rFonts w:ascii="宋体" w:hAnsi="宋体" w:cs="宋体"/>
          <w:b/>
          <w:bCs/>
        </w:rPr>
      </w:pPr>
      <w:bookmarkStart w:id="63" w:name="_Toc988952"/>
      <w:r>
        <w:rPr>
          <w:rFonts w:ascii="宋体" w:hAnsi="宋体" w:cs="宋体"/>
          <w:b/>
          <w:bCs/>
        </w:rPr>
        <w:t>4、关联债权债务往来</w:t>
      </w:r>
      <w:bookmarkEnd w:id="63"/>
    </w:p>
    <w:p w14:paraId="48C944CF">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C618CBE">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公司报告期不存在关联债权债务往来。</w:t>
      </w:r>
    </w:p>
    <w:p w14:paraId="7561432A">
      <w:pPr>
        <w:pStyle w:val="3"/>
        <w:spacing w:after="100" w:line="280" w:lineRule="exact"/>
        <w:jc w:val="left"/>
        <w:rPr>
          <w:rFonts w:ascii="宋体" w:hAnsi="宋体" w:cs="宋体"/>
          <w:b/>
          <w:bCs/>
        </w:rPr>
      </w:pPr>
      <w:bookmarkStart w:id="64" w:name="_Toc988953"/>
      <w:r>
        <w:rPr>
          <w:rFonts w:ascii="宋体" w:hAnsi="宋体" w:cs="宋体"/>
          <w:b/>
          <w:bCs/>
        </w:rPr>
        <w:t>5、与存在关联关系的财务公司的往来情况</w:t>
      </w:r>
      <w:bookmarkEnd w:id="64"/>
    </w:p>
    <w:p w14:paraId="2F5AA310">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32E5994">
      <w:pPr>
        <w:spacing w:before="100" w:after="100" w:line="240" w:lineRule="exact"/>
        <w:rPr>
          <w:rFonts w:ascii="宋体" w:hAnsi="宋体" w:eastAsia="宋体" w:cs="宋体"/>
          <w:sz w:val="18"/>
          <w:szCs w:val="18"/>
        </w:rPr>
      </w:pPr>
      <w:r>
        <w:rPr>
          <w:rFonts w:ascii="宋体" w:hAnsi="宋体" w:eastAsia="宋体" w:cs="宋体"/>
          <w:sz w:val="18"/>
          <w:szCs w:val="18"/>
        </w:rPr>
        <w:t>公司与存在关联关系的财务公司与关联方之间不存在存款、贷款、授信或其他金融业务。</w:t>
      </w:r>
    </w:p>
    <w:p w14:paraId="642F6884">
      <w:pPr>
        <w:pStyle w:val="3"/>
        <w:spacing w:after="100" w:line="280" w:lineRule="exact"/>
        <w:jc w:val="left"/>
        <w:rPr>
          <w:rFonts w:ascii="宋体" w:hAnsi="宋体" w:cs="宋体"/>
          <w:b/>
          <w:bCs/>
        </w:rPr>
      </w:pPr>
      <w:bookmarkStart w:id="65" w:name="_Toc988954"/>
      <w:r>
        <w:rPr>
          <w:rFonts w:ascii="宋体" w:hAnsi="宋体" w:cs="宋体"/>
          <w:b/>
          <w:bCs/>
        </w:rPr>
        <w:t>6、公司控股的财务公司与关联方的往来情况</w:t>
      </w:r>
      <w:bookmarkEnd w:id="65"/>
    </w:p>
    <w:p w14:paraId="09C9836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2C37631">
      <w:pPr>
        <w:spacing w:before="100" w:after="100" w:line="240" w:lineRule="exact"/>
        <w:rPr>
          <w:rFonts w:ascii="宋体" w:hAnsi="宋体" w:eastAsia="宋体" w:cs="宋体"/>
          <w:sz w:val="18"/>
          <w:szCs w:val="18"/>
        </w:rPr>
      </w:pPr>
      <w:r>
        <w:rPr>
          <w:rFonts w:ascii="宋体" w:hAnsi="宋体" w:eastAsia="宋体" w:cs="宋体"/>
          <w:sz w:val="18"/>
          <w:szCs w:val="18"/>
        </w:rPr>
        <w:t>公司控股的财务公司与关联方之间不存在存款、贷款、授信或其他金融业务。</w:t>
      </w:r>
    </w:p>
    <w:p w14:paraId="6F99F2DD">
      <w:pPr>
        <w:pStyle w:val="3"/>
        <w:spacing w:after="100" w:line="280" w:lineRule="exact"/>
        <w:jc w:val="left"/>
        <w:rPr>
          <w:rFonts w:ascii="宋体" w:hAnsi="宋体" w:cs="宋体"/>
          <w:b/>
          <w:bCs/>
        </w:rPr>
      </w:pPr>
      <w:bookmarkStart w:id="66" w:name="_Toc988955"/>
      <w:r>
        <w:rPr>
          <w:rFonts w:ascii="宋体" w:hAnsi="宋体" w:cs="宋体"/>
          <w:b/>
          <w:bCs/>
        </w:rPr>
        <w:t>7、其他重大关联交易</w:t>
      </w:r>
      <w:bookmarkEnd w:id="66"/>
    </w:p>
    <w:p w14:paraId="000709E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91412C7">
      <w:pPr>
        <w:spacing w:before="100" w:after="100" w:line="240" w:lineRule="exact"/>
        <w:rPr>
          <w:rFonts w:ascii="宋体" w:hAnsi="宋体" w:eastAsia="宋体" w:cs="宋体"/>
          <w:sz w:val="18"/>
          <w:szCs w:val="18"/>
        </w:rPr>
      </w:pPr>
      <w:r>
        <w:rPr>
          <w:rFonts w:ascii="宋体" w:hAnsi="宋体" w:eastAsia="宋体" w:cs="宋体"/>
          <w:sz w:val="18"/>
          <w:szCs w:val="18"/>
        </w:rPr>
        <w:t>公司报告期无其他重大关联交易。</w:t>
      </w:r>
    </w:p>
    <w:p w14:paraId="02211BB0">
      <w:pPr>
        <w:pStyle w:val="2"/>
        <w:spacing w:before="300" w:after="100" w:line="320" w:lineRule="exact"/>
        <w:rPr>
          <w:rFonts w:ascii="宋体" w:hAnsi="宋体" w:eastAsia="宋体" w:cs="宋体"/>
          <w:b/>
          <w:bCs/>
          <w:sz w:val="24"/>
          <w:szCs w:val="24"/>
        </w:rPr>
      </w:pPr>
      <w:bookmarkStart w:id="67" w:name="_Toc988956"/>
      <w:r>
        <w:rPr>
          <w:rFonts w:ascii="宋体" w:hAnsi="宋体" w:eastAsia="宋体" w:cs="宋体"/>
          <w:b/>
          <w:bCs/>
          <w:sz w:val="24"/>
          <w:szCs w:val="24"/>
        </w:rPr>
        <w:t>十二、重大合同及其履行情况</w:t>
      </w:r>
      <w:bookmarkEnd w:id="67"/>
    </w:p>
    <w:p w14:paraId="4B2FE350">
      <w:pPr>
        <w:pStyle w:val="3"/>
        <w:spacing w:after="100" w:line="280" w:lineRule="exact"/>
        <w:jc w:val="left"/>
        <w:rPr>
          <w:rFonts w:ascii="宋体" w:hAnsi="宋体" w:cs="宋体"/>
          <w:b/>
          <w:bCs/>
        </w:rPr>
      </w:pPr>
      <w:bookmarkStart w:id="68" w:name="_Toc988957"/>
      <w:r>
        <w:rPr>
          <w:rFonts w:ascii="宋体" w:hAnsi="宋体" w:cs="宋体"/>
          <w:b/>
          <w:bCs/>
        </w:rPr>
        <w:t>1、托管、承包、租赁事项情况</w:t>
      </w:r>
      <w:bookmarkEnd w:id="68"/>
    </w:p>
    <w:p w14:paraId="07304CA2">
      <w:pPr>
        <w:keepNext/>
        <w:keepLines/>
        <w:spacing w:before="300" w:after="100" w:line="280" w:lineRule="exact"/>
        <w:outlineLvl w:val="3"/>
        <w:rPr>
          <w:rFonts w:ascii="宋体" w:hAnsi="宋体" w:eastAsia="宋体" w:cs="宋体"/>
          <w:b/>
          <w:bCs/>
          <w:sz w:val="18"/>
          <w:szCs w:val="18"/>
        </w:rPr>
      </w:pPr>
      <w:bookmarkStart w:id="69" w:name="_Toc988958"/>
      <w:r>
        <w:rPr>
          <w:rFonts w:ascii="宋体" w:hAnsi="宋体" w:eastAsia="宋体" w:cs="宋体"/>
          <w:b/>
          <w:bCs/>
          <w:sz w:val="18"/>
          <w:szCs w:val="18"/>
        </w:rPr>
        <w:t>（1） 托管情况</w:t>
      </w:r>
      <w:bookmarkEnd w:id="69"/>
    </w:p>
    <w:p w14:paraId="62F8A1C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763B266">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公司报告期不存在托管情况。</w:t>
      </w:r>
    </w:p>
    <w:p w14:paraId="46BFE219">
      <w:pPr>
        <w:keepNext/>
        <w:keepLines/>
        <w:spacing w:before="300" w:after="100" w:line="280" w:lineRule="exact"/>
        <w:outlineLvl w:val="3"/>
        <w:rPr>
          <w:rFonts w:ascii="宋体" w:hAnsi="宋体" w:eastAsia="宋体" w:cs="宋体"/>
          <w:b/>
          <w:bCs/>
          <w:sz w:val="18"/>
          <w:szCs w:val="18"/>
        </w:rPr>
      </w:pPr>
      <w:bookmarkStart w:id="70" w:name="_Toc988959"/>
      <w:r>
        <w:rPr>
          <w:rFonts w:ascii="宋体" w:hAnsi="宋体" w:eastAsia="宋体" w:cs="宋体"/>
          <w:b/>
          <w:bCs/>
          <w:sz w:val="18"/>
          <w:szCs w:val="18"/>
        </w:rPr>
        <w:t>（2） 承包情况</w:t>
      </w:r>
      <w:bookmarkEnd w:id="70"/>
    </w:p>
    <w:p w14:paraId="4A51BA6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C694C79">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公司报告期不存在承包情况。</w:t>
      </w:r>
    </w:p>
    <w:p w14:paraId="2EA7A13D">
      <w:pPr>
        <w:keepNext/>
        <w:keepLines/>
        <w:spacing w:before="300" w:after="100" w:line="280" w:lineRule="exact"/>
        <w:outlineLvl w:val="3"/>
        <w:rPr>
          <w:rFonts w:ascii="宋体" w:hAnsi="宋体" w:eastAsia="宋体" w:cs="宋体"/>
          <w:b/>
          <w:bCs/>
          <w:sz w:val="18"/>
          <w:szCs w:val="18"/>
        </w:rPr>
      </w:pPr>
      <w:bookmarkStart w:id="71" w:name="_Toc988960"/>
      <w:r>
        <w:rPr>
          <w:rFonts w:ascii="宋体" w:hAnsi="宋体" w:eastAsia="宋体" w:cs="宋体"/>
          <w:b/>
          <w:bCs/>
          <w:sz w:val="18"/>
          <w:szCs w:val="18"/>
        </w:rPr>
        <w:t>（3） 租赁情况</w:t>
      </w:r>
      <w:bookmarkEnd w:id="71"/>
    </w:p>
    <w:p w14:paraId="6FE16E7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6587645">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公司报告期不存在租赁情况。</w:t>
      </w:r>
    </w:p>
    <w:p w14:paraId="7ABE0C34">
      <w:pPr>
        <w:pStyle w:val="3"/>
        <w:spacing w:after="100" w:line="280" w:lineRule="exact"/>
        <w:jc w:val="left"/>
        <w:rPr>
          <w:rFonts w:ascii="宋体" w:hAnsi="宋体" w:cs="宋体"/>
          <w:b/>
          <w:bCs/>
        </w:rPr>
      </w:pPr>
      <w:bookmarkStart w:id="72" w:name="_Toc988961"/>
      <w:r>
        <w:rPr>
          <w:rFonts w:ascii="宋体" w:hAnsi="宋体" w:cs="宋体"/>
          <w:b/>
          <w:bCs/>
        </w:rPr>
        <w:t>2、重大担保</w:t>
      </w:r>
      <w:bookmarkEnd w:id="72"/>
    </w:p>
    <w:p w14:paraId="67E7309B">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B40A51E">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公司报告期不存在重大担保情况。</w:t>
      </w:r>
    </w:p>
    <w:p w14:paraId="6A0B3E92">
      <w:pPr>
        <w:pStyle w:val="3"/>
        <w:spacing w:after="100" w:line="280" w:lineRule="exact"/>
        <w:jc w:val="left"/>
        <w:rPr>
          <w:rFonts w:ascii="宋体" w:hAnsi="宋体" w:cs="宋体"/>
          <w:b/>
          <w:bCs/>
        </w:rPr>
      </w:pPr>
      <w:bookmarkStart w:id="73" w:name="_Toc988962"/>
      <w:r>
        <w:rPr>
          <w:rFonts w:ascii="宋体" w:hAnsi="宋体" w:cs="宋体"/>
          <w:b/>
          <w:bCs/>
        </w:rPr>
        <w:t>3、委托理财</w:t>
      </w:r>
      <w:bookmarkEnd w:id="73"/>
    </w:p>
    <w:p w14:paraId="4C6C5C9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429598F">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公司报告期不存在委托理财。</w:t>
      </w:r>
    </w:p>
    <w:p w14:paraId="715DA614">
      <w:pPr>
        <w:pStyle w:val="3"/>
        <w:spacing w:after="100" w:line="280" w:lineRule="exact"/>
        <w:jc w:val="left"/>
        <w:rPr>
          <w:rFonts w:ascii="宋体" w:hAnsi="宋体" w:cs="宋体"/>
          <w:b/>
          <w:bCs/>
        </w:rPr>
      </w:pPr>
      <w:bookmarkStart w:id="74" w:name="_Toc988963"/>
      <w:r>
        <w:rPr>
          <w:rFonts w:ascii="宋体" w:hAnsi="宋体" w:cs="宋体"/>
          <w:b/>
          <w:bCs/>
        </w:rPr>
        <w:t>4、其他重大合同</w:t>
      </w:r>
      <w:bookmarkEnd w:id="74"/>
    </w:p>
    <w:p w14:paraId="30B93318">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BE9F3DD">
      <w:pPr>
        <w:spacing w:before="100" w:after="100" w:line="240" w:lineRule="exact"/>
        <w:rPr>
          <w:rFonts w:ascii="宋体" w:hAnsi="宋体" w:eastAsia="宋体" w:cs="宋体"/>
          <w:sz w:val="18"/>
          <w:szCs w:val="18"/>
        </w:rPr>
      </w:pPr>
      <w:r>
        <w:rPr>
          <w:rFonts w:ascii="宋体" w:hAnsi="宋体" w:eastAsia="宋体" w:cs="宋体"/>
          <w:sz w:val="18"/>
          <w:szCs w:val="18"/>
        </w:rPr>
        <w:t>公司报告期不存在其他重大合同。</w:t>
      </w:r>
    </w:p>
    <w:p w14:paraId="693D3E73">
      <w:pPr>
        <w:pStyle w:val="2"/>
        <w:spacing w:before="300" w:after="300" w:line="320" w:lineRule="exact"/>
        <w:rPr>
          <w:rFonts w:ascii="宋体" w:hAnsi="宋体" w:eastAsia="宋体" w:cs="宋体"/>
          <w:b/>
          <w:bCs/>
          <w:sz w:val="24"/>
          <w:szCs w:val="24"/>
        </w:rPr>
      </w:pPr>
      <w:bookmarkStart w:id="75" w:name="_Toc988964"/>
      <w:r>
        <w:rPr>
          <w:rFonts w:ascii="宋体" w:hAnsi="宋体" w:eastAsia="宋体" w:cs="宋体"/>
          <w:b/>
          <w:bCs/>
          <w:sz w:val="24"/>
          <w:szCs w:val="24"/>
        </w:rPr>
        <w:t>十三、其他重大事项的说明</w:t>
      </w:r>
      <w:bookmarkEnd w:id="75"/>
    </w:p>
    <w:p w14:paraId="6D91A175">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761A567">
      <w:pPr>
        <w:pStyle w:val="9"/>
        <w:numPr>
          <w:ilvl w:val="0"/>
          <w:numId w:val="5"/>
        </w:numPr>
        <w:rPr>
          <w:sz w:val="18"/>
          <w:szCs w:val="18"/>
        </w:rPr>
      </w:pPr>
      <w:r>
        <w:rPr>
          <w:rFonts w:hint="eastAsia"/>
          <w:sz w:val="18"/>
          <w:szCs w:val="18"/>
        </w:rPr>
        <w:t>2024年5月30日，公司披露了《 关于控股子公司西藏拉萨啤酒有限公司工商登记纠纷事项的进展公告 》，2024年1月18日，公司收到上诉人道合公司向西藏高院提起的上诉状，上诉请求为：1.请求撤销 (2023) 藏01民初19号民事判决；2.请求改判拉萨啤酒向道合公司签发出资证明书；拉萨啤洒向其登记机关申请办理股东信息登记变更，即将嘉士伯公司持有拉萨啤酒的50%股权变更至道合公司名下；3.本案一审、二审诉讼费均由拉萨啤酒承担。 公司于2024年5月29日收到西藏高院《民事判决书》2024藏民终4号 ，判决驳回嘉士伯和道合公司上诉，维持原判。本判决为终审判决。</w:t>
      </w:r>
      <w:r>
        <w:rPr>
          <w:rFonts w:hint="eastAsia"/>
          <w:color w:val="000000"/>
          <w:sz w:val="18"/>
          <w:szCs w:val="18"/>
        </w:rPr>
        <w:t>详细内容请见公司同日披露于巨潮资讯网（</w:t>
      </w:r>
      <w:r>
        <w:fldChar w:fldCharType="begin"/>
      </w:r>
      <w:r>
        <w:instrText xml:space="preserve"> HYPERLINK "www.cninfo.com.cn" </w:instrText>
      </w:r>
      <w: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）的公告（公告编号：2024-079）。</w:t>
      </w:r>
    </w:p>
    <w:p w14:paraId="68132580">
      <w:pPr>
        <w:pStyle w:val="9"/>
        <w:numPr>
          <w:ilvl w:val="0"/>
          <w:numId w:val="5"/>
        </w:numPr>
        <w:rPr>
          <w:sz w:val="18"/>
          <w:szCs w:val="18"/>
        </w:rPr>
      </w:pPr>
      <w:r>
        <w:rPr>
          <w:rFonts w:hint="eastAsia"/>
          <w:sz w:val="18"/>
          <w:szCs w:val="18"/>
        </w:rPr>
        <w:t>2024年6月8日，公司披露了《关于公司及相关责任人收到中国证券监督管理委员会行政处罚及市场禁入事先告知书》的公告。</w:t>
      </w:r>
      <w:r>
        <w:rPr>
          <w:rFonts w:hint="eastAsia"/>
          <w:color w:val="000000"/>
          <w:sz w:val="18"/>
          <w:szCs w:val="18"/>
        </w:rPr>
        <w:t xml:space="preserve"> 公司涉嫌信息披露违法违规一案 ，证监会调查完毕，依法对公司及相关人员作出行政处罚及采取市场禁入措施。详细内容请见公司同日披露于巨潮资讯网（</w:t>
      </w:r>
      <w:r>
        <w:fldChar w:fldCharType="begin"/>
      </w:r>
      <w:r>
        <w:instrText xml:space="preserve"> HYPERLINK "www.cninfo.com.cn" </w:instrText>
      </w:r>
      <w: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）的公告（公告编号：2024-083）。</w:t>
      </w:r>
    </w:p>
    <w:p w14:paraId="41928B79">
      <w:pPr>
        <w:pStyle w:val="9"/>
        <w:numPr>
          <w:ilvl w:val="0"/>
          <w:numId w:val="5"/>
        </w:numPr>
        <w:rPr>
          <w:sz w:val="18"/>
          <w:szCs w:val="18"/>
        </w:rPr>
      </w:pPr>
      <w:r>
        <w:rPr>
          <w:rFonts w:hint="eastAsia"/>
          <w:color w:val="000000"/>
          <w:sz w:val="18"/>
          <w:szCs w:val="18"/>
        </w:rPr>
        <w:t>2024年6月8日，公司披露了《关于公司股票被叠加实施其他风险警示的公告》， 公司股票自该公告披露之日起将被叠加实施其他风险警示 。详细内容请见公司同日披露于巨潮资讯网（</w:t>
      </w:r>
      <w:r>
        <w:fldChar w:fldCharType="begin"/>
      </w:r>
      <w:r>
        <w:instrText xml:space="preserve"> HYPERLINK "www.cninfo.com.cn" </w:instrText>
      </w:r>
      <w: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）的公告（公告编号：2024-084）。</w:t>
      </w:r>
    </w:p>
    <w:p w14:paraId="2DFD70FB">
      <w:pPr>
        <w:pStyle w:val="9"/>
        <w:numPr>
          <w:ilvl w:val="0"/>
          <w:numId w:val="5"/>
        </w:numPr>
        <w:rPr>
          <w:sz w:val="18"/>
          <w:szCs w:val="18"/>
        </w:rPr>
      </w:pPr>
      <w:r>
        <w:rPr>
          <w:rFonts w:hint="eastAsia"/>
          <w:color w:val="000000"/>
          <w:sz w:val="18"/>
          <w:szCs w:val="18"/>
        </w:rPr>
        <w:t>2024年7月10日，公司披露了《关于涉及（2023）藏 01民初27号诉讼案件的进展公告》，法院一审判决公司对嘉士伯持有的拉萨啤酒50%的股权享有同等条件下优先购买权。详细内容请见公司同日披露于巨潮资讯网（</w:t>
      </w:r>
      <w:r>
        <w:fldChar w:fldCharType="begin"/>
      </w:r>
      <w:r>
        <w:instrText xml:space="preserve"> HYPERLINK "www.cninfo.com.cn" </w:instrText>
      </w:r>
      <w: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）的公告（公告编号：2024-092）。 </w:t>
      </w:r>
    </w:p>
    <w:p w14:paraId="6EE426B8">
      <w:pPr>
        <w:pStyle w:val="9"/>
        <w:numPr>
          <w:ilvl w:val="0"/>
          <w:numId w:val="5"/>
        </w:numPr>
        <w:rPr>
          <w:sz w:val="18"/>
          <w:szCs w:val="18"/>
        </w:rPr>
      </w:pPr>
      <w:r>
        <w:rPr>
          <w:sz w:val="18"/>
          <w:szCs w:val="18"/>
        </w:rPr>
        <w:t>2024年7月18日，公司</w:t>
      </w:r>
      <w:r>
        <w:rPr>
          <w:rFonts w:hint="eastAsia"/>
          <w:sz w:val="18"/>
          <w:szCs w:val="18"/>
          <w:lang w:val="en-US" w:eastAsia="zh-CN"/>
        </w:rPr>
        <w:t>屁</w:t>
      </w:r>
      <w:r>
        <w:rPr>
          <w:sz w:val="18"/>
          <w:szCs w:val="18"/>
        </w:rPr>
        <w:t>露了《</w:t>
      </w:r>
      <w:r>
        <w:rPr>
          <w:rFonts w:hint="eastAsia"/>
          <w:color w:val="000000"/>
          <w:sz w:val="18"/>
          <w:szCs w:val="18"/>
        </w:rPr>
        <w:t>关于公司股票撤销退市风险警示并继续实施其他风险警示暨停牌的公告》，公司股票交易自</w:t>
      </w:r>
      <w:r>
        <w:rPr>
          <w:color w:val="000000"/>
          <w:sz w:val="18"/>
          <w:szCs w:val="18"/>
        </w:rPr>
        <w:t>2024年7月19日撤销退市风险警示。详细内容请见公司同日披露于巨潮资讯网（</w:t>
      </w:r>
      <w:r>
        <w:fldChar w:fldCharType="begin"/>
      </w:r>
      <w:r>
        <w:instrText xml:space="preserve"> HYPERLINK "www.cninfo.com.cn" </w:instrText>
      </w:r>
      <w: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w:t>
      </w:r>
      <w:r>
        <w:rPr>
          <w:color w:val="000000"/>
          <w:sz w:val="18"/>
          <w:szCs w:val="18"/>
        </w:rPr>
        <w:t>2024-095）。 </w:t>
      </w:r>
    </w:p>
    <w:p w14:paraId="41AE635E">
      <w:pPr>
        <w:pStyle w:val="9"/>
        <w:numPr>
          <w:ilvl w:val="0"/>
          <w:numId w:val="5"/>
        </w:numPr>
        <w:rPr>
          <w:sz w:val="18"/>
          <w:szCs w:val="18"/>
        </w:rPr>
      </w:pPr>
      <w:r>
        <w:rPr>
          <w:rFonts w:hint="eastAsia"/>
          <w:color w:val="000000"/>
          <w:sz w:val="18"/>
          <w:szCs w:val="18"/>
        </w:rPr>
        <w:t>2024年7月26日，公司披露了《关于涉及（2024）藏 01民初10号诉讼案件的进展公告》，</w:t>
      </w:r>
      <w:r>
        <w:rPr>
          <w:rFonts w:hint="eastAsia"/>
          <w:color w:val="000000"/>
          <w:sz w:val="18"/>
          <w:szCs w:val="18"/>
          <w:lang w:val="en-US" w:eastAsia="zh-CN"/>
        </w:rPr>
        <w:t>馆</w:t>
      </w:r>
      <w:r>
        <w:rPr>
          <w:rFonts w:hint="eastAsia"/>
          <w:color w:val="000000"/>
          <w:sz w:val="18"/>
          <w:szCs w:val="18"/>
        </w:rPr>
        <w:t>于嘉士伯请求与法院判决公司作为被告方之一向拉萨啤酒返还依据2018年分红决议所分得的款项9500万元及相关资金占用费，法院一审判决驳回嘉士伯的全部诉讼请求。详细内容请见公司同日披露于巨潮资讯网（</w:t>
      </w:r>
      <w:r>
        <w:fldChar w:fldCharType="begin"/>
      </w:r>
      <w:r>
        <w:instrText xml:space="preserve"> HYPERLINK "www.cninfo.com.cn" </w:instrText>
      </w:r>
      <w: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 xml:space="preserve">）的公告（公告编号：2024-097）。 </w:t>
      </w:r>
    </w:p>
    <w:p w14:paraId="5A26F72C">
      <w:pPr>
        <w:pStyle w:val="2"/>
        <w:spacing w:before="300" w:after="300" w:line="320" w:lineRule="exact"/>
        <w:rPr>
          <w:rFonts w:ascii="宋体" w:hAnsi="宋体" w:eastAsia="宋体" w:cs="宋体"/>
          <w:b/>
          <w:bCs/>
          <w:sz w:val="24"/>
          <w:szCs w:val="24"/>
        </w:rPr>
      </w:pPr>
      <w:bookmarkStart w:id="76" w:name="_Toc988965"/>
      <w:r>
        <w:rPr>
          <w:rFonts w:ascii="宋体" w:hAnsi="宋体" w:eastAsia="宋体" w:cs="宋体"/>
          <w:b/>
          <w:bCs/>
          <w:sz w:val="24"/>
          <w:szCs w:val="24"/>
        </w:rPr>
        <w:t>十四、公司子公司重大事项</w:t>
      </w:r>
      <w:bookmarkEnd w:id="76"/>
    </w:p>
    <w:p w14:paraId="23E52DA6">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A150AE7">
      <w:pPr>
        <w:pStyle w:val="9"/>
        <w:numPr>
          <w:ilvl w:val="0"/>
          <w:numId w:val="6"/>
        </w:numPr>
        <w:ind w:firstLine="360" w:firstLineChars="200"/>
        <w:rPr>
          <w:sz w:val="18"/>
          <w:szCs w:val="18"/>
        </w:rPr>
      </w:pPr>
      <w:r>
        <w:rPr>
          <w:rFonts w:hint="eastAsia"/>
          <w:sz w:val="18"/>
          <w:szCs w:val="18"/>
        </w:rPr>
        <w:t>2024年5月30日，公司披露了《 关于控股子公司西藏拉萨啤酒有限公司工商登记纠纷事项的进展公告》，2024年1月18日，公司收到上诉人道合公司向西藏高院提起的上诉状，上诉请求为：1.请求撤销(2023)藏01民初19号民事判决；2.请求改判拉萨啤酒向道合公司签发出资证明书；拉萨啤洒向其登记机关申请办理股东信息登记变更，即将嘉士伯公司持有拉萨啤酒的50%股权变更至道合公司名下；3.本案一审、二审诉讼费均由拉萨啤酒承担。公司于2024年5月29日收到西藏高院《民事判决书》2024藏民终4号，判决驳回嘉士伯和道合公司上诉，维持原判。本判决为终审判决。</w:t>
      </w:r>
      <w:r>
        <w:rPr>
          <w:rFonts w:hint="eastAsia"/>
          <w:color w:val="000000"/>
          <w:sz w:val="18"/>
          <w:szCs w:val="18"/>
        </w:rPr>
        <w:t>详细内容请见公司同日披露于巨潮资讯网（</w:t>
      </w:r>
      <w:r>
        <w:rPr>
          <w:rFonts w:hint="eastAsia"/>
          <w:sz w:val="18"/>
          <w:szCs w:val="18"/>
        </w:rPr>
        <w:fldChar w:fldCharType="begin"/>
      </w:r>
      <w:r>
        <w:rPr>
          <w:sz w:val="18"/>
          <w:szCs w:val="18"/>
        </w:rPr>
        <w:instrText xml:space="preserve"> HYPERLINK "www.cninfo.com.cn" </w:instrText>
      </w:r>
      <w:r>
        <w:rPr>
          <w:rStyle w:val="12"/>
          <w:rFonts w:hint="eastAsia"/>
          <w:color w:val="000000"/>
          <w:sz w:val="18"/>
          <w:szCs w:val="18"/>
        </w:rPr>
        <w:fldChar w:fldCharType="separate"/>
      </w:r>
      <w:r>
        <w:rPr>
          <w:rStyle w:val="14"/>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）的公告（公告编号：2024-079）。</w:t>
      </w:r>
    </w:p>
    <w:p w14:paraId="04501258">
      <w:pPr>
        <w:pStyle w:val="9"/>
        <w:numPr>
          <w:ilvl w:val="0"/>
          <w:numId w:val="6"/>
        </w:numPr>
        <w:ind w:firstLine="360" w:firstLineChars="200"/>
        <w:rPr>
          <w:sz w:val="18"/>
          <w:szCs w:val="18"/>
        </w:rPr>
      </w:pPr>
      <w:r>
        <w:rPr>
          <w:rFonts w:hint="eastAsia"/>
          <w:color w:val="000000"/>
          <w:sz w:val="18"/>
          <w:szCs w:val="18"/>
        </w:rPr>
        <w:t>2024年6月6日，公司披露了《关于（2024）藏01民终428号案件进展公告》, 公司收到拉萨中院民事判决书（2024）藏01民终428号，主要判决结果为：西藏拉萨啤酒有限公司的上诉请求不能成立，本院依法予以驳回。详细内容请见公司同日披露于巨潮资讯网（</w:t>
      </w:r>
      <w:r>
        <w:rPr>
          <w:rFonts w:hint="eastAsia"/>
        </w:rPr>
        <w:fldChar w:fldCharType="begin"/>
      </w:r>
      <w:r>
        <w:rPr>
          <w:sz w:val="18"/>
          <w:szCs w:val="18"/>
        </w:rPr>
        <w:instrText xml:space="preserve"> HYPERLINK "www.cninfo.com.cn" </w:instrText>
      </w:r>
      <w:r>
        <w:rPr>
          <w:rFonts w:hint="eastAsia"/>
        </w:rPr>
        <w:fldChar w:fldCharType="separate"/>
      </w:r>
      <w:r>
        <w:rPr>
          <w:rStyle w:val="14"/>
          <w:rFonts w:hint="eastAsia"/>
          <w:color w:val="000000"/>
          <w:sz w:val="18"/>
          <w:szCs w:val="18"/>
        </w:rPr>
        <w:t>www.cninfo.com.cn</w:t>
      </w:r>
      <w:r>
        <w:rPr>
          <w:rStyle w:val="14"/>
          <w:rFonts w:hint="eastAsia"/>
          <w:color w:val="000000"/>
          <w:sz w:val="18"/>
          <w:szCs w:val="18"/>
        </w:rPr>
        <w:fldChar w:fldCharType="end"/>
      </w:r>
      <w:r>
        <w:rPr>
          <w:rFonts w:hint="eastAsia"/>
          <w:color w:val="000000"/>
          <w:sz w:val="18"/>
          <w:szCs w:val="18"/>
        </w:rPr>
        <w:t>）的公告（公告编号：2024-081）。 </w:t>
      </w:r>
    </w:p>
    <w:p w14:paraId="0EDC65F4">
      <w:r>
        <w:br w:type="page"/>
      </w:r>
    </w:p>
    <w:p w14:paraId="38400D05">
      <w:pPr>
        <w:pStyle w:val="17"/>
        <w:spacing w:before="340" w:after="330" w:line="773" w:lineRule="exact"/>
        <w:jc w:val="center"/>
        <w:rPr>
          <w:rFonts w:ascii="宋体" w:hAnsi="宋体" w:eastAsia="宋体" w:cs="宋体"/>
          <w:b/>
          <w:bCs/>
          <w:sz w:val="32"/>
          <w:szCs w:val="32"/>
        </w:rPr>
      </w:pPr>
      <w:bookmarkStart w:id="77" w:name="_Toc988966"/>
      <w:r>
        <w:rPr>
          <w:rFonts w:ascii="宋体" w:hAnsi="宋体" w:eastAsia="宋体" w:cs="宋体"/>
          <w:b/>
          <w:bCs/>
          <w:sz w:val="32"/>
          <w:szCs w:val="32"/>
        </w:rPr>
        <w:t>第七节 股份变动及股东情况</w:t>
      </w:r>
      <w:bookmarkEnd w:id="77"/>
    </w:p>
    <w:p w14:paraId="0C404852">
      <w:pPr>
        <w:pStyle w:val="2"/>
        <w:spacing w:before="300" w:after="300" w:line="320" w:lineRule="exact"/>
        <w:rPr>
          <w:rFonts w:ascii="宋体" w:hAnsi="宋体" w:eastAsia="宋体" w:cs="宋体"/>
          <w:b/>
          <w:bCs/>
          <w:sz w:val="24"/>
          <w:szCs w:val="24"/>
        </w:rPr>
      </w:pPr>
      <w:bookmarkStart w:id="78" w:name="_Toc988967"/>
      <w:r>
        <w:rPr>
          <w:rFonts w:ascii="宋体" w:hAnsi="宋体" w:eastAsia="宋体" w:cs="宋体"/>
          <w:b/>
          <w:bCs/>
          <w:sz w:val="24"/>
          <w:szCs w:val="24"/>
        </w:rPr>
        <w:t>一、股份变动情况</w:t>
      </w:r>
      <w:bookmarkEnd w:id="78"/>
    </w:p>
    <w:p w14:paraId="19231A8E">
      <w:pPr>
        <w:pStyle w:val="3"/>
        <w:spacing w:line="280" w:lineRule="exact"/>
        <w:jc w:val="left"/>
        <w:rPr>
          <w:rFonts w:ascii="宋体" w:hAnsi="宋体" w:cs="宋体"/>
          <w:b/>
          <w:bCs/>
        </w:rPr>
      </w:pPr>
      <w:bookmarkStart w:id="79" w:name="_Toc988968"/>
      <w:r>
        <w:rPr>
          <w:rFonts w:ascii="宋体" w:hAnsi="宋体" w:cs="宋体"/>
          <w:b/>
          <w:bCs/>
        </w:rPr>
        <w:t>1、股份变动情况</w:t>
      </w:r>
      <w:bookmarkEnd w:id="79"/>
    </w:p>
    <w:p w14:paraId="72BE65DE">
      <w:pPr>
        <w:spacing w:before="40" w:after="40" w:line="240" w:lineRule="exact"/>
        <w:jc w:val="right"/>
        <w:rPr>
          <w:rFonts w:ascii="宋体" w:hAnsi="宋体" w:eastAsia="宋体" w:cs="宋体"/>
          <w:sz w:val="18"/>
          <w:szCs w:val="18"/>
        </w:rPr>
      </w:pPr>
      <w:r>
        <w:rPr>
          <w:rFonts w:ascii="宋体" w:hAnsi="宋体" w:eastAsia="宋体" w:cs="宋体"/>
          <w:sz w:val="18"/>
          <w:szCs w:val="18"/>
        </w:rPr>
        <w:t>单位：股</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3"/>
        <w:gridCol w:w="964"/>
        <w:gridCol w:w="964"/>
        <w:gridCol w:w="964"/>
        <w:gridCol w:w="964"/>
        <w:gridCol w:w="964"/>
        <w:gridCol w:w="964"/>
        <w:gridCol w:w="964"/>
        <w:gridCol w:w="964"/>
        <w:gridCol w:w="964"/>
      </w:tblGrid>
      <w:tr w14:paraId="00DE3635">
        <w:trPr>
          <w:trHeight w:val="240" w:hRule="atLeast"/>
        </w:trPr>
        <w:tc>
          <w:tcPr>
            <w:tcW w:w="964"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D56DCE7"/>
        </w:tc>
        <w:tc>
          <w:tcPr>
            <w:tcW w:w="1928"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8654915">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本次变动前</w:t>
            </w:r>
          </w:p>
        </w:tc>
        <w:tc>
          <w:tcPr>
            <w:tcW w:w="4820"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0B18930">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本次变动增减（＋，－）</w:t>
            </w:r>
          </w:p>
        </w:tc>
        <w:tc>
          <w:tcPr>
            <w:tcW w:w="1928"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5E8D91D">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本次变动后</w:t>
            </w:r>
          </w:p>
        </w:tc>
      </w:tr>
      <w:tr w14:paraId="265825A6">
        <w:trPr>
          <w:trHeight w:val="240" w:hRule="atLeast"/>
        </w:trPr>
        <w:tc>
          <w:tcPr>
            <w:tcW w:w="964"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D24EB7"/>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A22BCEB">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1B63AAA">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6F58DE8">
            <w:pPr>
              <w:spacing w:before="40" w:after="40" w:line="240" w:lineRule="exact"/>
              <w:jc w:val="center"/>
              <w:rPr>
                <w:rFonts w:ascii="宋体" w:hAnsi="宋体" w:eastAsia="宋体" w:cs="宋体"/>
                <w:sz w:val="18"/>
                <w:szCs w:val="18"/>
              </w:rPr>
            </w:pPr>
            <w:r>
              <w:rPr>
                <w:rFonts w:ascii="宋体" w:hAnsi="宋体" w:eastAsia="宋体" w:cs="宋体"/>
                <w:sz w:val="18"/>
                <w:szCs w:val="18"/>
              </w:rPr>
              <w:t>发行新股</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551EAC0">
            <w:pPr>
              <w:spacing w:before="40" w:after="40" w:line="240" w:lineRule="exact"/>
              <w:jc w:val="center"/>
              <w:rPr>
                <w:rFonts w:ascii="宋体" w:hAnsi="宋体" w:eastAsia="宋体" w:cs="宋体"/>
                <w:sz w:val="18"/>
                <w:szCs w:val="18"/>
              </w:rPr>
            </w:pPr>
            <w:r>
              <w:rPr>
                <w:rFonts w:ascii="宋体" w:hAnsi="宋体" w:eastAsia="宋体" w:cs="宋体"/>
                <w:sz w:val="18"/>
                <w:szCs w:val="18"/>
              </w:rPr>
              <w:t>送股</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2A7B01F">
            <w:pPr>
              <w:spacing w:before="40" w:after="40" w:line="240" w:lineRule="exact"/>
              <w:jc w:val="center"/>
              <w:rPr>
                <w:rFonts w:ascii="宋体" w:hAnsi="宋体" w:eastAsia="宋体" w:cs="宋体"/>
                <w:sz w:val="18"/>
                <w:szCs w:val="18"/>
              </w:rPr>
            </w:pPr>
            <w:r>
              <w:rPr>
                <w:rFonts w:ascii="宋体" w:hAnsi="宋体" w:eastAsia="宋体" w:cs="宋体"/>
                <w:sz w:val="18"/>
                <w:szCs w:val="18"/>
              </w:rPr>
              <w:t>公积金转股</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61C9671">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1C42639">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CFB22E3">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976318F">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r>
      <w:tr w14:paraId="24F13B23">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EA91DF5">
            <w:pPr>
              <w:spacing w:before="40" w:after="40" w:line="240" w:lineRule="exact"/>
              <w:rPr>
                <w:rFonts w:ascii="宋体" w:hAnsi="宋体" w:eastAsia="宋体" w:cs="宋体"/>
                <w:sz w:val="18"/>
                <w:szCs w:val="18"/>
              </w:rPr>
            </w:pPr>
            <w:r>
              <w:rPr>
                <w:rFonts w:ascii="宋体" w:hAnsi="宋体" w:eastAsia="宋体" w:cs="宋体"/>
                <w:sz w:val="18"/>
                <w:szCs w:val="18"/>
              </w:rPr>
              <w:t>一、有限售条件股份</w:t>
            </w:r>
          </w:p>
        </w:tc>
        <w:tc>
          <w:tcPr>
            <w:tcW w:w="964" w:type="dxa"/>
            <w:tcBorders>
              <w:top w:val="single" w:color="auto" w:sz="2" w:space="0"/>
              <w:left w:val="single" w:color="auto" w:sz="2" w:space="0"/>
              <w:bottom w:val="single" w:color="auto" w:sz="2" w:space="0"/>
              <w:right w:val="single" w:color="auto" w:sz="2" w:space="0"/>
            </w:tcBorders>
            <w:vAlign w:val="center"/>
          </w:tcPr>
          <w:p w14:paraId="58EF12E0">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964" w:type="dxa"/>
            <w:tcBorders>
              <w:top w:val="single" w:color="auto" w:sz="2" w:space="0"/>
              <w:left w:val="single" w:color="auto" w:sz="2" w:space="0"/>
              <w:bottom w:val="single" w:color="auto" w:sz="2" w:space="0"/>
              <w:right w:val="single" w:color="auto" w:sz="2" w:space="0"/>
            </w:tcBorders>
            <w:vAlign w:val="center"/>
          </w:tcPr>
          <w:p w14:paraId="66B3F12A">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964" w:type="dxa"/>
            <w:tcBorders>
              <w:top w:val="single" w:color="auto" w:sz="2" w:space="0"/>
              <w:left w:val="single" w:color="auto" w:sz="2" w:space="0"/>
              <w:bottom w:val="single" w:color="auto" w:sz="2" w:space="0"/>
              <w:right w:val="single" w:color="auto" w:sz="2" w:space="0"/>
            </w:tcBorders>
            <w:vAlign w:val="center"/>
          </w:tcPr>
          <w:p w14:paraId="2037D7A3">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95859F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D8012B9">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55B33A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6DA400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DD80226">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964" w:type="dxa"/>
            <w:tcBorders>
              <w:top w:val="single" w:color="auto" w:sz="2" w:space="0"/>
              <w:left w:val="single" w:color="auto" w:sz="2" w:space="0"/>
              <w:bottom w:val="single" w:color="auto" w:sz="2" w:space="0"/>
              <w:right w:val="single" w:color="auto" w:sz="2" w:space="0"/>
            </w:tcBorders>
            <w:vAlign w:val="center"/>
          </w:tcPr>
          <w:p w14:paraId="52D733F6">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29712A01">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5766E3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1、国家持股</w:t>
            </w:r>
          </w:p>
        </w:tc>
        <w:tc>
          <w:tcPr>
            <w:tcW w:w="964" w:type="dxa"/>
            <w:tcBorders>
              <w:top w:val="single" w:color="auto" w:sz="2" w:space="0"/>
              <w:left w:val="single" w:color="auto" w:sz="2" w:space="0"/>
              <w:bottom w:val="single" w:color="auto" w:sz="2" w:space="0"/>
              <w:right w:val="single" w:color="auto" w:sz="2" w:space="0"/>
            </w:tcBorders>
            <w:vAlign w:val="center"/>
          </w:tcPr>
          <w:p w14:paraId="3B6F8FF8">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1F3025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2ACECD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F06C0E8">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123651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5E9F0E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ACBCE0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7AC6D10">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CE0DC54">
            <w:pPr>
              <w:spacing w:line="240" w:lineRule="exact"/>
              <w:jc w:val="right"/>
              <w:rPr>
                <w:rFonts w:ascii="宋体" w:hAnsi="宋体" w:eastAsia="宋体" w:cs="宋体"/>
                <w:sz w:val="18"/>
                <w:szCs w:val="18"/>
              </w:rPr>
            </w:pPr>
          </w:p>
        </w:tc>
      </w:tr>
      <w:tr w14:paraId="53A45AE5">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56537A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2、国有法人持股</w:t>
            </w:r>
          </w:p>
        </w:tc>
        <w:tc>
          <w:tcPr>
            <w:tcW w:w="964" w:type="dxa"/>
            <w:tcBorders>
              <w:top w:val="single" w:color="auto" w:sz="2" w:space="0"/>
              <w:left w:val="single" w:color="auto" w:sz="2" w:space="0"/>
              <w:bottom w:val="single" w:color="auto" w:sz="2" w:space="0"/>
              <w:right w:val="single" w:color="auto" w:sz="2" w:space="0"/>
            </w:tcBorders>
            <w:vAlign w:val="center"/>
          </w:tcPr>
          <w:p w14:paraId="471448C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039993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CB6D9E5">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DD2120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09E59D">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9BAA0C8">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B7165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DFC61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BE4D32">
            <w:pPr>
              <w:spacing w:line="240" w:lineRule="exact"/>
              <w:jc w:val="right"/>
              <w:rPr>
                <w:rFonts w:ascii="宋体" w:hAnsi="宋体" w:eastAsia="宋体" w:cs="宋体"/>
                <w:sz w:val="18"/>
                <w:szCs w:val="18"/>
              </w:rPr>
            </w:pPr>
          </w:p>
        </w:tc>
      </w:tr>
      <w:tr w14:paraId="1E1E7961">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33FD3F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3、其他内资持股</w:t>
            </w:r>
          </w:p>
        </w:tc>
        <w:tc>
          <w:tcPr>
            <w:tcW w:w="964" w:type="dxa"/>
            <w:tcBorders>
              <w:top w:val="single" w:color="auto" w:sz="2" w:space="0"/>
              <w:left w:val="single" w:color="auto" w:sz="2" w:space="0"/>
              <w:bottom w:val="single" w:color="auto" w:sz="2" w:space="0"/>
              <w:right w:val="single" w:color="auto" w:sz="2" w:space="0"/>
            </w:tcBorders>
            <w:vAlign w:val="center"/>
          </w:tcPr>
          <w:p w14:paraId="22B37D3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AD7F36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9A0E439">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602E95">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0E7D5B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8FF4B5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4FA0B5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92E8E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9FE5C0F">
            <w:pPr>
              <w:spacing w:line="240" w:lineRule="exact"/>
              <w:jc w:val="right"/>
              <w:rPr>
                <w:rFonts w:ascii="宋体" w:hAnsi="宋体" w:eastAsia="宋体" w:cs="宋体"/>
                <w:sz w:val="18"/>
                <w:szCs w:val="18"/>
              </w:rPr>
            </w:pPr>
          </w:p>
        </w:tc>
      </w:tr>
      <w:tr w14:paraId="314AB39A">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2232E1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其中：境内法人持股</w:t>
            </w:r>
          </w:p>
        </w:tc>
        <w:tc>
          <w:tcPr>
            <w:tcW w:w="964" w:type="dxa"/>
            <w:tcBorders>
              <w:top w:val="single" w:color="auto" w:sz="2" w:space="0"/>
              <w:left w:val="single" w:color="auto" w:sz="2" w:space="0"/>
              <w:bottom w:val="single" w:color="auto" w:sz="2" w:space="0"/>
              <w:right w:val="single" w:color="auto" w:sz="2" w:space="0"/>
            </w:tcBorders>
            <w:vAlign w:val="center"/>
          </w:tcPr>
          <w:p w14:paraId="6AAD115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C7FD5C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F3A227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448246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EA8D3EA">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DD68BB5">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ABA4E1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8535A3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0B8EC36">
            <w:pPr>
              <w:spacing w:line="240" w:lineRule="exact"/>
              <w:jc w:val="right"/>
              <w:rPr>
                <w:rFonts w:ascii="宋体" w:hAnsi="宋体" w:eastAsia="宋体" w:cs="宋体"/>
                <w:sz w:val="18"/>
                <w:szCs w:val="18"/>
              </w:rPr>
            </w:pPr>
          </w:p>
        </w:tc>
      </w:tr>
      <w:tr w14:paraId="6C7FDA92">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9D8E893">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境内自然人持股</w:t>
            </w:r>
          </w:p>
        </w:tc>
        <w:tc>
          <w:tcPr>
            <w:tcW w:w="964" w:type="dxa"/>
            <w:tcBorders>
              <w:top w:val="single" w:color="auto" w:sz="2" w:space="0"/>
              <w:left w:val="single" w:color="auto" w:sz="2" w:space="0"/>
              <w:bottom w:val="single" w:color="auto" w:sz="2" w:space="0"/>
              <w:right w:val="single" w:color="auto" w:sz="2" w:space="0"/>
            </w:tcBorders>
            <w:vAlign w:val="center"/>
          </w:tcPr>
          <w:p w14:paraId="315F09C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06B78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ABAFA79">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227E4A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F7B955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31CE6B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6CB2E9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C6BD9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264B4FC">
            <w:pPr>
              <w:spacing w:line="240" w:lineRule="exact"/>
              <w:jc w:val="right"/>
              <w:rPr>
                <w:rFonts w:ascii="宋体" w:hAnsi="宋体" w:eastAsia="宋体" w:cs="宋体"/>
                <w:sz w:val="18"/>
                <w:szCs w:val="18"/>
              </w:rPr>
            </w:pPr>
          </w:p>
        </w:tc>
      </w:tr>
      <w:tr w14:paraId="6B500D89">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FF107A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4、外资持股</w:t>
            </w:r>
          </w:p>
        </w:tc>
        <w:tc>
          <w:tcPr>
            <w:tcW w:w="964" w:type="dxa"/>
            <w:tcBorders>
              <w:top w:val="single" w:color="auto" w:sz="2" w:space="0"/>
              <w:left w:val="single" w:color="auto" w:sz="2" w:space="0"/>
              <w:bottom w:val="single" w:color="auto" w:sz="2" w:space="0"/>
              <w:right w:val="single" w:color="auto" w:sz="2" w:space="0"/>
            </w:tcBorders>
            <w:vAlign w:val="center"/>
          </w:tcPr>
          <w:p w14:paraId="5CBE8E5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66A9B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E8AC29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57787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2B538C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D4F47EA">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586A2E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923D83A">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2AE2EA">
            <w:pPr>
              <w:spacing w:line="240" w:lineRule="exact"/>
              <w:jc w:val="right"/>
              <w:rPr>
                <w:rFonts w:ascii="宋体" w:hAnsi="宋体" w:eastAsia="宋体" w:cs="宋体"/>
                <w:sz w:val="18"/>
                <w:szCs w:val="18"/>
              </w:rPr>
            </w:pPr>
          </w:p>
        </w:tc>
      </w:tr>
      <w:tr w14:paraId="06861631">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9243B80">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其中：境外法人持股</w:t>
            </w:r>
          </w:p>
        </w:tc>
        <w:tc>
          <w:tcPr>
            <w:tcW w:w="964" w:type="dxa"/>
            <w:tcBorders>
              <w:top w:val="single" w:color="auto" w:sz="2" w:space="0"/>
              <w:left w:val="single" w:color="auto" w:sz="2" w:space="0"/>
              <w:bottom w:val="single" w:color="auto" w:sz="2" w:space="0"/>
              <w:right w:val="single" w:color="auto" w:sz="2" w:space="0"/>
            </w:tcBorders>
            <w:vAlign w:val="center"/>
          </w:tcPr>
          <w:p w14:paraId="7E0B8BB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BFBF32E">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ACDD6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1B6093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F8C4C2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45392AC">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52EA408">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9578EB0">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F09D03B">
            <w:pPr>
              <w:spacing w:line="240" w:lineRule="exact"/>
              <w:jc w:val="right"/>
              <w:rPr>
                <w:rFonts w:ascii="宋体" w:hAnsi="宋体" w:eastAsia="宋体" w:cs="宋体"/>
                <w:sz w:val="18"/>
                <w:szCs w:val="18"/>
              </w:rPr>
            </w:pPr>
          </w:p>
        </w:tc>
      </w:tr>
      <w:tr w14:paraId="7FB85BF5">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10E167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境外自然人持股</w:t>
            </w:r>
          </w:p>
        </w:tc>
        <w:tc>
          <w:tcPr>
            <w:tcW w:w="964" w:type="dxa"/>
            <w:tcBorders>
              <w:top w:val="single" w:color="auto" w:sz="2" w:space="0"/>
              <w:left w:val="single" w:color="auto" w:sz="2" w:space="0"/>
              <w:bottom w:val="single" w:color="auto" w:sz="2" w:space="0"/>
              <w:right w:val="single" w:color="auto" w:sz="2" w:space="0"/>
            </w:tcBorders>
            <w:vAlign w:val="center"/>
          </w:tcPr>
          <w:p w14:paraId="7480A3B3">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6150D6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0AF05B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57C637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001192A">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2F0B9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8DB931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AA5C16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3F9582C">
            <w:pPr>
              <w:spacing w:line="240" w:lineRule="exact"/>
              <w:jc w:val="right"/>
              <w:rPr>
                <w:rFonts w:ascii="宋体" w:hAnsi="宋体" w:eastAsia="宋体" w:cs="宋体"/>
                <w:sz w:val="18"/>
                <w:szCs w:val="18"/>
              </w:rPr>
            </w:pPr>
          </w:p>
        </w:tc>
      </w:tr>
      <w:tr w14:paraId="3B19CA85">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EACCD3F">
            <w:pPr>
              <w:spacing w:before="40" w:after="40" w:line="240" w:lineRule="exact"/>
              <w:rPr>
                <w:rFonts w:ascii="宋体" w:hAnsi="宋体" w:eastAsia="宋体" w:cs="宋体"/>
                <w:sz w:val="18"/>
                <w:szCs w:val="18"/>
              </w:rPr>
            </w:pPr>
            <w:r>
              <w:rPr>
                <w:rFonts w:ascii="宋体" w:hAnsi="宋体" w:eastAsia="宋体" w:cs="宋体"/>
                <w:sz w:val="18"/>
                <w:szCs w:val="18"/>
              </w:rPr>
              <w:t>二、无限售条件股份</w:t>
            </w:r>
          </w:p>
        </w:tc>
        <w:tc>
          <w:tcPr>
            <w:tcW w:w="964" w:type="dxa"/>
            <w:tcBorders>
              <w:top w:val="single" w:color="auto" w:sz="2" w:space="0"/>
              <w:left w:val="single" w:color="auto" w:sz="2" w:space="0"/>
              <w:bottom w:val="single" w:color="auto" w:sz="2" w:space="0"/>
              <w:right w:val="single" w:color="auto" w:sz="2" w:space="0"/>
            </w:tcBorders>
            <w:vAlign w:val="center"/>
          </w:tcPr>
          <w:p w14:paraId="264AE4D9">
            <w:pPr>
              <w:spacing w:line="240" w:lineRule="exact"/>
              <w:jc w:val="right"/>
              <w:rPr>
                <w:rFonts w:ascii="宋体" w:hAnsi="宋体" w:eastAsia="宋体" w:cs="宋体"/>
                <w:sz w:val="18"/>
                <w:szCs w:val="18"/>
              </w:rPr>
            </w:pPr>
            <w:r>
              <w:rPr>
                <w:rFonts w:ascii="宋体" w:hAnsi="宋体" w:eastAsia="宋体" w:cs="宋体"/>
                <w:sz w:val="18"/>
                <w:szCs w:val="18"/>
              </w:rPr>
              <w:t>263,758,491</w:t>
            </w:r>
          </w:p>
        </w:tc>
        <w:tc>
          <w:tcPr>
            <w:tcW w:w="964" w:type="dxa"/>
            <w:tcBorders>
              <w:top w:val="single" w:color="auto" w:sz="2" w:space="0"/>
              <w:left w:val="single" w:color="auto" w:sz="2" w:space="0"/>
              <w:bottom w:val="single" w:color="auto" w:sz="2" w:space="0"/>
              <w:right w:val="single" w:color="auto" w:sz="2" w:space="0"/>
            </w:tcBorders>
            <w:vAlign w:val="center"/>
          </w:tcPr>
          <w:p w14:paraId="223A0F15">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964" w:type="dxa"/>
            <w:tcBorders>
              <w:top w:val="single" w:color="auto" w:sz="2" w:space="0"/>
              <w:left w:val="single" w:color="auto" w:sz="2" w:space="0"/>
              <w:bottom w:val="single" w:color="auto" w:sz="2" w:space="0"/>
              <w:right w:val="single" w:color="auto" w:sz="2" w:space="0"/>
            </w:tcBorders>
            <w:vAlign w:val="center"/>
          </w:tcPr>
          <w:p w14:paraId="28615F9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9CD7D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E11C8A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4B44D8">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19D09A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08931C0">
            <w:pPr>
              <w:spacing w:line="240" w:lineRule="exact"/>
              <w:jc w:val="right"/>
              <w:rPr>
                <w:rFonts w:ascii="宋体" w:hAnsi="宋体" w:eastAsia="宋体" w:cs="宋体"/>
                <w:sz w:val="18"/>
                <w:szCs w:val="18"/>
              </w:rPr>
            </w:pPr>
            <w:r>
              <w:rPr>
                <w:rFonts w:ascii="宋体" w:hAnsi="宋体" w:eastAsia="宋体" w:cs="宋体"/>
                <w:sz w:val="18"/>
                <w:szCs w:val="18"/>
              </w:rPr>
              <w:t>263,758,491</w:t>
            </w:r>
          </w:p>
        </w:tc>
        <w:tc>
          <w:tcPr>
            <w:tcW w:w="964" w:type="dxa"/>
            <w:tcBorders>
              <w:top w:val="single" w:color="auto" w:sz="2" w:space="0"/>
              <w:left w:val="single" w:color="auto" w:sz="2" w:space="0"/>
              <w:bottom w:val="single" w:color="auto" w:sz="2" w:space="0"/>
              <w:right w:val="single" w:color="auto" w:sz="2" w:space="0"/>
            </w:tcBorders>
            <w:vAlign w:val="center"/>
          </w:tcPr>
          <w:p w14:paraId="3A466EEA">
            <w:pPr>
              <w:spacing w:line="240" w:lineRule="exact"/>
              <w:jc w:val="right"/>
              <w:rPr>
                <w:rFonts w:ascii="宋体" w:hAnsi="宋体" w:eastAsia="宋体" w:cs="宋体"/>
                <w:sz w:val="18"/>
                <w:szCs w:val="18"/>
              </w:rPr>
            </w:pPr>
            <w:r>
              <w:rPr>
                <w:rFonts w:ascii="宋体" w:hAnsi="宋体" w:eastAsia="宋体" w:cs="宋体"/>
                <w:sz w:val="18"/>
                <w:szCs w:val="18"/>
              </w:rPr>
              <w:t>100.00%</w:t>
            </w:r>
          </w:p>
        </w:tc>
      </w:tr>
      <w:tr w14:paraId="3532ECFF">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77B1D0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1、人民币普通股</w:t>
            </w:r>
          </w:p>
        </w:tc>
        <w:tc>
          <w:tcPr>
            <w:tcW w:w="964" w:type="dxa"/>
            <w:tcBorders>
              <w:top w:val="single" w:color="auto" w:sz="2" w:space="0"/>
              <w:left w:val="single" w:color="auto" w:sz="2" w:space="0"/>
              <w:bottom w:val="single" w:color="auto" w:sz="2" w:space="0"/>
              <w:right w:val="single" w:color="auto" w:sz="2" w:space="0"/>
            </w:tcBorders>
            <w:vAlign w:val="center"/>
          </w:tcPr>
          <w:p w14:paraId="791608D5">
            <w:pPr>
              <w:spacing w:line="240" w:lineRule="exact"/>
              <w:jc w:val="right"/>
              <w:rPr>
                <w:rFonts w:ascii="宋体" w:hAnsi="宋体" w:eastAsia="宋体" w:cs="宋体"/>
                <w:sz w:val="18"/>
                <w:szCs w:val="18"/>
              </w:rPr>
            </w:pPr>
            <w:r>
              <w:rPr>
                <w:rFonts w:ascii="宋体" w:hAnsi="宋体" w:eastAsia="宋体" w:cs="宋体"/>
                <w:sz w:val="18"/>
                <w:szCs w:val="18"/>
              </w:rPr>
              <w:t>263,758,491</w:t>
            </w:r>
          </w:p>
        </w:tc>
        <w:tc>
          <w:tcPr>
            <w:tcW w:w="964" w:type="dxa"/>
            <w:tcBorders>
              <w:top w:val="single" w:color="auto" w:sz="2" w:space="0"/>
              <w:left w:val="single" w:color="auto" w:sz="2" w:space="0"/>
              <w:bottom w:val="single" w:color="auto" w:sz="2" w:space="0"/>
              <w:right w:val="single" w:color="auto" w:sz="2" w:space="0"/>
            </w:tcBorders>
            <w:vAlign w:val="center"/>
          </w:tcPr>
          <w:p w14:paraId="5D5DCB6A">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964" w:type="dxa"/>
            <w:tcBorders>
              <w:top w:val="single" w:color="auto" w:sz="2" w:space="0"/>
              <w:left w:val="single" w:color="auto" w:sz="2" w:space="0"/>
              <w:bottom w:val="single" w:color="auto" w:sz="2" w:space="0"/>
              <w:right w:val="single" w:color="auto" w:sz="2" w:space="0"/>
            </w:tcBorders>
            <w:vAlign w:val="center"/>
          </w:tcPr>
          <w:p w14:paraId="72517B0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EA578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B2C735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351AB4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F2447A9">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DDE172E">
            <w:pPr>
              <w:spacing w:line="240" w:lineRule="exact"/>
              <w:jc w:val="right"/>
              <w:rPr>
                <w:rFonts w:ascii="宋体" w:hAnsi="宋体" w:eastAsia="宋体" w:cs="宋体"/>
                <w:sz w:val="18"/>
                <w:szCs w:val="18"/>
              </w:rPr>
            </w:pPr>
            <w:r>
              <w:rPr>
                <w:rFonts w:ascii="宋体" w:hAnsi="宋体" w:eastAsia="宋体" w:cs="宋体"/>
                <w:sz w:val="18"/>
                <w:szCs w:val="18"/>
              </w:rPr>
              <w:t>263,758,491</w:t>
            </w:r>
          </w:p>
        </w:tc>
        <w:tc>
          <w:tcPr>
            <w:tcW w:w="964" w:type="dxa"/>
            <w:tcBorders>
              <w:top w:val="single" w:color="auto" w:sz="2" w:space="0"/>
              <w:left w:val="single" w:color="auto" w:sz="2" w:space="0"/>
              <w:bottom w:val="single" w:color="auto" w:sz="2" w:space="0"/>
              <w:right w:val="single" w:color="auto" w:sz="2" w:space="0"/>
            </w:tcBorders>
            <w:vAlign w:val="center"/>
          </w:tcPr>
          <w:p w14:paraId="2C2C2923">
            <w:pPr>
              <w:spacing w:line="240" w:lineRule="exact"/>
              <w:jc w:val="right"/>
              <w:rPr>
                <w:rFonts w:ascii="宋体" w:hAnsi="宋体" w:eastAsia="宋体" w:cs="宋体"/>
                <w:sz w:val="18"/>
                <w:szCs w:val="18"/>
              </w:rPr>
            </w:pPr>
            <w:r>
              <w:rPr>
                <w:rFonts w:ascii="宋体" w:hAnsi="宋体" w:eastAsia="宋体" w:cs="宋体"/>
                <w:sz w:val="18"/>
                <w:szCs w:val="18"/>
              </w:rPr>
              <w:t>100.00%</w:t>
            </w:r>
          </w:p>
        </w:tc>
      </w:tr>
      <w:tr w14:paraId="6EDAF38B">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DBABED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2、境内上市的外资股</w:t>
            </w:r>
          </w:p>
        </w:tc>
        <w:tc>
          <w:tcPr>
            <w:tcW w:w="964" w:type="dxa"/>
            <w:tcBorders>
              <w:top w:val="single" w:color="auto" w:sz="2" w:space="0"/>
              <w:left w:val="single" w:color="auto" w:sz="2" w:space="0"/>
              <w:bottom w:val="single" w:color="auto" w:sz="2" w:space="0"/>
              <w:right w:val="single" w:color="auto" w:sz="2" w:space="0"/>
            </w:tcBorders>
            <w:vAlign w:val="center"/>
          </w:tcPr>
          <w:p w14:paraId="00380D89">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16BE29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2DF8515">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4014583">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FD4B1AA">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DB0C95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2998F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0DE7E6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2A3BEC8">
            <w:pPr>
              <w:spacing w:line="240" w:lineRule="exact"/>
              <w:jc w:val="right"/>
              <w:rPr>
                <w:rFonts w:ascii="宋体" w:hAnsi="宋体" w:eastAsia="宋体" w:cs="宋体"/>
                <w:sz w:val="18"/>
                <w:szCs w:val="18"/>
              </w:rPr>
            </w:pPr>
          </w:p>
        </w:tc>
      </w:tr>
      <w:tr w14:paraId="6660AC8F">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0BE031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3、境外上市的外资股</w:t>
            </w:r>
          </w:p>
        </w:tc>
        <w:tc>
          <w:tcPr>
            <w:tcW w:w="964" w:type="dxa"/>
            <w:tcBorders>
              <w:top w:val="single" w:color="auto" w:sz="2" w:space="0"/>
              <w:left w:val="single" w:color="auto" w:sz="2" w:space="0"/>
              <w:bottom w:val="single" w:color="auto" w:sz="2" w:space="0"/>
              <w:right w:val="single" w:color="auto" w:sz="2" w:space="0"/>
            </w:tcBorders>
            <w:vAlign w:val="center"/>
          </w:tcPr>
          <w:p w14:paraId="748A9E31">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4E3A727">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C9045A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5CC0FC0">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084FF8E">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94CDD60">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4D5903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009FD0D">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3D8D40">
            <w:pPr>
              <w:spacing w:line="240" w:lineRule="exact"/>
              <w:jc w:val="right"/>
              <w:rPr>
                <w:rFonts w:ascii="宋体" w:hAnsi="宋体" w:eastAsia="宋体" w:cs="宋体"/>
                <w:sz w:val="18"/>
                <w:szCs w:val="18"/>
              </w:rPr>
            </w:pPr>
          </w:p>
        </w:tc>
      </w:tr>
      <w:tr w14:paraId="0AAC15F2">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5C8E1C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4、其他</w:t>
            </w:r>
          </w:p>
        </w:tc>
        <w:tc>
          <w:tcPr>
            <w:tcW w:w="964" w:type="dxa"/>
            <w:tcBorders>
              <w:top w:val="single" w:color="auto" w:sz="2" w:space="0"/>
              <w:left w:val="single" w:color="auto" w:sz="2" w:space="0"/>
              <w:bottom w:val="single" w:color="auto" w:sz="2" w:space="0"/>
              <w:right w:val="single" w:color="auto" w:sz="2" w:space="0"/>
            </w:tcBorders>
            <w:vAlign w:val="center"/>
          </w:tcPr>
          <w:p w14:paraId="2689BA54">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CBDDCBE">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ACA2FA6">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992F035">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51619AA">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E3649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D982E1B">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22DB5E0">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EA713B7">
            <w:pPr>
              <w:spacing w:line="240" w:lineRule="exact"/>
              <w:jc w:val="right"/>
              <w:rPr>
                <w:rFonts w:ascii="宋体" w:hAnsi="宋体" w:eastAsia="宋体" w:cs="宋体"/>
                <w:sz w:val="18"/>
                <w:szCs w:val="18"/>
              </w:rPr>
            </w:pPr>
          </w:p>
        </w:tc>
      </w:tr>
      <w:tr w14:paraId="0FE03B38">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6D29CD0">
            <w:pPr>
              <w:spacing w:before="40" w:after="40" w:line="240" w:lineRule="exact"/>
              <w:rPr>
                <w:rFonts w:ascii="宋体" w:hAnsi="宋体" w:eastAsia="宋体" w:cs="宋体"/>
                <w:sz w:val="18"/>
                <w:szCs w:val="18"/>
              </w:rPr>
            </w:pPr>
            <w:r>
              <w:rPr>
                <w:rFonts w:ascii="宋体" w:hAnsi="宋体" w:eastAsia="宋体" w:cs="宋体"/>
                <w:sz w:val="18"/>
                <w:szCs w:val="18"/>
              </w:rPr>
              <w:t>三、股份总数</w:t>
            </w:r>
          </w:p>
        </w:tc>
        <w:tc>
          <w:tcPr>
            <w:tcW w:w="964" w:type="dxa"/>
            <w:tcBorders>
              <w:top w:val="single" w:color="auto" w:sz="2" w:space="0"/>
              <w:left w:val="single" w:color="auto" w:sz="2" w:space="0"/>
              <w:bottom w:val="single" w:color="auto" w:sz="2" w:space="0"/>
              <w:right w:val="single" w:color="auto" w:sz="2" w:space="0"/>
            </w:tcBorders>
            <w:vAlign w:val="center"/>
          </w:tcPr>
          <w:p w14:paraId="58D69E5E">
            <w:pPr>
              <w:spacing w:line="240" w:lineRule="exact"/>
              <w:jc w:val="right"/>
              <w:rPr>
                <w:rFonts w:ascii="宋体" w:hAnsi="宋体" w:eastAsia="宋体" w:cs="宋体"/>
                <w:sz w:val="18"/>
                <w:szCs w:val="18"/>
              </w:rPr>
            </w:pPr>
            <w:r>
              <w:rPr>
                <w:rFonts w:ascii="宋体" w:hAnsi="宋体" w:eastAsia="宋体" w:cs="宋体"/>
                <w:sz w:val="18"/>
                <w:szCs w:val="18"/>
              </w:rPr>
              <w:t>263,758,491</w:t>
            </w:r>
          </w:p>
        </w:tc>
        <w:tc>
          <w:tcPr>
            <w:tcW w:w="964" w:type="dxa"/>
            <w:tcBorders>
              <w:top w:val="single" w:color="auto" w:sz="2" w:space="0"/>
              <w:left w:val="single" w:color="auto" w:sz="2" w:space="0"/>
              <w:bottom w:val="single" w:color="auto" w:sz="2" w:space="0"/>
              <w:right w:val="single" w:color="auto" w:sz="2" w:space="0"/>
            </w:tcBorders>
            <w:vAlign w:val="center"/>
          </w:tcPr>
          <w:p w14:paraId="3C866EF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964" w:type="dxa"/>
            <w:tcBorders>
              <w:top w:val="single" w:color="auto" w:sz="2" w:space="0"/>
              <w:left w:val="single" w:color="auto" w:sz="2" w:space="0"/>
              <w:bottom w:val="single" w:color="auto" w:sz="2" w:space="0"/>
              <w:right w:val="single" w:color="auto" w:sz="2" w:space="0"/>
            </w:tcBorders>
            <w:vAlign w:val="center"/>
          </w:tcPr>
          <w:p w14:paraId="0C5AD185">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324971D">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C5E50F">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F17320">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8DA6412">
            <w:pPr>
              <w:spacing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D3DF164">
            <w:pPr>
              <w:spacing w:line="240" w:lineRule="exact"/>
              <w:jc w:val="right"/>
              <w:rPr>
                <w:rFonts w:ascii="宋体" w:hAnsi="宋体" w:eastAsia="宋体" w:cs="宋体"/>
                <w:sz w:val="18"/>
                <w:szCs w:val="18"/>
              </w:rPr>
            </w:pPr>
            <w:r>
              <w:rPr>
                <w:rFonts w:ascii="宋体" w:hAnsi="宋体" w:eastAsia="宋体" w:cs="宋体"/>
                <w:sz w:val="18"/>
                <w:szCs w:val="18"/>
              </w:rPr>
              <w:t>263,758,491</w:t>
            </w:r>
          </w:p>
        </w:tc>
        <w:tc>
          <w:tcPr>
            <w:tcW w:w="964" w:type="dxa"/>
            <w:tcBorders>
              <w:top w:val="single" w:color="auto" w:sz="2" w:space="0"/>
              <w:left w:val="single" w:color="auto" w:sz="2" w:space="0"/>
              <w:bottom w:val="single" w:color="auto" w:sz="2" w:space="0"/>
              <w:right w:val="single" w:color="auto" w:sz="2" w:space="0"/>
            </w:tcBorders>
            <w:vAlign w:val="center"/>
          </w:tcPr>
          <w:p w14:paraId="6C623D8D">
            <w:pPr>
              <w:spacing w:line="240" w:lineRule="exact"/>
              <w:jc w:val="right"/>
              <w:rPr>
                <w:rFonts w:ascii="宋体" w:hAnsi="宋体" w:eastAsia="宋体" w:cs="宋体"/>
                <w:sz w:val="18"/>
                <w:szCs w:val="18"/>
              </w:rPr>
            </w:pPr>
            <w:r>
              <w:rPr>
                <w:rFonts w:ascii="宋体" w:hAnsi="宋体" w:eastAsia="宋体" w:cs="宋体"/>
                <w:sz w:val="18"/>
                <w:szCs w:val="18"/>
              </w:rPr>
              <w:t>100.00%</w:t>
            </w:r>
          </w:p>
        </w:tc>
      </w:tr>
    </w:tbl>
    <w:p w14:paraId="284C8386">
      <w:pPr>
        <w:spacing w:before="100" w:after="100" w:line="240" w:lineRule="exact"/>
        <w:rPr>
          <w:rFonts w:ascii="宋体" w:hAnsi="宋体" w:eastAsia="宋体" w:cs="宋体"/>
          <w:sz w:val="18"/>
          <w:szCs w:val="18"/>
        </w:rPr>
      </w:pPr>
      <w:r>
        <w:rPr>
          <w:rFonts w:ascii="宋体" w:hAnsi="宋体" w:eastAsia="宋体" w:cs="宋体"/>
          <w:sz w:val="18"/>
          <w:szCs w:val="18"/>
        </w:rPr>
        <w:t>股份变动的原因</w:t>
      </w:r>
    </w:p>
    <w:p w14:paraId="1A5E7DA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6073E92">
      <w:pPr>
        <w:spacing w:before="100" w:after="100" w:line="240" w:lineRule="exact"/>
        <w:rPr>
          <w:rFonts w:ascii="宋体" w:hAnsi="宋体" w:eastAsia="宋体" w:cs="宋体"/>
          <w:sz w:val="18"/>
          <w:szCs w:val="18"/>
        </w:rPr>
      </w:pPr>
      <w:r>
        <w:rPr>
          <w:rFonts w:ascii="宋体" w:hAnsi="宋体" w:eastAsia="宋体" w:cs="宋体"/>
          <w:sz w:val="18"/>
          <w:szCs w:val="18"/>
        </w:rPr>
        <w:t>股份变动的批准情况</w:t>
      </w:r>
    </w:p>
    <w:p w14:paraId="4EF824C8">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0A7D9E9">
      <w:pPr>
        <w:spacing w:before="100" w:after="100" w:line="240" w:lineRule="exact"/>
        <w:rPr>
          <w:rFonts w:ascii="宋体" w:hAnsi="宋体" w:eastAsia="宋体" w:cs="宋体"/>
          <w:sz w:val="18"/>
          <w:szCs w:val="18"/>
        </w:rPr>
      </w:pPr>
      <w:r>
        <w:rPr>
          <w:rFonts w:ascii="宋体" w:hAnsi="宋体" w:eastAsia="宋体" w:cs="宋体"/>
          <w:sz w:val="18"/>
          <w:szCs w:val="18"/>
        </w:rPr>
        <w:t>股份变动的过户情况</w:t>
      </w:r>
    </w:p>
    <w:p w14:paraId="625F7D8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5FCBF6">
      <w:pPr>
        <w:spacing w:before="100" w:after="100" w:line="240" w:lineRule="exact"/>
        <w:rPr>
          <w:rFonts w:ascii="宋体" w:hAnsi="宋体" w:eastAsia="宋体" w:cs="宋体"/>
          <w:sz w:val="18"/>
          <w:szCs w:val="18"/>
        </w:rPr>
      </w:pPr>
      <w:r>
        <w:rPr>
          <w:rFonts w:ascii="宋体" w:hAnsi="宋体" w:eastAsia="宋体" w:cs="宋体"/>
          <w:sz w:val="18"/>
          <w:szCs w:val="18"/>
        </w:rPr>
        <w:t>股份回购的实施进展情况</w:t>
      </w:r>
    </w:p>
    <w:p w14:paraId="6A205203">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4F73F63">
      <w:pPr>
        <w:spacing w:before="100" w:after="100" w:line="240" w:lineRule="exact"/>
        <w:rPr>
          <w:rFonts w:ascii="宋体" w:hAnsi="宋体" w:eastAsia="宋体" w:cs="宋体"/>
          <w:sz w:val="18"/>
          <w:szCs w:val="18"/>
        </w:rPr>
      </w:pPr>
      <w:r>
        <w:rPr>
          <w:rFonts w:ascii="宋体" w:hAnsi="宋体" w:eastAsia="宋体" w:cs="宋体"/>
          <w:sz w:val="18"/>
          <w:szCs w:val="18"/>
        </w:rPr>
        <w:t>采用集中竞价方式减持回购股份的实施进展情况</w:t>
      </w:r>
    </w:p>
    <w:p w14:paraId="4C47B44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5DCA0D9">
      <w:pPr>
        <w:spacing w:before="100" w:after="100" w:line="240" w:lineRule="exact"/>
        <w:rPr>
          <w:rFonts w:ascii="宋体" w:hAnsi="宋体" w:eastAsia="宋体" w:cs="宋体"/>
          <w:sz w:val="18"/>
          <w:szCs w:val="18"/>
        </w:rPr>
      </w:pPr>
      <w:r>
        <w:rPr>
          <w:rFonts w:ascii="宋体" w:hAnsi="宋体" w:eastAsia="宋体" w:cs="宋体"/>
          <w:sz w:val="18"/>
          <w:szCs w:val="18"/>
        </w:rPr>
        <w:t>股份变动对最近一年和最近一期基本每股收益和稀释每股收益、归属于公司普通股股东的每股净资产等财务指标的影响</w:t>
      </w:r>
    </w:p>
    <w:p w14:paraId="2C138B7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DAE832">
      <w:pPr>
        <w:spacing w:before="100" w:after="100" w:line="240" w:lineRule="exact"/>
        <w:rPr>
          <w:rFonts w:ascii="宋体" w:hAnsi="宋体" w:eastAsia="宋体" w:cs="宋体"/>
          <w:sz w:val="18"/>
          <w:szCs w:val="18"/>
        </w:rPr>
      </w:pPr>
      <w:r>
        <w:rPr>
          <w:rFonts w:ascii="宋体" w:hAnsi="宋体" w:eastAsia="宋体" w:cs="宋体"/>
          <w:sz w:val="18"/>
          <w:szCs w:val="18"/>
        </w:rPr>
        <w:t>公司认为必要或证券监管机构要求披露的其他内容</w:t>
      </w:r>
    </w:p>
    <w:p w14:paraId="5D0A78F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5CF7B69">
      <w:pPr>
        <w:pStyle w:val="3"/>
        <w:spacing w:line="280" w:lineRule="exact"/>
        <w:jc w:val="left"/>
        <w:rPr>
          <w:rFonts w:ascii="宋体" w:hAnsi="宋体" w:cs="宋体"/>
          <w:b/>
          <w:bCs/>
        </w:rPr>
      </w:pPr>
      <w:bookmarkStart w:id="80" w:name="_Toc988969"/>
      <w:r>
        <w:rPr>
          <w:rFonts w:ascii="宋体" w:hAnsi="宋体" w:cs="宋体"/>
          <w:b/>
          <w:bCs/>
        </w:rPr>
        <w:t>2、限售股份变动情况</w:t>
      </w:r>
      <w:bookmarkEnd w:id="80"/>
    </w:p>
    <w:p w14:paraId="33BE69A0">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AE6E9FB">
      <w:pPr>
        <w:pStyle w:val="2"/>
        <w:spacing w:before="300" w:after="300" w:line="320" w:lineRule="exact"/>
        <w:rPr>
          <w:rFonts w:ascii="宋体" w:hAnsi="宋体" w:eastAsia="宋体" w:cs="宋体"/>
          <w:b/>
          <w:bCs/>
          <w:sz w:val="24"/>
          <w:szCs w:val="24"/>
        </w:rPr>
      </w:pPr>
      <w:bookmarkStart w:id="81" w:name="_Toc988970"/>
      <w:r>
        <w:rPr>
          <w:rFonts w:ascii="宋体" w:hAnsi="宋体" w:eastAsia="宋体" w:cs="宋体"/>
          <w:b/>
          <w:bCs/>
          <w:sz w:val="24"/>
          <w:szCs w:val="24"/>
        </w:rPr>
        <w:t>二、证券发行与上市情况</w:t>
      </w:r>
      <w:bookmarkEnd w:id="81"/>
    </w:p>
    <w:p w14:paraId="77AB0744">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742A7AC">
      <w:pPr>
        <w:pStyle w:val="2"/>
        <w:spacing w:before="300" w:after="300" w:line="320" w:lineRule="exact"/>
        <w:rPr>
          <w:rFonts w:ascii="宋体" w:hAnsi="宋体" w:eastAsia="宋体" w:cs="宋体"/>
          <w:b/>
          <w:bCs/>
          <w:sz w:val="24"/>
          <w:szCs w:val="24"/>
        </w:rPr>
      </w:pPr>
      <w:bookmarkStart w:id="82" w:name="_Toc988971"/>
      <w:r>
        <w:rPr>
          <w:rFonts w:ascii="宋体" w:hAnsi="宋体" w:eastAsia="宋体" w:cs="宋体"/>
          <w:b/>
          <w:bCs/>
          <w:sz w:val="24"/>
          <w:szCs w:val="24"/>
        </w:rPr>
        <w:t>三、公司股东数量及持股情况</w:t>
      </w:r>
      <w:bookmarkEnd w:id="82"/>
    </w:p>
    <w:p w14:paraId="532767F2">
      <w:pPr>
        <w:spacing w:before="120" w:after="120" w:line="240" w:lineRule="exact"/>
        <w:jc w:val="right"/>
        <w:rPr>
          <w:rFonts w:ascii="宋体" w:hAnsi="宋体" w:eastAsia="宋体" w:cs="宋体"/>
          <w:sz w:val="18"/>
          <w:szCs w:val="18"/>
        </w:rPr>
      </w:pPr>
      <w:r>
        <w:rPr>
          <w:rFonts w:ascii="宋体" w:hAnsi="宋体" w:eastAsia="宋体" w:cs="宋体"/>
          <w:sz w:val="18"/>
          <w:szCs w:val="18"/>
        </w:rPr>
        <w:t>单位：股</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128"/>
        <w:gridCol w:w="1014"/>
        <w:gridCol w:w="1071"/>
        <w:gridCol w:w="1071"/>
        <w:gridCol w:w="1071"/>
      </w:tblGrid>
      <w:tr w14:paraId="08B05E04">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9CB8F80">
            <w:pPr>
              <w:spacing w:before="40" w:after="40" w:line="240" w:lineRule="exact"/>
              <w:rPr>
                <w:rFonts w:ascii="宋体" w:hAnsi="宋体" w:eastAsia="宋体" w:cs="宋体"/>
                <w:sz w:val="18"/>
                <w:szCs w:val="18"/>
              </w:rPr>
            </w:pPr>
            <w:r>
              <w:rPr>
                <w:rFonts w:ascii="宋体" w:hAnsi="宋体" w:eastAsia="宋体" w:cs="宋体"/>
                <w:sz w:val="18"/>
                <w:szCs w:val="18"/>
              </w:rPr>
              <w:t>报告期末普通股股东总数</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014CDA26">
            <w:pPr>
              <w:spacing w:line="240" w:lineRule="exact"/>
              <w:jc w:val="right"/>
              <w:rPr>
                <w:rFonts w:ascii="宋体" w:hAnsi="宋体" w:eastAsia="宋体" w:cs="宋体"/>
                <w:sz w:val="18"/>
                <w:szCs w:val="18"/>
              </w:rPr>
            </w:pPr>
            <w:r>
              <w:rPr>
                <w:rFonts w:ascii="宋体" w:hAnsi="宋体" w:eastAsia="宋体" w:cs="宋体"/>
                <w:sz w:val="18"/>
                <w:szCs w:val="18"/>
              </w:rPr>
              <w:t>17,304</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C59A391">
            <w:pPr>
              <w:spacing w:before="40" w:after="40" w:line="240" w:lineRule="exact"/>
              <w:rPr>
                <w:rFonts w:ascii="宋体" w:hAnsi="宋体" w:eastAsia="宋体" w:cs="宋体"/>
                <w:sz w:val="18"/>
                <w:szCs w:val="18"/>
              </w:rPr>
            </w:pPr>
            <w:r>
              <w:rPr>
                <w:rFonts w:ascii="宋体" w:hAnsi="宋体" w:eastAsia="宋体" w:cs="宋体"/>
                <w:sz w:val="18"/>
                <w:szCs w:val="18"/>
              </w:rPr>
              <w:t>报告期末表决权恢复的优先股股东总数（如有）（参见注8）</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15E4E19F">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13BC7429">
        <w:trPr>
          <w:trHeight w:val="240" w:hRule="atLeast"/>
        </w:trPr>
        <w:tc>
          <w:tcPr>
            <w:tcW w:w="9639" w:type="dxa"/>
            <w:gridSpan w:val="9"/>
            <w:tcBorders>
              <w:top w:val="single" w:color="auto" w:sz="2" w:space="0"/>
              <w:left w:val="single" w:color="auto" w:sz="2" w:space="0"/>
              <w:bottom w:val="single" w:color="auto" w:sz="2" w:space="0"/>
              <w:right w:val="single" w:color="auto" w:sz="2" w:space="0"/>
            </w:tcBorders>
            <w:shd w:val="clear" w:color="auto" w:fill="D3D3D3"/>
            <w:vAlign w:val="center"/>
          </w:tcPr>
          <w:p w14:paraId="71137D57">
            <w:pPr>
              <w:spacing w:before="40" w:after="40" w:line="240" w:lineRule="exact"/>
              <w:jc w:val="center"/>
              <w:rPr>
                <w:rFonts w:ascii="宋体" w:hAnsi="宋体" w:eastAsia="宋体" w:cs="宋体"/>
                <w:sz w:val="18"/>
                <w:szCs w:val="18"/>
              </w:rPr>
            </w:pPr>
            <w:r>
              <w:rPr>
                <w:rFonts w:ascii="宋体" w:hAnsi="宋体" w:eastAsia="宋体" w:cs="宋体"/>
                <w:sz w:val="18"/>
                <w:szCs w:val="18"/>
              </w:rPr>
              <w:t>持股5%以上的普通股股东或前10名普通股股东持股情况（不含通过转融通出借股份）</w:t>
            </w:r>
          </w:p>
        </w:tc>
      </w:tr>
      <w:tr w14:paraId="018540D9">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C0FE9E">
            <w:pPr>
              <w:spacing w:before="40" w:after="40" w:line="240" w:lineRule="exact"/>
              <w:jc w:val="center"/>
              <w:rPr>
                <w:rFonts w:ascii="宋体" w:hAnsi="宋体" w:eastAsia="宋体" w:cs="宋体"/>
                <w:sz w:val="18"/>
                <w:szCs w:val="18"/>
              </w:rPr>
            </w:pPr>
            <w:r>
              <w:rPr>
                <w:rFonts w:ascii="宋体" w:hAnsi="宋体" w:eastAsia="宋体" w:cs="宋体"/>
                <w:sz w:val="18"/>
                <w:szCs w:val="18"/>
              </w:rPr>
              <w:t>股东名称</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F4D64D">
            <w:pPr>
              <w:spacing w:before="40" w:after="40" w:line="240" w:lineRule="exact"/>
              <w:jc w:val="center"/>
              <w:rPr>
                <w:rFonts w:ascii="宋体" w:hAnsi="宋体" w:eastAsia="宋体" w:cs="宋体"/>
                <w:sz w:val="18"/>
                <w:szCs w:val="18"/>
              </w:rPr>
            </w:pPr>
            <w:r>
              <w:rPr>
                <w:rFonts w:ascii="宋体" w:hAnsi="宋体" w:eastAsia="宋体" w:cs="宋体"/>
                <w:sz w:val="18"/>
                <w:szCs w:val="18"/>
              </w:rPr>
              <w:t>股东性质</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CE3F2E">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5AC78A">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报告期末持有的普通股数量</w:t>
            </w:r>
          </w:p>
        </w:tc>
        <w:tc>
          <w:tcPr>
            <w:tcW w:w="11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A5CE7A">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报告期内增减变动情况</w:t>
            </w:r>
          </w:p>
        </w:tc>
        <w:tc>
          <w:tcPr>
            <w:tcW w:w="1014"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EEF3E4">
            <w:pPr>
              <w:spacing w:before="40" w:after="40" w:line="240" w:lineRule="exact"/>
              <w:jc w:val="center"/>
              <w:rPr>
                <w:rFonts w:ascii="宋体" w:hAnsi="宋体" w:eastAsia="宋体" w:cs="宋体"/>
                <w:sz w:val="18"/>
                <w:szCs w:val="18"/>
              </w:rPr>
            </w:pPr>
            <w:r>
              <w:rPr>
                <w:rFonts w:ascii="宋体" w:hAnsi="宋体" w:eastAsia="宋体" w:cs="宋体"/>
                <w:sz w:val="18"/>
                <w:szCs w:val="18"/>
              </w:rPr>
              <w:t>持有有限售条件的普通股数量</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0F35F0">
            <w:pPr>
              <w:spacing w:before="40" w:after="40" w:line="240" w:lineRule="exact"/>
              <w:jc w:val="center"/>
              <w:rPr>
                <w:rFonts w:ascii="宋体" w:hAnsi="宋体" w:eastAsia="宋体" w:cs="宋体"/>
                <w:sz w:val="18"/>
                <w:szCs w:val="18"/>
              </w:rPr>
            </w:pPr>
            <w:r>
              <w:rPr>
                <w:rFonts w:ascii="宋体" w:hAnsi="宋体" w:eastAsia="宋体" w:cs="宋体"/>
                <w:sz w:val="18"/>
                <w:szCs w:val="18"/>
              </w:rPr>
              <w:t>持有无限售条件的普通股数量</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B95164C">
            <w:pPr>
              <w:spacing w:before="40" w:after="40" w:line="240" w:lineRule="exact"/>
              <w:jc w:val="center"/>
              <w:rPr>
                <w:rFonts w:ascii="宋体" w:hAnsi="宋体" w:eastAsia="宋体" w:cs="宋体"/>
                <w:sz w:val="18"/>
                <w:szCs w:val="18"/>
              </w:rPr>
            </w:pPr>
            <w:r>
              <w:rPr>
                <w:rFonts w:ascii="宋体" w:hAnsi="宋体" w:eastAsia="宋体" w:cs="宋体"/>
                <w:sz w:val="18"/>
                <w:szCs w:val="18"/>
              </w:rPr>
              <w:t>质押、标记或冻结情况</w:t>
            </w:r>
          </w:p>
        </w:tc>
      </w:tr>
      <w:tr w14:paraId="408FCDCE">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157323"/>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1EEE94D"/>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78D70F"/>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7DF3B1C"/>
        </w:tc>
        <w:tc>
          <w:tcPr>
            <w:tcW w:w="11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9EB77CA"/>
        </w:tc>
        <w:tc>
          <w:tcPr>
            <w:tcW w:w="1014"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5F5953"/>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F28FE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8881F2">
            <w:pPr>
              <w:spacing w:before="40" w:after="40" w:line="240" w:lineRule="exact"/>
              <w:jc w:val="center"/>
              <w:rPr>
                <w:rFonts w:ascii="宋体" w:hAnsi="宋体" w:eastAsia="宋体" w:cs="宋体"/>
                <w:sz w:val="18"/>
                <w:szCs w:val="18"/>
              </w:rPr>
            </w:pPr>
            <w:r>
              <w:rPr>
                <w:rFonts w:ascii="宋体" w:hAnsi="宋体" w:eastAsia="宋体" w:cs="宋体"/>
                <w:sz w:val="18"/>
                <w:szCs w:val="18"/>
              </w:rPr>
              <w:t>股份状态</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4EDC447">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r>
      <w:tr w14:paraId="16CD868A">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7D734E5">
            <w:pPr>
              <w:spacing w:line="240" w:lineRule="exact"/>
              <w:rPr>
                <w:rFonts w:ascii="宋体" w:hAnsi="宋体" w:eastAsia="宋体" w:cs="宋体"/>
                <w:sz w:val="18"/>
                <w:szCs w:val="18"/>
              </w:rPr>
            </w:pPr>
            <w:r>
              <w:rPr>
                <w:rFonts w:ascii="宋体" w:hAnsi="宋体" w:eastAsia="宋体" w:cs="宋体"/>
                <w:sz w:val="18"/>
                <w:szCs w:val="18"/>
              </w:rPr>
              <w:t>西藏盛邦控股有限公司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461525F5">
            <w:pPr>
              <w:spacing w:line="240" w:lineRule="exact"/>
              <w:rPr>
                <w:rFonts w:ascii="宋体" w:hAnsi="宋体" w:eastAsia="宋体" w:cs="宋体"/>
                <w:sz w:val="18"/>
                <w:szCs w:val="18"/>
              </w:rPr>
            </w:pPr>
            <w:r>
              <w:rPr>
                <w:rFonts w:ascii="宋体" w:hAnsi="宋体" w:eastAsia="宋体" w:cs="宋体"/>
                <w:sz w:val="18"/>
                <w:szCs w:val="18"/>
              </w:rPr>
              <w:t>境内非国有法人</w:t>
            </w:r>
          </w:p>
        </w:tc>
        <w:tc>
          <w:tcPr>
            <w:tcW w:w="1071" w:type="dxa"/>
            <w:tcBorders>
              <w:top w:val="single" w:color="auto" w:sz="2" w:space="0"/>
              <w:left w:val="single" w:color="auto" w:sz="2" w:space="0"/>
              <w:bottom w:val="single" w:color="auto" w:sz="2" w:space="0"/>
              <w:right w:val="single" w:color="auto" w:sz="2" w:space="0"/>
            </w:tcBorders>
            <w:vAlign w:val="center"/>
          </w:tcPr>
          <w:p w14:paraId="345E1001">
            <w:pPr>
              <w:spacing w:line="240" w:lineRule="exact"/>
              <w:jc w:val="right"/>
              <w:rPr>
                <w:rFonts w:ascii="宋体" w:hAnsi="宋体" w:eastAsia="宋体" w:cs="宋体"/>
                <w:sz w:val="18"/>
                <w:szCs w:val="18"/>
              </w:rPr>
            </w:pPr>
            <w:r>
              <w:rPr>
                <w:rFonts w:ascii="宋体" w:hAnsi="宋体" w:eastAsia="宋体" w:cs="宋体"/>
                <w:sz w:val="18"/>
                <w:szCs w:val="18"/>
              </w:rPr>
              <w:t>12.74%</w:t>
            </w:r>
          </w:p>
        </w:tc>
        <w:tc>
          <w:tcPr>
            <w:tcW w:w="1071" w:type="dxa"/>
            <w:tcBorders>
              <w:top w:val="single" w:color="auto" w:sz="2" w:space="0"/>
              <w:left w:val="single" w:color="auto" w:sz="2" w:space="0"/>
              <w:bottom w:val="single" w:color="auto" w:sz="2" w:space="0"/>
              <w:right w:val="single" w:color="auto" w:sz="2" w:space="0"/>
            </w:tcBorders>
            <w:vAlign w:val="center"/>
          </w:tcPr>
          <w:p w14:paraId="1798D4B3">
            <w:pPr>
              <w:spacing w:line="240" w:lineRule="exact"/>
              <w:jc w:val="right"/>
              <w:rPr>
                <w:rFonts w:ascii="宋体" w:hAnsi="宋体" w:eastAsia="宋体" w:cs="宋体"/>
                <w:sz w:val="18"/>
                <w:szCs w:val="18"/>
              </w:rPr>
            </w:pPr>
            <w:r>
              <w:rPr>
                <w:rFonts w:ascii="宋体" w:hAnsi="宋体" w:eastAsia="宋体" w:cs="宋体"/>
                <w:sz w:val="18"/>
                <w:szCs w:val="18"/>
              </w:rPr>
              <w:t>33,613,192</w:t>
            </w:r>
          </w:p>
        </w:tc>
        <w:tc>
          <w:tcPr>
            <w:tcW w:w="1128" w:type="dxa"/>
            <w:tcBorders>
              <w:top w:val="single" w:color="auto" w:sz="2" w:space="0"/>
              <w:left w:val="single" w:color="auto" w:sz="2" w:space="0"/>
              <w:bottom w:val="single" w:color="auto" w:sz="2" w:space="0"/>
              <w:right w:val="single" w:color="auto" w:sz="2" w:space="0"/>
            </w:tcBorders>
            <w:vAlign w:val="center"/>
          </w:tcPr>
          <w:p w14:paraId="5D24A4CD">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14" w:type="dxa"/>
            <w:tcBorders>
              <w:top w:val="single" w:color="auto" w:sz="2" w:space="0"/>
              <w:left w:val="single" w:color="auto" w:sz="2" w:space="0"/>
              <w:bottom w:val="single" w:color="auto" w:sz="2" w:space="0"/>
              <w:right w:val="single" w:color="auto" w:sz="2" w:space="0"/>
            </w:tcBorders>
            <w:vAlign w:val="center"/>
          </w:tcPr>
          <w:p w14:paraId="61D33B24">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7F90B8C7">
            <w:pPr>
              <w:spacing w:line="240" w:lineRule="exact"/>
              <w:jc w:val="right"/>
              <w:rPr>
                <w:rFonts w:ascii="宋体" w:hAnsi="宋体" w:eastAsia="宋体" w:cs="宋体"/>
                <w:sz w:val="18"/>
                <w:szCs w:val="18"/>
              </w:rPr>
            </w:pPr>
            <w:r>
              <w:rPr>
                <w:rFonts w:ascii="宋体" w:hAnsi="宋体" w:eastAsia="宋体" w:cs="宋体"/>
                <w:sz w:val="18"/>
                <w:szCs w:val="18"/>
              </w:rPr>
              <w:t>33,613,192</w:t>
            </w:r>
          </w:p>
        </w:tc>
        <w:tc>
          <w:tcPr>
            <w:tcW w:w="1071" w:type="dxa"/>
            <w:tcBorders>
              <w:top w:val="single" w:color="auto" w:sz="2" w:space="0"/>
              <w:left w:val="single" w:color="auto" w:sz="2" w:space="0"/>
              <w:bottom w:val="single" w:color="auto" w:sz="2" w:space="0"/>
              <w:right w:val="single" w:color="auto" w:sz="2" w:space="0"/>
            </w:tcBorders>
            <w:vAlign w:val="center"/>
          </w:tcPr>
          <w:p w14:paraId="6E0DAF4A">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1E0A939C">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51DCB85B">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5AF1ED1">
            <w:pPr>
              <w:spacing w:line="240" w:lineRule="exact"/>
              <w:rPr>
                <w:rFonts w:ascii="宋体" w:hAnsi="宋体" w:eastAsia="宋体" w:cs="宋体"/>
                <w:sz w:val="18"/>
                <w:szCs w:val="18"/>
              </w:rPr>
            </w:pPr>
            <w:r>
              <w:rPr>
                <w:rFonts w:ascii="宋体" w:hAnsi="宋体" w:eastAsia="宋体" w:cs="宋体"/>
                <w:sz w:val="18"/>
                <w:szCs w:val="18"/>
              </w:rPr>
              <w:t>西藏国有资本投资运营有限公司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0A3E2B18">
            <w:pPr>
              <w:spacing w:line="240" w:lineRule="exact"/>
              <w:rPr>
                <w:rFonts w:ascii="宋体" w:hAnsi="宋体" w:eastAsia="宋体" w:cs="宋体"/>
                <w:sz w:val="18"/>
                <w:szCs w:val="18"/>
              </w:rPr>
            </w:pPr>
            <w:r>
              <w:rPr>
                <w:rFonts w:ascii="宋体" w:hAnsi="宋体" w:eastAsia="宋体" w:cs="宋体"/>
                <w:sz w:val="18"/>
                <w:szCs w:val="18"/>
              </w:rPr>
              <w:t>国有法人</w:t>
            </w:r>
          </w:p>
        </w:tc>
        <w:tc>
          <w:tcPr>
            <w:tcW w:w="1071" w:type="dxa"/>
            <w:tcBorders>
              <w:top w:val="single" w:color="auto" w:sz="2" w:space="0"/>
              <w:left w:val="single" w:color="auto" w:sz="2" w:space="0"/>
              <w:bottom w:val="single" w:color="auto" w:sz="2" w:space="0"/>
              <w:right w:val="single" w:color="auto" w:sz="2" w:space="0"/>
            </w:tcBorders>
            <w:vAlign w:val="center"/>
          </w:tcPr>
          <w:p w14:paraId="0E07F22B">
            <w:pPr>
              <w:spacing w:line="240" w:lineRule="exact"/>
              <w:jc w:val="right"/>
              <w:rPr>
                <w:rFonts w:ascii="宋体" w:hAnsi="宋体" w:eastAsia="宋体" w:cs="宋体"/>
                <w:sz w:val="18"/>
                <w:szCs w:val="18"/>
              </w:rPr>
            </w:pPr>
            <w:r>
              <w:rPr>
                <w:rFonts w:ascii="宋体" w:hAnsi="宋体" w:eastAsia="宋体" w:cs="宋体"/>
                <w:sz w:val="18"/>
                <w:szCs w:val="18"/>
              </w:rPr>
              <w:t>6.09%</w:t>
            </w:r>
          </w:p>
        </w:tc>
        <w:tc>
          <w:tcPr>
            <w:tcW w:w="1071" w:type="dxa"/>
            <w:tcBorders>
              <w:top w:val="single" w:color="auto" w:sz="2" w:space="0"/>
              <w:left w:val="single" w:color="auto" w:sz="2" w:space="0"/>
              <w:bottom w:val="single" w:color="auto" w:sz="2" w:space="0"/>
              <w:right w:val="single" w:color="auto" w:sz="2" w:space="0"/>
            </w:tcBorders>
            <w:vAlign w:val="center"/>
          </w:tcPr>
          <w:p w14:paraId="61E202CF">
            <w:pPr>
              <w:spacing w:line="240" w:lineRule="exact"/>
              <w:jc w:val="right"/>
              <w:rPr>
                <w:rFonts w:ascii="宋体" w:hAnsi="宋体" w:eastAsia="宋体" w:cs="宋体"/>
                <w:sz w:val="18"/>
                <w:szCs w:val="18"/>
              </w:rPr>
            </w:pPr>
            <w:r>
              <w:rPr>
                <w:rFonts w:ascii="宋体" w:hAnsi="宋体" w:eastAsia="宋体" w:cs="宋体"/>
                <w:sz w:val="18"/>
                <w:szCs w:val="18"/>
              </w:rPr>
              <w:t>16,072,257</w:t>
            </w:r>
          </w:p>
        </w:tc>
        <w:tc>
          <w:tcPr>
            <w:tcW w:w="1128" w:type="dxa"/>
            <w:tcBorders>
              <w:top w:val="single" w:color="auto" w:sz="2" w:space="0"/>
              <w:left w:val="single" w:color="auto" w:sz="2" w:space="0"/>
              <w:bottom w:val="single" w:color="auto" w:sz="2" w:space="0"/>
              <w:right w:val="single" w:color="auto" w:sz="2" w:space="0"/>
            </w:tcBorders>
            <w:vAlign w:val="center"/>
          </w:tcPr>
          <w:p w14:paraId="369298F7">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14" w:type="dxa"/>
            <w:tcBorders>
              <w:top w:val="single" w:color="auto" w:sz="2" w:space="0"/>
              <w:left w:val="single" w:color="auto" w:sz="2" w:space="0"/>
              <w:bottom w:val="single" w:color="auto" w:sz="2" w:space="0"/>
              <w:right w:val="single" w:color="auto" w:sz="2" w:space="0"/>
            </w:tcBorders>
            <w:vAlign w:val="center"/>
          </w:tcPr>
          <w:p w14:paraId="3103066F">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5C1AADD5">
            <w:pPr>
              <w:spacing w:line="240" w:lineRule="exact"/>
              <w:jc w:val="right"/>
              <w:rPr>
                <w:rFonts w:ascii="宋体" w:hAnsi="宋体" w:eastAsia="宋体" w:cs="宋体"/>
                <w:sz w:val="18"/>
                <w:szCs w:val="18"/>
              </w:rPr>
            </w:pPr>
            <w:r>
              <w:rPr>
                <w:rFonts w:ascii="宋体" w:hAnsi="宋体" w:eastAsia="宋体" w:cs="宋体"/>
                <w:sz w:val="18"/>
                <w:szCs w:val="18"/>
              </w:rPr>
              <w:t>16,072,257</w:t>
            </w:r>
          </w:p>
        </w:tc>
        <w:tc>
          <w:tcPr>
            <w:tcW w:w="1071" w:type="dxa"/>
            <w:tcBorders>
              <w:top w:val="single" w:color="auto" w:sz="2" w:space="0"/>
              <w:left w:val="single" w:color="auto" w:sz="2" w:space="0"/>
              <w:bottom w:val="single" w:color="auto" w:sz="2" w:space="0"/>
              <w:right w:val="single" w:color="auto" w:sz="2" w:space="0"/>
            </w:tcBorders>
            <w:vAlign w:val="center"/>
          </w:tcPr>
          <w:p w14:paraId="068BB899">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39356E7E">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65058CDC">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B995A12">
            <w:pPr>
              <w:spacing w:line="240" w:lineRule="exact"/>
              <w:rPr>
                <w:rFonts w:ascii="宋体" w:hAnsi="宋体" w:eastAsia="宋体" w:cs="宋体"/>
                <w:sz w:val="18"/>
                <w:szCs w:val="18"/>
              </w:rPr>
            </w:pPr>
            <w:r>
              <w:rPr>
                <w:rFonts w:ascii="宋体" w:hAnsi="宋体" w:eastAsia="宋体" w:cs="宋体"/>
                <w:sz w:val="18"/>
                <w:szCs w:val="18"/>
              </w:rPr>
              <w:t>黄建山</w:t>
            </w:r>
          </w:p>
        </w:tc>
        <w:tc>
          <w:tcPr>
            <w:tcW w:w="1071" w:type="dxa"/>
            <w:tcBorders>
              <w:top w:val="single" w:color="auto" w:sz="2" w:space="0"/>
              <w:left w:val="single" w:color="auto" w:sz="2" w:space="0"/>
              <w:bottom w:val="single" w:color="auto" w:sz="2" w:space="0"/>
              <w:right w:val="single" w:color="auto" w:sz="2" w:space="0"/>
            </w:tcBorders>
            <w:vAlign w:val="center"/>
          </w:tcPr>
          <w:p w14:paraId="6521244D">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437A8DEA">
            <w:pPr>
              <w:spacing w:line="240" w:lineRule="exact"/>
              <w:jc w:val="right"/>
              <w:rPr>
                <w:rFonts w:ascii="宋体" w:hAnsi="宋体" w:eastAsia="宋体" w:cs="宋体"/>
                <w:sz w:val="18"/>
                <w:szCs w:val="18"/>
              </w:rPr>
            </w:pPr>
            <w:r>
              <w:rPr>
                <w:rFonts w:ascii="宋体" w:hAnsi="宋体" w:eastAsia="宋体" w:cs="宋体"/>
                <w:sz w:val="18"/>
                <w:szCs w:val="18"/>
              </w:rPr>
              <w:t>3.33%</w:t>
            </w:r>
          </w:p>
        </w:tc>
        <w:tc>
          <w:tcPr>
            <w:tcW w:w="1071" w:type="dxa"/>
            <w:tcBorders>
              <w:top w:val="single" w:color="auto" w:sz="2" w:space="0"/>
              <w:left w:val="single" w:color="auto" w:sz="2" w:space="0"/>
              <w:bottom w:val="single" w:color="auto" w:sz="2" w:space="0"/>
              <w:right w:val="single" w:color="auto" w:sz="2" w:space="0"/>
            </w:tcBorders>
            <w:vAlign w:val="center"/>
          </w:tcPr>
          <w:p w14:paraId="4FA33215">
            <w:pPr>
              <w:spacing w:line="240" w:lineRule="exact"/>
              <w:jc w:val="right"/>
              <w:rPr>
                <w:rFonts w:ascii="宋体" w:hAnsi="宋体" w:eastAsia="宋体" w:cs="宋体"/>
                <w:sz w:val="18"/>
                <w:szCs w:val="18"/>
              </w:rPr>
            </w:pPr>
            <w:r>
              <w:rPr>
                <w:rFonts w:ascii="宋体" w:hAnsi="宋体" w:eastAsia="宋体" w:cs="宋体"/>
                <w:sz w:val="18"/>
                <w:szCs w:val="18"/>
              </w:rPr>
              <w:t>8,787,700</w:t>
            </w:r>
          </w:p>
        </w:tc>
        <w:tc>
          <w:tcPr>
            <w:tcW w:w="1128" w:type="dxa"/>
            <w:tcBorders>
              <w:top w:val="single" w:color="auto" w:sz="2" w:space="0"/>
              <w:left w:val="single" w:color="auto" w:sz="2" w:space="0"/>
              <w:bottom w:val="single" w:color="auto" w:sz="2" w:space="0"/>
              <w:right w:val="single" w:color="auto" w:sz="2" w:space="0"/>
            </w:tcBorders>
            <w:vAlign w:val="center"/>
          </w:tcPr>
          <w:p w14:paraId="42C534EF">
            <w:pPr>
              <w:spacing w:line="240" w:lineRule="exact"/>
              <w:jc w:val="right"/>
              <w:rPr>
                <w:rFonts w:ascii="宋体" w:hAnsi="宋体" w:eastAsia="宋体" w:cs="宋体"/>
                <w:sz w:val="18"/>
                <w:szCs w:val="18"/>
              </w:rPr>
            </w:pPr>
            <w:r>
              <w:rPr>
                <w:rFonts w:ascii="宋体" w:hAnsi="宋体" w:eastAsia="宋体" w:cs="宋体"/>
                <w:sz w:val="18"/>
                <w:szCs w:val="18"/>
              </w:rPr>
              <w:t>+141</w:t>
            </w:r>
            <w:r>
              <w:rPr>
                <w:rFonts w:hint="eastAsia" w:ascii="宋体" w:hAnsi="宋体" w:eastAsia="宋体" w:cs="宋体"/>
                <w:sz w:val="18"/>
                <w:szCs w:val="18"/>
                <w:lang w:val="en-US" w:eastAsia="zh-CN"/>
              </w:rPr>
              <w:t>,</w:t>
            </w:r>
            <w:r>
              <w:rPr>
                <w:rFonts w:ascii="宋体" w:hAnsi="宋体" w:eastAsia="宋体" w:cs="宋体"/>
                <w:sz w:val="18"/>
                <w:szCs w:val="18"/>
              </w:rPr>
              <w:t>680</w:t>
            </w:r>
          </w:p>
        </w:tc>
        <w:tc>
          <w:tcPr>
            <w:tcW w:w="1014" w:type="dxa"/>
            <w:tcBorders>
              <w:top w:val="single" w:color="auto" w:sz="2" w:space="0"/>
              <w:left w:val="single" w:color="auto" w:sz="2" w:space="0"/>
              <w:bottom w:val="single" w:color="auto" w:sz="2" w:space="0"/>
              <w:right w:val="single" w:color="auto" w:sz="2" w:space="0"/>
            </w:tcBorders>
            <w:vAlign w:val="center"/>
          </w:tcPr>
          <w:p w14:paraId="228C7E7B">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02DCFD5E">
            <w:pPr>
              <w:spacing w:line="240" w:lineRule="exact"/>
              <w:jc w:val="right"/>
              <w:rPr>
                <w:rFonts w:ascii="宋体" w:hAnsi="宋体" w:eastAsia="宋体" w:cs="宋体"/>
                <w:sz w:val="18"/>
                <w:szCs w:val="18"/>
              </w:rPr>
            </w:pPr>
            <w:r>
              <w:rPr>
                <w:rFonts w:ascii="宋体" w:hAnsi="宋体" w:eastAsia="宋体" w:cs="宋体"/>
                <w:sz w:val="18"/>
                <w:szCs w:val="18"/>
              </w:rPr>
              <w:t>8,787,700</w:t>
            </w:r>
          </w:p>
        </w:tc>
        <w:tc>
          <w:tcPr>
            <w:tcW w:w="1071" w:type="dxa"/>
            <w:tcBorders>
              <w:top w:val="single" w:color="auto" w:sz="2" w:space="0"/>
              <w:left w:val="single" w:color="auto" w:sz="2" w:space="0"/>
              <w:bottom w:val="single" w:color="auto" w:sz="2" w:space="0"/>
              <w:right w:val="single" w:color="auto" w:sz="2" w:space="0"/>
            </w:tcBorders>
            <w:vAlign w:val="center"/>
          </w:tcPr>
          <w:p w14:paraId="72F0B9F7">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181B2921">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3C6B2AD8">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vAlign w:val="center"/>
          </w:tcPr>
          <w:p w14:paraId="20F9C4C4">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14:paraId="28FE5BCF">
            <w:pPr>
              <w:spacing w:line="240" w:lineRule="exact"/>
              <w:rPr>
                <w:rFonts w:ascii="宋体" w:hAnsi="宋体" w:eastAsia="宋体" w:cs="宋体"/>
                <w:sz w:val="18"/>
                <w:szCs w:val="18"/>
              </w:rPr>
            </w:pPr>
            <w:r>
              <w:rPr>
                <w:rFonts w:ascii="宋体" w:hAnsi="宋体" w:eastAsia="宋体" w:cs="宋体"/>
                <w:sz w:val="18"/>
                <w:szCs w:val="18"/>
              </w:rPr>
              <w:t>境内非国有法人</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14:paraId="4114EE6A">
            <w:pPr>
              <w:spacing w:line="240" w:lineRule="exact"/>
              <w:jc w:val="right"/>
              <w:rPr>
                <w:rFonts w:ascii="宋体" w:hAnsi="宋体" w:eastAsia="宋体" w:cs="宋体"/>
                <w:sz w:val="18"/>
                <w:szCs w:val="18"/>
              </w:rPr>
            </w:pPr>
            <w:r>
              <w:rPr>
                <w:rFonts w:ascii="宋体" w:hAnsi="宋体" w:eastAsia="宋体" w:cs="宋体"/>
                <w:sz w:val="18"/>
                <w:szCs w:val="18"/>
              </w:rPr>
              <w:t>2.96%</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14:paraId="5B0B26A8">
            <w:pPr>
              <w:spacing w:line="240" w:lineRule="exact"/>
              <w:jc w:val="right"/>
              <w:rPr>
                <w:rFonts w:ascii="宋体" w:hAnsi="宋体" w:eastAsia="宋体" w:cs="宋体"/>
                <w:sz w:val="18"/>
                <w:szCs w:val="18"/>
              </w:rPr>
            </w:pPr>
            <w:r>
              <w:rPr>
                <w:rFonts w:ascii="宋体" w:hAnsi="宋体" w:eastAsia="宋体" w:cs="宋体"/>
                <w:sz w:val="18"/>
                <w:szCs w:val="18"/>
              </w:rPr>
              <w:t>7,800,000</w:t>
            </w:r>
          </w:p>
        </w:tc>
        <w:tc>
          <w:tcPr>
            <w:tcW w:w="1128" w:type="dxa"/>
            <w:vMerge w:val="restart"/>
            <w:tcBorders>
              <w:top w:val="single" w:color="auto" w:sz="2" w:space="0"/>
              <w:left w:val="single" w:color="auto" w:sz="2" w:space="0"/>
              <w:bottom w:val="single" w:color="auto" w:sz="2" w:space="0"/>
              <w:right w:val="single" w:color="auto" w:sz="2" w:space="0"/>
            </w:tcBorders>
            <w:vAlign w:val="center"/>
          </w:tcPr>
          <w:p w14:paraId="55D6E62D">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14" w:type="dxa"/>
            <w:vMerge w:val="restart"/>
            <w:tcBorders>
              <w:top w:val="single" w:color="auto" w:sz="2" w:space="0"/>
              <w:left w:val="single" w:color="auto" w:sz="2" w:space="0"/>
              <w:bottom w:val="single" w:color="auto" w:sz="2" w:space="0"/>
              <w:right w:val="single" w:color="auto" w:sz="2" w:space="0"/>
            </w:tcBorders>
            <w:vAlign w:val="center"/>
          </w:tcPr>
          <w:p w14:paraId="304942D0">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14:paraId="0594DFB6">
            <w:pPr>
              <w:spacing w:line="240" w:lineRule="exact"/>
              <w:jc w:val="right"/>
              <w:rPr>
                <w:rFonts w:ascii="宋体" w:hAnsi="宋体" w:eastAsia="宋体" w:cs="宋体"/>
                <w:sz w:val="18"/>
                <w:szCs w:val="18"/>
              </w:rPr>
            </w:pPr>
            <w:r>
              <w:rPr>
                <w:rFonts w:ascii="宋体" w:hAnsi="宋体" w:eastAsia="宋体" w:cs="宋体"/>
                <w:sz w:val="18"/>
                <w:szCs w:val="18"/>
              </w:rPr>
              <w:t>7,800,000</w:t>
            </w:r>
          </w:p>
        </w:tc>
        <w:tc>
          <w:tcPr>
            <w:tcW w:w="1071" w:type="dxa"/>
            <w:tcBorders>
              <w:top w:val="single" w:color="auto" w:sz="2" w:space="0"/>
              <w:left w:val="single" w:color="auto" w:sz="2" w:space="0"/>
              <w:bottom w:val="single" w:color="auto" w:sz="2" w:space="0"/>
              <w:right w:val="single" w:color="auto" w:sz="2" w:space="0"/>
            </w:tcBorders>
            <w:vAlign w:val="center"/>
          </w:tcPr>
          <w:p w14:paraId="3B56FACC">
            <w:pPr>
              <w:spacing w:line="240" w:lineRule="exact"/>
              <w:rPr>
                <w:rFonts w:ascii="宋体" w:hAnsi="宋体" w:eastAsia="宋体" w:cs="宋体"/>
                <w:sz w:val="18"/>
                <w:szCs w:val="18"/>
              </w:rPr>
            </w:pPr>
            <w:r>
              <w:rPr>
                <w:rFonts w:ascii="宋体" w:hAnsi="宋体" w:eastAsia="宋体" w:cs="宋体"/>
                <w:sz w:val="18"/>
                <w:szCs w:val="18"/>
              </w:rPr>
              <w:t>质押</w:t>
            </w:r>
          </w:p>
        </w:tc>
        <w:tc>
          <w:tcPr>
            <w:tcW w:w="1071" w:type="dxa"/>
            <w:tcBorders>
              <w:top w:val="single" w:color="auto" w:sz="2" w:space="0"/>
              <w:left w:val="single" w:color="auto" w:sz="2" w:space="0"/>
              <w:bottom w:val="single" w:color="auto" w:sz="2" w:space="0"/>
              <w:right w:val="single" w:color="auto" w:sz="2" w:space="0"/>
            </w:tcBorders>
            <w:vAlign w:val="center"/>
          </w:tcPr>
          <w:p w14:paraId="12E027FF">
            <w:pPr>
              <w:spacing w:line="240" w:lineRule="exact"/>
              <w:jc w:val="right"/>
              <w:rPr>
                <w:rFonts w:ascii="宋体" w:hAnsi="宋体" w:eastAsia="宋体" w:cs="宋体"/>
                <w:sz w:val="18"/>
                <w:szCs w:val="18"/>
              </w:rPr>
            </w:pPr>
            <w:r>
              <w:rPr>
                <w:rFonts w:ascii="宋体" w:hAnsi="宋体" w:eastAsia="宋体" w:cs="宋体"/>
                <w:sz w:val="18"/>
                <w:szCs w:val="18"/>
              </w:rPr>
              <w:t>7,800,000</w:t>
            </w:r>
          </w:p>
        </w:tc>
      </w:tr>
      <w:tr w14:paraId="47ACD2F4">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vAlign w:val="center"/>
          </w:tcPr>
          <w:p w14:paraId="765765B3">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14:paraId="11E57DF0">
            <w:pPr>
              <w:spacing w:line="240" w:lineRule="exact"/>
              <w:rPr>
                <w:rFonts w:ascii="宋体" w:hAnsi="宋体" w:eastAsia="宋体" w:cs="宋体"/>
                <w:sz w:val="18"/>
                <w:szCs w:val="18"/>
              </w:rPr>
            </w:pPr>
            <w:r>
              <w:rPr>
                <w:rFonts w:ascii="宋体" w:hAnsi="宋体" w:eastAsia="宋体" w:cs="宋体"/>
                <w:sz w:val="18"/>
                <w:szCs w:val="18"/>
              </w:rPr>
              <w:t>境内非国有法人</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14:paraId="2C1D280C">
            <w:pPr>
              <w:spacing w:line="240" w:lineRule="exact"/>
              <w:jc w:val="right"/>
              <w:rPr>
                <w:rFonts w:ascii="宋体" w:hAnsi="宋体" w:eastAsia="宋体" w:cs="宋体"/>
                <w:sz w:val="18"/>
                <w:szCs w:val="18"/>
              </w:rPr>
            </w:pPr>
            <w:r>
              <w:rPr>
                <w:rFonts w:ascii="宋体" w:hAnsi="宋体" w:eastAsia="宋体" w:cs="宋体"/>
                <w:sz w:val="18"/>
                <w:szCs w:val="18"/>
              </w:rPr>
              <w:t>2.96%</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14:paraId="75960F40">
            <w:pPr>
              <w:spacing w:line="240" w:lineRule="exact"/>
              <w:jc w:val="right"/>
              <w:rPr>
                <w:rFonts w:ascii="宋体" w:hAnsi="宋体" w:eastAsia="宋体" w:cs="宋体"/>
                <w:sz w:val="18"/>
                <w:szCs w:val="18"/>
              </w:rPr>
            </w:pPr>
            <w:r>
              <w:rPr>
                <w:rFonts w:ascii="宋体" w:hAnsi="宋体" w:eastAsia="宋体" w:cs="宋体"/>
                <w:sz w:val="18"/>
                <w:szCs w:val="18"/>
              </w:rPr>
              <w:t>7,800,000</w:t>
            </w:r>
          </w:p>
        </w:tc>
        <w:tc>
          <w:tcPr>
            <w:tcW w:w="1128" w:type="dxa"/>
            <w:vMerge w:val="continue"/>
            <w:tcBorders>
              <w:top w:val="single" w:color="auto" w:sz="2" w:space="0"/>
              <w:left w:val="single" w:color="auto" w:sz="2" w:space="0"/>
              <w:bottom w:val="single" w:color="auto" w:sz="2" w:space="0"/>
              <w:right w:val="single" w:color="auto" w:sz="2" w:space="0"/>
            </w:tcBorders>
            <w:vAlign w:val="center"/>
          </w:tcPr>
          <w:p w14:paraId="18D4019D">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14" w:type="dxa"/>
            <w:vMerge w:val="continue"/>
            <w:tcBorders>
              <w:top w:val="single" w:color="auto" w:sz="2" w:space="0"/>
              <w:left w:val="single" w:color="auto" w:sz="2" w:space="0"/>
              <w:bottom w:val="single" w:color="auto" w:sz="2" w:space="0"/>
              <w:right w:val="single" w:color="auto" w:sz="2" w:space="0"/>
            </w:tcBorders>
            <w:vAlign w:val="center"/>
          </w:tcPr>
          <w:p w14:paraId="184EA527">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14:paraId="1C2276BA">
            <w:pPr>
              <w:spacing w:line="240" w:lineRule="exact"/>
              <w:jc w:val="right"/>
              <w:rPr>
                <w:rFonts w:ascii="宋体" w:hAnsi="宋体" w:eastAsia="宋体" w:cs="宋体"/>
                <w:sz w:val="18"/>
                <w:szCs w:val="18"/>
              </w:rPr>
            </w:pPr>
            <w:r>
              <w:rPr>
                <w:rFonts w:ascii="宋体" w:hAnsi="宋体" w:eastAsia="宋体" w:cs="宋体"/>
                <w:sz w:val="18"/>
                <w:szCs w:val="18"/>
              </w:rPr>
              <w:t>7,800,000</w:t>
            </w:r>
          </w:p>
        </w:tc>
        <w:tc>
          <w:tcPr>
            <w:tcW w:w="1071" w:type="dxa"/>
            <w:tcBorders>
              <w:top w:val="single" w:color="auto" w:sz="2" w:space="0"/>
              <w:left w:val="single" w:color="auto" w:sz="2" w:space="0"/>
              <w:bottom w:val="single" w:color="auto" w:sz="2" w:space="0"/>
              <w:right w:val="single" w:color="auto" w:sz="2" w:space="0"/>
            </w:tcBorders>
            <w:vAlign w:val="center"/>
          </w:tcPr>
          <w:p w14:paraId="713181D4">
            <w:pPr>
              <w:spacing w:line="240" w:lineRule="exact"/>
              <w:rPr>
                <w:rFonts w:ascii="宋体" w:hAnsi="宋体" w:eastAsia="宋体" w:cs="宋体"/>
                <w:sz w:val="18"/>
                <w:szCs w:val="18"/>
              </w:rPr>
            </w:pPr>
            <w:r>
              <w:rPr>
                <w:rFonts w:ascii="宋体" w:hAnsi="宋体" w:eastAsia="宋体" w:cs="宋体"/>
                <w:sz w:val="18"/>
                <w:szCs w:val="18"/>
              </w:rPr>
              <w:t>冻结</w:t>
            </w:r>
          </w:p>
        </w:tc>
        <w:tc>
          <w:tcPr>
            <w:tcW w:w="1071" w:type="dxa"/>
            <w:tcBorders>
              <w:top w:val="single" w:color="auto" w:sz="2" w:space="0"/>
              <w:left w:val="single" w:color="auto" w:sz="2" w:space="0"/>
              <w:bottom w:val="single" w:color="auto" w:sz="2" w:space="0"/>
              <w:right w:val="single" w:color="auto" w:sz="2" w:space="0"/>
            </w:tcBorders>
            <w:vAlign w:val="center"/>
          </w:tcPr>
          <w:p w14:paraId="134E8E11">
            <w:pPr>
              <w:spacing w:line="240" w:lineRule="exact"/>
              <w:jc w:val="right"/>
              <w:rPr>
                <w:rFonts w:ascii="宋体" w:hAnsi="宋体" w:eastAsia="宋体" w:cs="宋体"/>
                <w:sz w:val="18"/>
                <w:szCs w:val="18"/>
              </w:rPr>
            </w:pPr>
            <w:r>
              <w:rPr>
                <w:rFonts w:ascii="宋体" w:hAnsi="宋体" w:eastAsia="宋体" w:cs="宋体"/>
                <w:sz w:val="18"/>
                <w:szCs w:val="18"/>
              </w:rPr>
              <w:t>7,800,000</w:t>
            </w:r>
          </w:p>
        </w:tc>
      </w:tr>
      <w:tr w14:paraId="17859BDA">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C25BDFF">
            <w:pPr>
              <w:spacing w:line="240" w:lineRule="exact"/>
              <w:rPr>
                <w:rFonts w:ascii="宋体" w:hAnsi="宋体" w:eastAsia="宋体" w:cs="宋体"/>
                <w:sz w:val="18"/>
                <w:szCs w:val="18"/>
              </w:rPr>
            </w:pPr>
            <w:r>
              <w:rPr>
                <w:rFonts w:ascii="宋体" w:hAnsi="宋体" w:eastAsia="宋体" w:cs="宋体"/>
                <w:sz w:val="18"/>
                <w:szCs w:val="18"/>
              </w:rPr>
              <w:t>胡伟</w:t>
            </w:r>
          </w:p>
        </w:tc>
        <w:tc>
          <w:tcPr>
            <w:tcW w:w="1071" w:type="dxa"/>
            <w:tcBorders>
              <w:top w:val="single" w:color="auto" w:sz="2" w:space="0"/>
              <w:left w:val="single" w:color="auto" w:sz="2" w:space="0"/>
              <w:bottom w:val="single" w:color="auto" w:sz="2" w:space="0"/>
              <w:right w:val="single" w:color="auto" w:sz="2" w:space="0"/>
            </w:tcBorders>
            <w:vAlign w:val="center"/>
          </w:tcPr>
          <w:p w14:paraId="5EF6B3EE">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39619890">
            <w:pPr>
              <w:spacing w:line="240" w:lineRule="exact"/>
              <w:jc w:val="right"/>
              <w:rPr>
                <w:rFonts w:ascii="宋体" w:hAnsi="宋体" w:eastAsia="宋体" w:cs="宋体"/>
                <w:sz w:val="18"/>
                <w:szCs w:val="18"/>
              </w:rPr>
            </w:pPr>
            <w:r>
              <w:rPr>
                <w:rFonts w:ascii="宋体" w:hAnsi="宋体" w:eastAsia="宋体" w:cs="宋体"/>
                <w:sz w:val="18"/>
                <w:szCs w:val="18"/>
              </w:rPr>
              <w:t>1.99%</w:t>
            </w:r>
          </w:p>
        </w:tc>
        <w:tc>
          <w:tcPr>
            <w:tcW w:w="1071" w:type="dxa"/>
            <w:tcBorders>
              <w:top w:val="single" w:color="auto" w:sz="2" w:space="0"/>
              <w:left w:val="single" w:color="auto" w:sz="2" w:space="0"/>
              <w:bottom w:val="single" w:color="auto" w:sz="2" w:space="0"/>
              <w:right w:val="single" w:color="auto" w:sz="2" w:space="0"/>
            </w:tcBorders>
            <w:vAlign w:val="center"/>
          </w:tcPr>
          <w:p w14:paraId="7026A3C0">
            <w:pPr>
              <w:spacing w:line="240" w:lineRule="exact"/>
              <w:jc w:val="right"/>
              <w:rPr>
                <w:rFonts w:ascii="宋体" w:hAnsi="宋体" w:eastAsia="宋体" w:cs="宋体"/>
                <w:sz w:val="18"/>
                <w:szCs w:val="18"/>
              </w:rPr>
            </w:pPr>
            <w:r>
              <w:rPr>
                <w:rFonts w:ascii="宋体" w:hAnsi="宋体" w:eastAsia="宋体" w:cs="宋体"/>
                <w:sz w:val="18"/>
                <w:szCs w:val="18"/>
              </w:rPr>
              <w:t>5,237,000</w:t>
            </w:r>
          </w:p>
        </w:tc>
        <w:tc>
          <w:tcPr>
            <w:tcW w:w="1128" w:type="dxa"/>
            <w:tcBorders>
              <w:top w:val="single" w:color="auto" w:sz="2" w:space="0"/>
              <w:left w:val="single" w:color="auto" w:sz="2" w:space="0"/>
              <w:bottom w:val="single" w:color="auto" w:sz="2" w:space="0"/>
              <w:right w:val="single" w:color="auto" w:sz="2" w:space="0"/>
            </w:tcBorders>
            <w:vAlign w:val="center"/>
          </w:tcPr>
          <w:p w14:paraId="1564FBFB">
            <w:pPr>
              <w:spacing w:line="240" w:lineRule="exact"/>
              <w:jc w:val="right"/>
              <w:rPr>
                <w:rFonts w:ascii="宋体" w:hAnsi="宋体" w:eastAsia="宋体" w:cs="宋体"/>
                <w:sz w:val="18"/>
                <w:szCs w:val="18"/>
              </w:rPr>
            </w:pPr>
            <w:r>
              <w:rPr>
                <w:rFonts w:hint="eastAsia" w:ascii="宋体" w:hAnsi="宋体" w:eastAsia="宋体" w:cs="宋体"/>
                <w:sz w:val="18"/>
                <w:szCs w:val="18"/>
                <w:lang w:val="en-US" w:eastAsia="zh-CN"/>
              </w:rPr>
              <w:t>+</w:t>
            </w:r>
            <w:r>
              <w:rPr>
                <w:rFonts w:ascii="宋体" w:hAnsi="宋体" w:eastAsia="宋体" w:cs="宋体"/>
                <w:sz w:val="18"/>
                <w:szCs w:val="18"/>
              </w:rPr>
              <w:t>376</w:t>
            </w:r>
            <w:r>
              <w:rPr>
                <w:rFonts w:hint="eastAsia" w:ascii="宋体" w:hAnsi="宋体" w:eastAsia="宋体" w:cs="宋体"/>
                <w:sz w:val="18"/>
                <w:szCs w:val="18"/>
                <w:lang w:val="en-US" w:eastAsia="zh-CN"/>
              </w:rPr>
              <w:t>,</w:t>
            </w:r>
            <w:r>
              <w:rPr>
                <w:rFonts w:ascii="宋体" w:hAnsi="宋体" w:eastAsia="宋体" w:cs="宋体"/>
                <w:sz w:val="18"/>
                <w:szCs w:val="18"/>
              </w:rPr>
              <w:t>000</w:t>
            </w:r>
          </w:p>
        </w:tc>
        <w:tc>
          <w:tcPr>
            <w:tcW w:w="1014" w:type="dxa"/>
            <w:tcBorders>
              <w:top w:val="single" w:color="auto" w:sz="2" w:space="0"/>
              <w:left w:val="single" w:color="auto" w:sz="2" w:space="0"/>
              <w:bottom w:val="single" w:color="auto" w:sz="2" w:space="0"/>
              <w:right w:val="single" w:color="auto" w:sz="2" w:space="0"/>
            </w:tcBorders>
            <w:vAlign w:val="center"/>
          </w:tcPr>
          <w:p w14:paraId="5E239024">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155DAB9E">
            <w:pPr>
              <w:spacing w:line="240" w:lineRule="exact"/>
              <w:jc w:val="right"/>
              <w:rPr>
                <w:rFonts w:ascii="宋体" w:hAnsi="宋体" w:eastAsia="宋体" w:cs="宋体"/>
                <w:sz w:val="18"/>
                <w:szCs w:val="18"/>
              </w:rPr>
            </w:pPr>
            <w:r>
              <w:rPr>
                <w:rFonts w:ascii="宋体" w:hAnsi="宋体" w:eastAsia="宋体" w:cs="宋体"/>
                <w:sz w:val="18"/>
                <w:szCs w:val="18"/>
              </w:rPr>
              <w:t>5,237,000</w:t>
            </w:r>
          </w:p>
        </w:tc>
        <w:tc>
          <w:tcPr>
            <w:tcW w:w="1071" w:type="dxa"/>
            <w:tcBorders>
              <w:top w:val="single" w:color="auto" w:sz="2" w:space="0"/>
              <w:left w:val="single" w:color="auto" w:sz="2" w:space="0"/>
              <w:bottom w:val="single" w:color="auto" w:sz="2" w:space="0"/>
              <w:right w:val="single" w:color="auto" w:sz="2" w:space="0"/>
            </w:tcBorders>
            <w:vAlign w:val="center"/>
          </w:tcPr>
          <w:p w14:paraId="458D8D83">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627AAE82">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59FB093E">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BB8BFE0">
            <w:pPr>
              <w:spacing w:line="240" w:lineRule="exact"/>
              <w:rPr>
                <w:rFonts w:ascii="宋体" w:hAnsi="宋体" w:eastAsia="宋体" w:cs="宋体"/>
                <w:sz w:val="18"/>
                <w:szCs w:val="18"/>
              </w:rPr>
            </w:pPr>
            <w:r>
              <w:rPr>
                <w:rFonts w:ascii="宋体" w:hAnsi="宋体" w:eastAsia="宋体" w:cs="宋体"/>
                <w:sz w:val="18"/>
                <w:szCs w:val="18"/>
              </w:rPr>
              <w:t>汪新文</w:t>
            </w:r>
          </w:p>
        </w:tc>
        <w:tc>
          <w:tcPr>
            <w:tcW w:w="1071" w:type="dxa"/>
            <w:tcBorders>
              <w:top w:val="single" w:color="auto" w:sz="2" w:space="0"/>
              <w:left w:val="single" w:color="auto" w:sz="2" w:space="0"/>
              <w:bottom w:val="single" w:color="auto" w:sz="2" w:space="0"/>
              <w:right w:val="single" w:color="auto" w:sz="2" w:space="0"/>
            </w:tcBorders>
            <w:vAlign w:val="center"/>
          </w:tcPr>
          <w:p w14:paraId="79A5F1BA">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6E37686D">
            <w:pPr>
              <w:spacing w:line="240" w:lineRule="exact"/>
              <w:jc w:val="right"/>
              <w:rPr>
                <w:rFonts w:ascii="宋体" w:hAnsi="宋体" w:eastAsia="宋体" w:cs="宋体"/>
                <w:sz w:val="18"/>
                <w:szCs w:val="18"/>
              </w:rPr>
            </w:pPr>
            <w:r>
              <w:rPr>
                <w:rFonts w:ascii="宋体" w:hAnsi="宋体" w:eastAsia="宋体" w:cs="宋体"/>
                <w:sz w:val="18"/>
                <w:szCs w:val="18"/>
              </w:rPr>
              <w:t>1.69%</w:t>
            </w:r>
          </w:p>
        </w:tc>
        <w:tc>
          <w:tcPr>
            <w:tcW w:w="1071" w:type="dxa"/>
            <w:tcBorders>
              <w:top w:val="single" w:color="auto" w:sz="2" w:space="0"/>
              <w:left w:val="single" w:color="auto" w:sz="2" w:space="0"/>
              <w:bottom w:val="single" w:color="auto" w:sz="2" w:space="0"/>
              <w:right w:val="single" w:color="auto" w:sz="2" w:space="0"/>
            </w:tcBorders>
            <w:vAlign w:val="center"/>
          </w:tcPr>
          <w:p w14:paraId="5EAE012D">
            <w:pPr>
              <w:spacing w:line="240" w:lineRule="exact"/>
              <w:jc w:val="right"/>
              <w:rPr>
                <w:rFonts w:ascii="宋体" w:hAnsi="宋体" w:eastAsia="宋体" w:cs="宋体"/>
                <w:sz w:val="18"/>
                <w:szCs w:val="18"/>
              </w:rPr>
            </w:pPr>
            <w:r>
              <w:rPr>
                <w:rFonts w:ascii="宋体" w:hAnsi="宋体" w:eastAsia="宋体" w:cs="宋体"/>
                <w:sz w:val="18"/>
                <w:szCs w:val="18"/>
              </w:rPr>
              <w:t>4,450,500</w:t>
            </w:r>
          </w:p>
        </w:tc>
        <w:tc>
          <w:tcPr>
            <w:tcW w:w="1128" w:type="dxa"/>
            <w:tcBorders>
              <w:top w:val="single" w:color="auto" w:sz="2" w:space="0"/>
              <w:left w:val="single" w:color="auto" w:sz="2" w:space="0"/>
              <w:bottom w:val="single" w:color="auto" w:sz="2" w:space="0"/>
              <w:right w:val="single" w:color="auto" w:sz="2" w:space="0"/>
            </w:tcBorders>
            <w:vAlign w:val="center"/>
          </w:tcPr>
          <w:p w14:paraId="5470049F">
            <w:pPr>
              <w:spacing w:line="240" w:lineRule="exact"/>
              <w:jc w:val="righ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lang w:val="en-US" w:eastAsia="zh-CN"/>
              </w:rPr>
              <w:t>,</w:t>
            </w:r>
            <w:r>
              <w:rPr>
                <w:rFonts w:ascii="宋体" w:hAnsi="宋体" w:eastAsia="宋体" w:cs="宋体"/>
                <w:sz w:val="18"/>
                <w:szCs w:val="18"/>
              </w:rPr>
              <w:t>003</w:t>
            </w:r>
            <w:r>
              <w:rPr>
                <w:rFonts w:hint="eastAsia" w:ascii="宋体" w:hAnsi="宋体" w:eastAsia="宋体" w:cs="宋体"/>
                <w:sz w:val="18"/>
                <w:szCs w:val="18"/>
                <w:lang w:val="en-US" w:eastAsia="zh-CN"/>
              </w:rPr>
              <w:t>,</w:t>
            </w:r>
            <w:r>
              <w:rPr>
                <w:rFonts w:ascii="宋体" w:hAnsi="宋体" w:eastAsia="宋体" w:cs="宋体"/>
                <w:sz w:val="18"/>
                <w:szCs w:val="18"/>
              </w:rPr>
              <w:t>200</w:t>
            </w:r>
          </w:p>
        </w:tc>
        <w:tc>
          <w:tcPr>
            <w:tcW w:w="1014" w:type="dxa"/>
            <w:tcBorders>
              <w:top w:val="single" w:color="auto" w:sz="2" w:space="0"/>
              <w:left w:val="single" w:color="auto" w:sz="2" w:space="0"/>
              <w:bottom w:val="single" w:color="auto" w:sz="2" w:space="0"/>
              <w:right w:val="single" w:color="auto" w:sz="2" w:space="0"/>
            </w:tcBorders>
            <w:vAlign w:val="center"/>
          </w:tcPr>
          <w:p w14:paraId="686E2977">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6539B509">
            <w:pPr>
              <w:spacing w:line="240" w:lineRule="exact"/>
              <w:jc w:val="right"/>
              <w:rPr>
                <w:rFonts w:ascii="宋体" w:hAnsi="宋体" w:eastAsia="宋体" w:cs="宋体"/>
                <w:sz w:val="18"/>
                <w:szCs w:val="18"/>
              </w:rPr>
            </w:pPr>
            <w:r>
              <w:rPr>
                <w:rFonts w:ascii="宋体" w:hAnsi="宋体" w:eastAsia="宋体" w:cs="宋体"/>
                <w:sz w:val="18"/>
                <w:szCs w:val="18"/>
              </w:rPr>
              <w:t>4,450,500</w:t>
            </w:r>
          </w:p>
        </w:tc>
        <w:tc>
          <w:tcPr>
            <w:tcW w:w="1071" w:type="dxa"/>
            <w:tcBorders>
              <w:top w:val="single" w:color="auto" w:sz="2" w:space="0"/>
              <w:left w:val="single" w:color="auto" w:sz="2" w:space="0"/>
              <w:bottom w:val="single" w:color="auto" w:sz="2" w:space="0"/>
              <w:right w:val="single" w:color="auto" w:sz="2" w:space="0"/>
            </w:tcBorders>
            <w:vAlign w:val="center"/>
          </w:tcPr>
          <w:p w14:paraId="71E30F4E">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2ECF18E6">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008C22C4">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E9E79A0">
            <w:pPr>
              <w:spacing w:line="240" w:lineRule="exact"/>
              <w:rPr>
                <w:rFonts w:ascii="宋体" w:hAnsi="宋体" w:eastAsia="宋体" w:cs="宋体"/>
                <w:sz w:val="18"/>
                <w:szCs w:val="18"/>
              </w:rPr>
            </w:pPr>
            <w:r>
              <w:rPr>
                <w:rFonts w:ascii="宋体" w:hAnsi="宋体" w:eastAsia="宋体" w:cs="宋体"/>
                <w:sz w:val="18"/>
                <w:szCs w:val="18"/>
              </w:rPr>
              <w:t>郭明臻</w:t>
            </w:r>
          </w:p>
        </w:tc>
        <w:tc>
          <w:tcPr>
            <w:tcW w:w="1071" w:type="dxa"/>
            <w:tcBorders>
              <w:top w:val="single" w:color="auto" w:sz="2" w:space="0"/>
              <w:left w:val="single" w:color="auto" w:sz="2" w:space="0"/>
              <w:bottom w:val="single" w:color="auto" w:sz="2" w:space="0"/>
              <w:right w:val="single" w:color="auto" w:sz="2" w:space="0"/>
            </w:tcBorders>
            <w:vAlign w:val="center"/>
          </w:tcPr>
          <w:p w14:paraId="70ACAA64">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2B11B22B">
            <w:pPr>
              <w:spacing w:line="240" w:lineRule="exact"/>
              <w:jc w:val="right"/>
              <w:rPr>
                <w:rFonts w:ascii="宋体" w:hAnsi="宋体" w:eastAsia="宋体" w:cs="宋体"/>
                <w:sz w:val="18"/>
                <w:szCs w:val="18"/>
              </w:rPr>
            </w:pPr>
            <w:r>
              <w:rPr>
                <w:rFonts w:ascii="宋体" w:hAnsi="宋体" w:eastAsia="宋体" w:cs="宋体"/>
                <w:sz w:val="18"/>
                <w:szCs w:val="18"/>
              </w:rPr>
              <w:t>1.28%</w:t>
            </w:r>
          </w:p>
        </w:tc>
        <w:tc>
          <w:tcPr>
            <w:tcW w:w="1071" w:type="dxa"/>
            <w:tcBorders>
              <w:top w:val="single" w:color="auto" w:sz="2" w:space="0"/>
              <w:left w:val="single" w:color="auto" w:sz="2" w:space="0"/>
              <w:bottom w:val="single" w:color="auto" w:sz="2" w:space="0"/>
              <w:right w:val="single" w:color="auto" w:sz="2" w:space="0"/>
            </w:tcBorders>
            <w:vAlign w:val="center"/>
          </w:tcPr>
          <w:p w14:paraId="60ECEE91">
            <w:pPr>
              <w:spacing w:line="240" w:lineRule="exact"/>
              <w:jc w:val="right"/>
              <w:rPr>
                <w:rFonts w:ascii="宋体" w:hAnsi="宋体" w:eastAsia="宋体" w:cs="宋体"/>
                <w:sz w:val="18"/>
                <w:szCs w:val="18"/>
              </w:rPr>
            </w:pPr>
            <w:r>
              <w:rPr>
                <w:rFonts w:ascii="宋体" w:hAnsi="宋体" w:eastAsia="宋体" w:cs="宋体"/>
                <w:sz w:val="18"/>
                <w:szCs w:val="18"/>
              </w:rPr>
              <w:t>3,363,886</w:t>
            </w:r>
          </w:p>
        </w:tc>
        <w:tc>
          <w:tcPr>
            <w:tcW w:w="1128" w:type="dxa"/>
            <w:tcBorders>
              <w:top w:val="single" w:color="auto" w:sz="2" w:space="0"/>
              <w:left w:val="single" w:color="auto" w:sz="2" w:space="0"/>
              <w:bottom w:val="single" w:color="auto" w:sz="2" w:space="0"/>
              <w:right w:val="single" w:color="auto" w:sz="2" w:space="0"/>
            </w:tcBorders>
            <w:vAlign w:val="center"/>
          </w:tcPr>
          <w:p w14:paraId="7C890D6F">
            <w:pPr>
              <w:spacing w:line="240" w:lineRule="exact"/>
              <w:jc w:val="right"/>
              <w:rPr>
                <w:rFonts w:ascii="宋体" w:hAnsi="宋体" w:eastAsia="宋体" w:cs="宋体"/>
                <w:sz w:val="18"/>
                <w:szCs w:val="18"/>
              </w:rPr>
            </w:pPr>
            <w:r>
              <w:rPr>
                <w:rFonts w:ascii="宋体" w:hAnsi="宋体" w:eastAsia="宋体" w:cs="宋体"/>
                <w:sz w:val="18"/>
                <w:szCs w:val="18"/>
              </w:rPr>
              <w:t>+846</w:t>
            </w:r>
            <w:r>
              <w:rPr>
                <w:rFonts w:hint="eastAsia" w:ascii="宋体" w:hAnsi="宋体" w:eastAsia="宋体" w:cs="宋体"/>
                <w:sz w:val="18"/>
                <w:szCs w:val="18"/>
                <w:lang w:val="en-US" w:eastAsia="zh-CN"/>
              </w:rPr>
              <w:t>,</w:t>
            </w:r>
            <w:r>
              <w:rPr>
                <w:rFonts w:ascii="宋体" w:hAnsi="宋体" w:eastAsia="宋体" w:cs="宋体"/>
                <w:sz w:val="18"/>
                <w:szCs w:val="18"/>
              </w:rPr>
              <w:t>286</w:t>
            </w:r>
          </w:p>
        </w:tc>
        <w:tc>
          <w:tcPr>
            <w:tcW w:w="1014" w:type="dxa"/>
            <w:tcBorders>
              <w:top w:val="single" w:color="auto" w:sz="2" w:space="0"/>
              <w:left w:val="single" w:color="auto" w:sz="2" w:space="0"/>
              <w:bottom w:val="single" w:color="auto" w:sz="2" w:space="0"/>
              <w:right w:val="single" w:color="auto" w:sz="2" w:space="0"/>
            </w:tcBorders>
            <w:vAlign w:val="center"/>
          </w:tcPr>
          <w:p w14:paraId="30D55695">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03676454">
            <w:pPr>
              <w:spacing w:line="240" w:lineRule="exact"/>
              <w:jc w:val="right"/>
              <w:rPr>
                <w:rFonts w:ascii="宋体" w:hAnsi="宋体" w:eastAsia="宋体" w:cs="宋体"/>
                <w:sz w:val="18"/>
                <w:szCs w:val="18"/>
              </w:rPr>
            </w:pPr>
            <w:r>
              <w:rPr>
                <w:rFonts w:ascii="宋体" w:hAnsi="宋体" w:eastAsia="宋体" w:cs="宋体"/>
                <w:sz w:val="18"/>
                <w:szCs w:val="18"/>
              </w:rPr>
              <w:t>3,363,886</w:t>
            </w:r>
          </w:p>
        </w:tc>
        <w:tc>
          <w:tcPr>
            <w:tcW w:w="1071" w:type="dxa"/>
            <w:tcBorders>
              <w:top w:val="single" w:color="auto" w:sz="2" w:space="0"/>
              <w:left w:val="single" w:color="auto" w:sz="2" w:space="0"/>
              <w:bottom w:val="single" w:color="auto" w:sz="2" w:space="0"/>
              <w:right w:val="single" w:color="auto" w:sz="2" w:space="0"/>
            </w:tcBorders>
            <w:vAlign w:val="center"/>
          </w:tcPr>
          <w:p w14:paraId="3080A7F5">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52B839BE">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1B4B4C7D">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B1E6C88">
            <w:pPr>
              <w:spacing w:line="240" w:lineRule="exact"/>
              <w:rPr>
                <w:rFonts w:ascii="宋体" w:hAnsi="宋体" w:eastAsia="宋体" w:cs="宋体"/>
                <w:sz w:val="18"/>
                <w:szCs w:val="18"/>
              </w:rPr>
            </w:pPr>
            <w:r>
              <w:rPr>
                <w:rFonts w:ascii="宋体" w:hAnsi="宋体" w:eastAsia="宋体" w:cs="宋体"/>
                <w:sz w:val="18"/>
                <w:szCs w:val="18"/>
              </w:rPr>
              <w:t>刘选云</w:t>
            </w:r>
          </w:p>
        </w:tc>
        <w:tc>
          <w:tcPr>
            <w:tcW w:w="1071" w:type="dxa"/>
            <w:tcBorders>
              <w:top w:val="single" w:color="auto" w:sz="2" w:space="0"/>
              <w:left w:val="single" w:color="auto" w:sz="2" w:space="0"/>
              <w:bottom w:val="single" w:color="auto" w:sz="2" w:space="0"/>
              <w:right w:val="single" w:color="auto" w:sz="2" w:space="0"/>
            </w:tcBorders>
            <w:vAlign w:val="center"/>
          </w:tcPr>
          <w:p w14:paraId="79366124">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36398F36">
            <w:pPr>
              <w:spacing w:line="240" w:lineRule="exact"/>
              <w:jc w:val="right"/>
              <w:rPr>
                <w:rFonts w:ascii="宋体" w:hAnsi="宋体" w:eastAsia="宋体" w:cs="宋体"/>
                <w:sz w:val="18"/>
                <w:szCs w:val="18"/>
              </w:rPr>
            </w:pPr>
            <w:r>
              <w:rPr>
                <w:rFonts w:ascii="宋体" w:hAnsi="宋体" w:eastAsia="宋体" w:cs="宋体"/>
                <w:sz w:val="18"/>
                <w:szCs w:val="18"/>
              </w:rPr>
              <w:t>1.13%</w:t>
            </w:r>
          </w:p>
        </w:tc>
        <w:tc>
          <w:tcPr>
            <w:tcW w:w="1071" w:type="dxa"/>
            <w:tcBorders>
              <w:top w:val="single" w:color="auto" w:sz="2" w:space="0"/>
              <w:left w:val="single" w:color="auto" w:sz="2" w:space="0"/>
              <w:bottom w:val="single" w:color="auto" w:sz="2" w:space="0"/>
              <w:right w:val="single" w:color="auto" w:sz="2" w:space="0"/>
            </w:tcBorders>
            <w:vAlign w:val="center"/>
          </w:tcPr>
          <w:p w14:paraId="5937E6DA">
            <w:pPr>
              <w:spacing w:line="240" w:lineRule="exact"/>
              <w:jc w:val="right"/>
              <w:rPr>
                <w:rFonts w:ascii="宋体" w:hAnsi="宋体" w:eastAsia="宋体" w:cs="宋体"/>
                <w:sz w:val="18"/>
                <w:szCs w:val="18"/>
              </w:rPr>
            </w:pPr>
            <w:r>
              <w:rPr>
                <w:rFonts w:ascii="宋体" w:hAnsi="宋体" w:eastAsia="宋体" w:cs="宋体"/>
                <w:sz w:val="18"/>
                <w:szCs w:val="18"/>
              </w:rPr>
              <w:t>2,989,900</w:t>
            </w:r>
          </w:p>
        </w:tc>
        <w:tc>
          <w:tcPr>
            <w:tcW w:w="1128" w:type="dxa"/>
            <w:tcBorders>
              <w:top w:val="single" w:color="auto" w:sz="2" w:space="0"/>
              <w:left w:val="single" w:color="auto" w:sz="2" w:space="0"/>
              <w:bottom w:val="single" w:color="auto" w:sz="2" w:space="0"/>
              <w:right w:val="single" w:color="auto" w:sz="2" w:space="0"/>
            </w:tcBorders>
            <w:vAlign w:val="center"/>
          </w:tcPr>
          <w:p w14:paraId="50A02A09">
            <w:pPr>
              <w:spacing w:line="240" w:lineRule="exact"/>
              <w:jc w:val="right"/>
              <w:rPr>
                <w:rFonts w:ascii="宋体" w:hAnsi="宋体" w:eastAsia="宋体" w:cs="宋体"/>
                <w:sz w:val="18"/>
                <w:szCs w:val="18"/>
              </w:rPr>
            </w:pPr>
            <w:r>
              <w:rPr>
                <w:rFonts w:ascii="宋体" w:hAnsi="宋体" w:eastAsia="宋体" w:cs="宋体"/>
                <w:sz w:val="18"/>
                <w:szCs w:val="18"/>
              </w:rPr>
              <w:t>+838</w:t>
            </w:r>
            <w:r>
              <w:rPr>
                <w:rFonts w:hint="eastAsia" w:ascii="宋体" w:hAnsi="宋体" w:eastAsia="宋体" w:cs="宋体"/>
                <w:sz w:val="18"/>
                <w:szCs w:val="18"/>
                <w:lang w:val="en-US" w:eastAsia="zh-CN"/>
              </w:rPr>
              <w:t>,</w:t>
            </w:r>
            <w:r>
              <w:rPr>
                <w:rFonts w:ascii="宋体" w:hAnsi="宋体" w:eastAsia="宋体" w:cs="宋体"/>
                <w:sz w:val="18"/>
                <w:szCs w:val="18"/>
              </w:rPr>
              <w:t>800</w:t>
            </w:r>
          </w:p>
        </w:tc>
        <w:tc>
          <w:tcPr>
            <w:tcW w:w="1014" w:type="dxa"/>
            <w:tcBorders>
              <w:top w:val="single" w:color="auto" w:sz="2" w:space="0"/>
              <w:left w:val="single" w:color="auto" w:sz="2" w:space="0"/>
              <w:bottom w:val="single" w:color="auto" w:sz="2" w:space="0"/>
              <w:right w:val="single" w:color="auto" w:sz="2" w:space="0"/>
            </w:tcBorders>
            <w:vAlign w:val="center"/>
          </w:tcPr>
          <w:p w14:paraId="2B798A3D">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70B9205F">
            <w:pPr>
              <w:spacing w:line="240" w:lineRule="exact"/>
              <w:jc w:val="right"/>
              <w:rPr>
                <w:rFonts w:ascii="宋体" w:hAnsi="宋体" w:eastAsia="宋体" w:cs="宋体"/>
                <w:sz w:val="18"/>
                <w:szCs w:val="18"/>
              </w:rPr>
            </w:pPr>
            <w:r>
              <w:rPr>
                <w:rFonts w:ascii="宋体" w:hAnsi="宋体" w:eastAsia="宋体" w:cs="宋体"/>
                <w:sz w:val="18"/>
                <w:szCs w:val="18"/>
              </w:rPr>
              <w:t>2,989,900</w:t>
            </w:r>
          </w:p>
        </w:tc>
        <w:tc>
          <w:tcPr>
            <w:tcW w:w="1071" w:type="dxa"/>
            <w:tcBorders>
              <w:top w:val="single" w:color="auto" w:sz="2" w:space="0"/>
              <w:left w:val="single" w:color="auto" w:sz="2" w:space="0"/>
              <w:bottom w:val="single" w:color="auto" w:sz="2" w:space="0"/>
              <w:right w:val="single" w:color="auto" w:sz="2" w:space="0"/>
            </w:tcBorders>
            <w:vAlign w:val="center"/>
          </w:tcPr>
          <w:p w14:paraId="091BD107">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0B2EBE68">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2799E559">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2C20D6F">
            <w:pPr>
              <w:spacing w:line="240" w:lineRule="exact"/>
              <w:rPr>
                <w:rFonts w:ascii="宋体" w:hAnsi="宋体" w:eastAsia="宋体" w:cs="宋体"/>
                <w:sz w:val="18"/>
                <w:szCs w:val="18"/>
              </w:rPr>
            </w:pPr>
            <w:r>
              <w:rPr>
                <w:rFonts w:ascii="宋体" w:hAnsi="宋体" w:eastAsia="宋体" w:cs="宋体"/>
                <w:sz w:val="18"/>
                <w:szCs w:val="18"/>
              </w:rPr>
              <w:t>李馨</w:t>
            </w:r>
          </w:p>
        </w:tc>
        <w:tc>
          <w:tcPr>
            <w:tcW w:w="1071" w:type="dxa"/>
            <w:tcBorders>
              <w:top w:val="single" w:color="auto" w:sz="2" w:space="0"/>
              <w:left w:val="single" w:color="auto" w:sz="2" w:space="0"/>
              <w:bottom w:val="single" w:color="auto" w:sz="2" w:space="0"/>
              <w:right w:val="single" w:color="auto" w:sz="2" w:space="0"/>
            </w:tcBorders>
            <w:vAlign w:val="center"/>
          </w:tcPr>
          <w:p w14:paraId="598A33BD">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25EFC064">
            <w:pPr>
              <w:spacing w:line="240" w:lineRule="exact"/>
              <w:jc w:val="right"/>
              <w:rPr>
                <w:rFonts w:ascii="宋体" w:hAnsi="宋体" w:eastAsia="宋体" w:cs="宋体"/>
                <w:sz w:val="18"/>
                <w:szCs w:val="18"/>
              </w:rPr>
            </w:pPr>
            <w:r>
              <w:rPr>
                <w:rFonts w:ascii="宋体" w:hAnsi="宋体" w:eastAsia="宋体" w:cs="宋体"/>
                <w:sz w:val="18"/>
                <w:szCs w:val="18"/>
              </w:rPr>
              <w:t>1.00%</w:t>
            </w:r>
          </w:p>
        </w:tc>
        <w:tc>
          <w:tcPr>
            <w:tcW w:w="1071" w:type="dxa"/>
            <w:tcBorders>
              <w:top w:val="single" w:color="auto" w:sz="2" w:space="0"/>
              <w:left w:val="single" w:color="auto" w:sz="2" w:space="0"/>
              <w:bottom w:val="single" w:color="auto" w:sz="2" w:space="0"/>
              <w:right w:val="single" w:color="auto" w:sz="2" w:space="0"/>
            </w:tcBorders>
            <w:vAlign w:val="center"/>
          </w:tcPr>
          <w:p w14:paraId="79B470ED">
            <w:pPr>
              <w:spacing w:line="240" w:lineRule="exact"/>
              <w:jc w:val="right"/>
              <w:rPr>
                <w:rFonts w:ascii="宋体" w:hAnsi="宋体" w:eastAsia="宋体" w:cs="宋体"/>
                <w:sz w:val="18"/>
                <w:szCs w:val="18"/>
              </w:rPr>
            </w:pPr>
            <w:r>
              <w:rPr>
                <w:rFonts w:ascii="宋体" w:hAnsi="宋体" w:eastAsia="宋体" w:cs="宋体"/>
                <w:sz w:val="18"/>
                <w:szCs w:val="18"/>
              </w:rPr>
              <w:t>2,630,300</w:t>
            </w:r>
          </w:p>
        </w:tc>
        <w:tc>
          <w:tcPr>
            <w:tcW w:w="1128" w:type="dxa"/>
            <w:tcBorders>
              <w:top w:val="single" w:color="auto" w:sz="2" w:space="0"/>
              <w:left w:val="single" w:color="auto" w:sz="2" w:space="0"/>
              <w:bottom w:val="single" w:color="auto" w:sz="2" w:space="0"/>
              <w:right w:val="single" w:color="auto" w:sz="2" w:space="0"/>
            </w:tcBorders>
            <w:vAlign w:val="center"/>
          </w:tcPr>
          <w:p w14:paraId="1A5D2192">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14" w:type="dxa"/>
            <w:tcBorders>
              <w:top w:val="single" w:color="auto" w:sz="2" w:space="0"/>
              <w:left w:val="single" w:color="auto" w:sz="2" w:space="0"/>
              <w:bottom w:val="single" w:color="auto" w:sz="2" w:space="0"/>
              <w:right w:val="single" w:color="auto" w:sz="2" w:space="0"/>
            </w:tcBorders>
            <w:vAlign w:val="center"/>
          </w:tcPr>
          <w:p w14:paraId="01DDA00E">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2E51ED8A">
            <w:pPr>
              <w:spacing w:line="240" w:lineRule="exact"/>
              <w:jc w:val="right"/>
              <w:rPr>
                <w:rFonts w:ascii="宋体" w:hAnsi="宋体" w:eastAsia="宋体" w:cs="宋体"/>
                <w:sz w:val="18"/>
                <w:szCs w:val="18"/>
              </w:rPr>
            </w:pPr>
            <w:r>
              <w:rPr>
                <w:rFonts w:ascii="宋体" w:hAnsi="宋体" w:eastAsia="宋体" w:cs="宋体"/>
                <w:sz w:val="18"/>
                <w:szCs w:val="18"/>
              </w:rPr>
              <w:t>2,630,300</w:t>
            </w:r>
          </w:p>
        </w:tc>
        <w:tc>
          <w:tcPr>
            <w:tcW w:w="1071" w:type="dxa"/>
            <w:tcBorders>
              <w:top w:val="single" w:color="auto" w:sz="2" w:space="0"/>
              <w:left w:val="single" w:color="auto" w:sz="2" w:space="0"/>
              <w:bottom w:val="single" w:color="auto" w:sz="2" w:space="0"/>
              <w:right w:val="single" w:color="auto" w:sz="2" w:space="0"/>
            </w:tcBorders>
            <w:vAlign w:val="center"/>
          </w:tcPr>
          <w:p w14:paraId="1812804F">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18D11185">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0531DDD7">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6004C7D">
            <w:pPr>
              <w:spacing w:line="240" w:lineRule="exact"/>
              <w:rPr>
                <w:rFonts w:ascii="宋体" w:hAnsi="宋体" w:eastAsia="宋体" w:cs="宋体"/>
                <w:sz w:val="18"/>
                <w:szCs w:val="18"/>
              </w:rPr>
            </w:pPr>
            <w:r>
              <w:rPr>
                <w:rFonts w:ascii="宋体" w:hAnsi="宋体" w:eastAsia="宋体" w:cs="宋体"/>
                <w:sz w:val="18"/>
                <w:szCs w:val="18"/>
              </w:rPr>
              <w:t>张旭</w:t>
            </w:r>
          </w:p>
        </w:tc>
        <w:tc>
          <w:tcPr>
            <w:tcW w:w="1071" w:type="dxa"/>
            <w:tcBorders>
              <w:top w:val="single" w:color="auto" w:sz="2" w:space="0"/>
              <w:left w:val="single" w:color="auto" w:sz="2" w:space="0"/>
              <w:bottom w:val="single" w:color="auto" w:sz="2" w:space="0"/>
              <w:right w:val="single" w:color="auto" w:sz="2" w:space="0"/>
            </w:tcBorders>
            <w:vAlign w:val="center"/>
          </w:tcPr>
          <w:p w14:paraId="64834A59">
            <w:pPr>
              <w:spacing w:line="240" w:lineRule="exact"/>
              <w:rPr>
                <w:rFonts w:ascii="宋体" w:hAnsi="宋体" w:eastAsia="宋体" w:cs="宋体"/>
                <w:sz w:val="18"/>
                <w:szCs w:val="18"/>
              </w:rPr>
            </w:pPr>
            <w:r>
              <w:rPr>
                <w:rFonts w:ascii="宋体" w:hAnsi="宋体" w:eastAsia="宋体" w:cs="宋体"/>
                <w:sz w:val="18"/>
                <w:szCs w:val="18"/>
              </w:rPr>
              <w:t>境内自然人</w:t>
            </w:r>
          </w:p>
        </w:tc>
        <w:tc>
          <w:tcPr>
            <w:tcW w:w="1071" w:type="dxa"/>
            <w:tcBorders>
              <w:top w:val="single" w:color="auto" w:sz="2" w:space="0"/>
              <w:left w:val="single" w:color="auto" w:sz="2" w:space="0"/>
              <w:bottom w:val="single" w:color="auto" w:sz="2" w:space="0"/>
              <w:right w:val="single" w:color="auto" w:sz="2" w:space="0"/>
            </w:tcBorders>
            <w:vAlign w:val="center"/>
          </w:tcPr>
          <w:p w14:paraId="1BC82A9A">
            <w:pPr>
              <w:spacing w:line="240" w:lineRule="exact"/>
              <w:jc w:val="right"/>
              <w:rPr>
                <w:rFonts w:ascii="宋体" w:hAnsi="宋体" w:eastAsia="宋体" w:cs="宋体"/>
                <w:sz w:val="18"/>
                <w:szCs w:val="18"/>
              </w:rPr>
            </w:pPr>
            <w:r>
              <w:rPr>
                <w:rFonts w:ascii="宋体" w:hAnsi="宋体" w:eastAsia="宋体" w:cs="宋体"/>
                <w:sz w:val="18"/>
                <w:szCs w:val="18"/>
              </w:rPr>
              <w:t>0.95%</w:t>
            </w:r>
          </w:p>
        </w:tc>
        <w:tc>
          <w:tcPr>
            <w:tcW w:w="1071" w:type="dxa"/>
            <w:tcBorders>
              <w:top w:val="single" w:color="auto" w:sz="2" w:space="0"/>
              <w:left w:val="single" w:color="auto" w:sz="2" w:space="0"/>
              <w:bottom w:val="single" w:color="auto" w:sz="2" w:space="0"/>
              <w:right w:val="single" w:color="auto" w:sz="2" w:space="0"/>
            </w:tcBorders>
            <w:vAlign w:val="center"/>
          </w:tcPr>
          <w:p w14:paraId="6917097E">
            <w:pPr>
              <w:spacing w:line="240" w:lineRule="exact"/>
              <w:jc w:val="right"/>
              <w:rPr>
                <w:rFonts w:ascii="宋体" w:hAnsi="宋体" w:eastAsia="宋体" w:cs="宋体"/>
                <w:sz w:val="18"/>
                <w:szCs w:val="18"/>
              </w:rPr>
            </w:pPr>
            <w:r>
              <w:rPr>
                <w:rFonts w:ascii="宋体" w:hAnsi="宋体" w:eastAsia="宋体" w:cs="宋体"/>
                <w:sz w:val="18"/>
                <w:szCs w:val="18"/>
              </w:rPr>
              <w:t>2,499,562</w:t>
            </w:r>
          </w:p>
        </w:tc>
        <w:tc>
          <w:tcPr>
            <w:tcW w:w="1128" w:type="dxa"/>
            <w:tcBorders>
              <w:top w:val="single" w:color="auto" w:sz="2" w:space="0"/>
              <w:left w:val="single" w:color="auto" w:sz="2" w:space="0"/>
              <w:bottom w:val="single" w:color="auto" w:sz="2" w:space="0"/>
              <w:right w:val="single" w:color="auto" w:sz="2" w:space="0"/>
            </w:tcBorders>
            <w:vAlign w:val="center"/>
          </w:tcPr>
          <w:p w14:paraId="33D425C7">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14" w:type="dxa"/>
            <w:tcBorders>
              <w:top w:val="single" w:color="auto" w:sz="2" w:space="0"/>
              <w:left w:val="single" w:color="auto" w:sz="2" w:space="0"/>
              <w:bottom w:val="single" w:color="auto" w:sz="2" w:space="0"/>
              <w:right w:val="single" w:color="auto" w:sz="2" w:space="0"/>
            </w:tcBorders>
            <w:vAlign w:val="center"/>
          </w:tcPr>
          <w:p w14:paraId="6CBA188F">
            <w:pPr>
              <w:spacing w:line="240" w:lineRule="exact"/>
              <w:jc w:val="right"/>
              <w:rPr>
                <w:rFonts w:ascii="宋体" w:hAnsi="宋体" w:eastAsia="宋体" w:cs="宋体"/>
                <w:sz w:val="18"/>
                <w:szCs w:val="18"/>
              </w:rPr>
            </w:pPr>
            <w:r>
              <w:rPr>
                <w:rFonts w:ascii="宋体" w:hAnsi="宋体" w:eastAsia="宋体" w:cs="宋体"/>
                <w:sz w:val="18"/>
                <w:szCs w:val="18"/>
              </w:rPr>
              <w:t>0</w:t>
            </w:r>
          </w:p>
        </w:tc>
        <w:tc>
          <w:tcPr>
            <w:tcW w:w="1071" w:type="dxa"/>
            <w:tcBorders>
              <w:top w:val="single" w:color="auto" w:sz="2" w:space="0"/>
              <w:left w:val="single" w:color="auto" w:sz="2" w:space="0"/>
              <w:bottom w:val="single" w:color="auto" w:sz="2" w:space="0"/>
              <w:right w:val="single" w:color="auto" w:sz="2" w:space="0"/>
            </w:tcBorders>
            <w:vAlign w:val="center"/>
          </w:tcPr>
          <w:p w14:paraId="3A4D1AEA">
            <w:pPr>
              <w:spacing w:line="240" w:lineRule="exact"/>
              <w:jc w:val="right"/>
              <w:rPr>
                <w:rFonts w:ascii="宋体" w:hAnsi="宋体" w:eastAsia="宋体" w:cs="宋体"/>
                <w:sz w:val="18"/>
                <w:szCs w:val="18"/>
              </w:rPr>
            </w:pPr>
            <w:r>
              <w:rPr>
                <w:rFonts w:ascii="宋体" w:hAnsi="宋体" w:eastAsia="宋体" w:cs="宋体"/>
                <w:sz w:val="18"/>
                <w:szCs w:val="18"/>
              </w:rPr>
              <w:t>2,499,562</w:t>
            </w:r>
          </w:p>
        </w:tc>
        <w:tc>
          <w:tcPr>
            <w:tcW w:w="1071" w:type="dxa"/>
            <w:tcBorders>
              <w:top w:val="single" w:color="auto" w:sz="2" w:space="0"/>
              <w:left w:val="single" w:color="auto" w:sz="2" w:space="0"/>
              <w:bottom w:val="single" w:color="auto" w:sz="2" w:space="0"/>
              <w:right w:val="single" w:color="auto" w:sz="2" w:space="0"/>
            </w:tcBorders>
            <w:vAlign w:val="center"/>
          </w:tcPr>
          <w:p w14:paraId="3B0E4B50">
            <w:pPr>
              <w:spacing w:line="240" w:lineRule="exact"/>
              <w:rPr>
                <w:rFonts w:ascii="宋体" w:hAnsi="宋体" w:eastAsia="宋体" w:cs="宋体"/>
                <w:sz w:val="18"/>
                <w:szCs w:val="18"/>
              </w:rPr>
            </w:pPr>
            <w:r>
              <w:rPr>
                <w:rFonts w:ascii="宋体" w:hAnsi="宋体" w:eastAsia="宋体" w:cs="宋体"/>
                <w:sz w:val="18"/>
                <w:szCs w:val="18"/>
              </w:rPr>
              <w:t>不适用</w:t>
            </w:r>
          </w:p>
        </w:tc>
        <w:tc>
          <w:tcPr>
            <w:tcW w:w="1071" w:type="dxa"/>
            <w:tcBorders>
              <w:top w:val="single" w:color="auto" w:sz="2" w:space="0"/>
              <w:left w:val="single" w:color="auto" w:sz="2" w:space="0"/>
              <w:bottom w:val="single" w:color="auto" w:sz="2" w:space="0"/>
              <w:right w:val="single" w:color="auto" w:sz="2" w:space="0"/>
            </w:tcBorders>
            <w:vAlign w:val="center"/>
          </w:tcPr>
          <w:p w14:paraId="2E6C20C4">
            <w:pPr>
              <w:spacing w:line="240" w:lineRule="exact"/>
              <w:jc w:val="right"/>
              <w:rPr>
                <w:rFonts w:ascii="宋体" w:hAnsi="宋体" w:eastAsia="宋体" w:cs="宋体"/>
                <w:sz w:val="18"/>
                <w:szCs w:val="18"/>
              </w:rPr>
            </w:pPr>
            <w:r>
              <w:rPr>
                <w:rFonts w:ascii="宋体" w:hAnsi="宋体" w:eastAsia="宋体" w:cs="宋体"/>
                <w:sz w:val="18"/>
                <w:szCs w:val="18"/>
              </w:rPr>
              <w:t>0</w:t>
            </w:r>
          </w:p>
        </w:tc>
      </w:tr>
      <w:tr w14:paraId="1CDC1DCB">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5184464">
            <w:pPr>
              <w:spacing w:before="40" w:after="40" w:line="240" w:lineRule="exact"/>
              <w:rPr>
                <w:rFonts w:ascii="宋体" w:hAnsi="宋体" w:eastAsia="宋体" w:cs="宋体"/>
                <w:sz w:val="18"/>
                <w:szCs w:val="18"/>
              </w:rPr>
            </w:pPr>
            <w:r>
              <w:rPr>
                <w:rFonts w:ascii="宋体" w:hAnsi="宋体" w:eastAsia="宋体" w:cs="宋体"/>
                <w:sz w:val="18"/>
                <w:szCs w:val="18"/>
              </w:rPr>
              <w:t>战略投资者或一般法人因配售新股成为前10名普通股股东的情况（如有）（参见注3）</w:t>
            </w:r>
          </w:p>
        </w:tc>
        <w:tc>
          <w:tcPr>
            <w:tcW w:w="7497" w:type="dxa"/>
            <w:gridSpan w:val="7"/>
            <w:tcBorders>
              <w:top w:val="single" w:color="auto" w:sz="2" w:space="0"/>
              <w:left w:val="single" w:color="auto" w:sz="2" w:space="0"/>
              <w:bottom w:val="single" w:color="auto" w:sz="2" w:space="0"/>
              <w:right w:val="single" w:color="auto" w:sz="2" w:space="0"/>
            </w:tcBorders>
            <w:vAlign w:val="center"/>
          </w:tcPr>
          <w:p w14:paraId="6F048E83">
            <w:pPr>
              <w:spacing w:line="240" w:lineRule="exact"/>
              <w:rPr>
                <w:rFonts w:ascii="宋体" w:hAnsi="宋体" w:eastAsia="宋体" w:cs="宋体"/>
                <w:sz w:val="18"/>
                <w:szCs w:val="18"/>
              </w:rPr>
            </w:pPr>
            <w:r>
              <w:rPr>
                <w:rFonts w:ascii="宋体" w:hAnsi="宋体" w:eastAsia="宋体" w:cs="宋体"/>
                <w:sz w:val="18"/>
                <w:szCs w:val="18"/>
              </w:rPr>
              <w:t>不适用</w:t>
            </w:r>
          </w:p>
        </w:tc>
      </w:tr>
      <w:tr w14:paraId="79F13434">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36FC54B">
            <w:pPr>
              <w:spacing w:before="40" w:after="40" w:line="240" w:lineRule="exact"/>
              <w:rPr>
                <w:rFonts w:ascii="宋体" w:hAnsi="宋体" w:eastAsia="宋体" w:cs="宋体"/>
                <w:sz w:val="18"/>
                <w:szCs w:val="18"/>
              </w:rPr>
            </w:pPr>
            <w:r>
              <w:rPr>
                <w:rFonts w:ascii="宋体" w:hAnsi="宋体" w:eastAsia="宋体" w:cs="宋体"/>
                <w:sz w:val="18"/>
                <w:szCs w:val="18"/>
              </w:rPr>
              <w:t>上述股东关联关系或一致行动的说明</w:t>
            </w:r>
          </w:p>
        </w:tc>
        <w:tc>
          <w:tcPr>
            <w:tcW w:w="7497" w:type="dxa"/>
            <w:gridSpan w:val="7"/>
            <w:tcBorders>
              <w:top w:val="single" w:color="auto" w:sz="2" w:space="0"/>
              <w:left w:val="single" w:color="auto" w:sz="2" w:space="0"/>
              <w:bottom w:val="single" w:color="auto" w:sz="2" w:space="0"/>
              <w:right w:val="single" w:color="auto" w:sz="2" w:space="0"/>
            </w:tcBorders>
            <w:vAlign w:val="center"/>
          </w:tcPr>
          <w:p w14:paraId="31F0B234">
            <w:pPr>
              <w:spacing w:line="240" w:lineRule="exact"/>
              <w:rPr>
                <w:rFonts w:ascii="宋体" w:hAnsi="宋体" w:eastAsia="宋体" w:cs="宋体"/>
                <w:sz w:val="18"/>
                <w:szCs w:val="18"/>
              </w:rPr>
            </w:pPr>
            <w:r>
              <w:rPr>
                <w:rFonts w:ascii="宋体" w:hAnsi="宋体" w:eastAsia="宋体" w:cs="宋体"/>
                <w:sz w:val="18"/>
                <w:szCs w:val="18"/>
              </w:rPr>
              <w:t>公司前10名股东中，西藏盛邦控股有限公司、西藏国有资本投资运营有限公司、西藏天易隆兴投资有限公司之间无关联关系，也不属于相关法规规定的一致行动人；其他股东之间未知是否存在关联关系，未告知上市公司其存在一致行动人的情况。</w:t>
            </w:r>
          </w:p>
        </w:tc>
      </w:tr>
      <w:tr w14:paraId="55FFF579">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56C9B63">
            <w:pPr>
              <w:spacing w:before="40" w:after="40" w:line="240" w:lineRule="exact"/>
              <w:rPr>
                <w:rFonts w:ascii="宋体" w:hAnsi="宋体" w:eastAsia="宋体" w:cs="宋体"/>
                <w:sz w:val="18"/>
                <w:szCs w:val="18"/>
              </w:rPr>
            </w:pPr>
            <w:r>
              <w:rPr>
                <w:rFonts w:ascii="宋体" w:hAnsi="宋体" w:eastAsia="宋体" w:cs="宋体"/>
                <w:sz w:val="18"/>
                <w:szCs w:val="18"/>
              </w:rPr>
              <w:t>上述股东涉及委托/受托表决权、放弃表决权情况的说明</w:t>
            </w:r>
          </w:p>
        </w:tc>
        <w:tc>
          <w:tcPr>
            <w:tcW w:w="7497" w:type="dxa"/>
            <w:gridSpan w:val="7"/>
            <w:tcBorders>
              <w:top w:val="single" w:color="auto" w:sz="2" w:space="0"/>
              <w:left w:val="single" w:color="auto" w:sz="2" w:space="0"/>
              <w:bottom w:val="single" w:color="auto" w:sz="2" w:space="0"/>
              <w:right w:val="single" w:color="auto" w:sz="2" w:space="0"/>
            </w:tcBorders>
            <w:vAlign w:val="center"/>
          </w:tcPr>
          <w:p w14:paraId="2291FF68">
            <w:pPr>
              <w:spacing w:line="240" w:lineRule="exact"/>
              <w:rPr>
                <w:rFonts w:ascii="宋体" w:hAnsi="宋体" w:eastAsia="宋体" w:cs="宋体"/>
                <w:sz w:val="18"/>
                <w:szCs w:val="18"/>
              </w:rPr>
            </w:pPr>
            <w:r>
              <w:rPr>
                <w:rFonts w:ascii="宋体" w:hAnsi="宋体" w:eastAsia="宋体" w:cs="宋体"/>
                <w:sz w:val="18"/>
                <w:szCs w:val="18"/>
              </w:rPr>
              <w:t>芜湖华融渝展投资中心（有限合伙）与西藏天易隆兴投资有限公司于2018年11月20日签署了《表决权委托协议》，天易隆兴将其持有上市公司的全部股份28,099,562（占公司总股本的10.65%）的表决权委托给芜湖华融渝展投资中心（有限合伙）。根据芜湖华融2024年1月18日披露的《简式权益变动报告书》，芜湖华融拥有上市公司股份表决权因司法拍卖减少至7,800,000股，占比2.96%。</w:t>
            </w:r>
          </w:p>
        </w:tc>
      </w:tr>
      <w:tr w14:paraId="5CD0F1D4">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77901BD">
            <w:pPr>
              <w:spacing w:before="40" w:after="40" w:line="240" w:lineRule="exact"/>
              <w:rPr>
                <w:rFonts w:ascii="宋体" w:hAnsi="宋体" w:eastAsia="宋体" w:cs="宋体"/>
                <w:sz w:val="18"/>
                <w:szCs w:val="18"/>
              </w:rPr>
            </w:pPr>
            <w:r>
              <w:rPr>
                <w:rFonts w:ascii="宋体" w:hAnsi="宋体" w:eastAsia="宋体" w:cs="宋体"/>
                <w:sz w:val="18"/>
                <w:szCs w:val="18"/>
              </w:rPr>
              <w:t>前10名股东中存在回购专户的特别说明（如有）（参见注11）</w:t>
            </w:r>
          </w:p>
        </w:tc>
        <w:tc>
          <w:tcPr>
            <w:tcW w:w="7497" w:type="dxa"/>
            <w:gridSpan w:val="7"/>
            <w:tcBorders>
              <w:top w:val="single" w:color="auto" w:sz="2" w:space="0"/>
              <w:left w:val="single" w:color="auto" w:sz="2" w:space="0"/>
              <w:bottom w:val="single" w:color="auto" w:sz="2" w:space="0"/>
              <w:right w:val="single" w:color="auto" w:sz="2" w:space="0"/>
            </w:tcBorders>
            <w:vAlign w:val="center"/>
          </w:tcPr>
          <w:p w14:paraId="5844A73F">
            <w:pPr>
              <w:spacing w:line="240" w:lineRule="exact"/>
              <w:rPr>
                <w:rFonts w:ascii="宋体" w:hAnsi="宋体" w:eastAsia="宋体" w:cs="宋体"/>
                <w:sz w:val="18"/>
                <w:szCs w:val="18"/>
              </w:rPr>
            </w:pPr>
            <w:r>
              <w:rPr>
                <w:rFonts w:ascii="宋体" w:hAnsi="宋体" w:eastAsia="宋体" w:cs="宋体"/>
                <w:sz w:val="18"/>
                <w:szCs w:val="18"/>
              </w:rPr>
              <w:t>不适用</w:t>
            </w:r>
          </w:p>
        </w:tc>
      </w:tr>
      <w:tr w14:paraId="0CC84B9A">
        <w:trPr>
          <w:trHeight w:val="240" w:hRule="atLeast"/>
        </w:trPr>
        <w:tc>
          <w:tcPr>
            <w:tcW w:w="9639" w:type="dxa"/>
            <w:gridSpan w:val="9"/>
            <w:tcBorders>
              <w:top w:val="single" w:color="auto" w:sz="2" w:space="0"/>
              <w:left w:val="single" w:color="auto" w:sz="2" w:space="0"/>
              <w:bottom w:val="single" w:color="auto" w:sz="2" w:space="0"/>
              <w:right w:val="single" w:color="auto" w:sz="2" w:space="0"/>
            </w:tcBorders>
            <w:shd w:val="clear" w:color="auto" w:fill="D3D3D3"/>
            <w:vAlign w:val="center"/>
          </w:tcPr>
          <w:p w14:paraId="56DA38F7">
            <w:pPr>
              <w:spacing w:before="40" w:after="40" w:line="240" w:lineRule="exact"/>
              <w:jc w:val="center"/>
              <w:rPr>
                <w:rFonts w:ascii="宋体" w:hAnsi="宋体" w:eastAsia="宋体" w:cs="宋体"/>
                <w:sz w:val="18"/>
                <w:szCs w:val="18"/>
              </w:rPr>
            </w:pPr>
            <w:r>
              <w:rPr>
                <w:rFonts w:ascii="宋体" w:hAnsi="宋体" w:eastAsia="宋体" w:cs="宋体"/>
                <w:sz w:val="18"/>
                <w:szCs w:val="18"/>
              </w:rPr>
              <w:t>前10名无限售条件普通股股东持股情况（不含通过转融通出借股份、高管锁定股）</w:t>
            </w:r>
          </w:p>
        </w:tc>
      </w:tr>
      <w:tr w14:paraId="654FFF3F">
        <w:trPr>
          <w:trHeight w:val="240" w:hRule="atLeast"/>
        </w:trPr>
        <w:tc>
          <w:tcPr>
            <w:tcW w:w="2142"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B090DB0">
            <w:pPr>
              <w:spacing w:before="40" w:after="40" w:line="240" w:lineRule="exact"/>
              <w:jc w:val="center"/>
              <w:rPr>
                <w:rFonts w:ascii="宋体" w:hAnsi="宋体" w:eastAsia="宋体" w:cs="宋体"/>
                <w:sz w:val="18"/>
                <w:szCs w:val="18"/>
              </w:rPr>
            </w:pPr>
            <w:r>
              <w:rPr>
                <w:rFonts w:ascii="宋体" w:hAnsi="宋体" w:eastAsia="宋体" w:cs="宋体"/>
                <w:sz w:val="18"/>
                <w:szCs w:val="18"/>
              </w:rPr>
              <w:t>股东名称</w:t>
            </w:r>
          </w:p>
        </w:tc>
        <w:tc>
          <w:tcPr>
            <w:tcW w:w="5355" w:type="dxa"/>
            <w:gridSpan w:val="5"/>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5F025D">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报告期末持有无限售条件普通股股份数量</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8EA7324">
            <w:pPr>
              <w:spacing w:before="40" w:after="40" w:line="240" w:lineRule="exact"/>
              <w:jc w:val="center"/>
              <w:rPr>
                <w:rFonts w:ascii="宋体" w:hAnsi="宋体" w:eastAsia="宋体" w:cs="宋体"/>
                <w:sz w:val="18"/>
                <w:szCs w:val="18"/>
              </w:rPr>
            </w:pPr>
            <w:r>
              <w:rPr>
                <w:rFonts w:ascii="宋体" w:hAnsi="宋体" w:eastAsia="宋体" w:cs="宋体"/>
                <w:sz w:val="18"/>
                <w:szCs w:val="18"/>
              </w:rPr>
              <w:t>股份种类</w:t>
            </w:r>
          </w:p>
        </w:tc>
      </w:tr>
      <w:tr w14:paraId="71F6C0E3">
        <w:trPr>
          <w:trHeight w:val="240" w:hRule="atLeast"/>
        </w:trPr>
        <w:tc>
          <w:tcPr>
            <w:tcW w:w="2142"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00058D"/>
        </w:tc>
        <w:tc>
          <w:tcPr>
            <w:tcW w:w="5355" w:type="dxa"/>
            <w:gridSpan w:val="5"/>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E1E11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4860F26">
            <w:pPr>
              <w:spacing w:before="40" w:after="40" w:line="240" w:lineRule="exact"/>
              <w:jc w:val="center"/>
              <w:rPr>
                <w:rFonts w:ascii="宋体" w:hAnsi="宋体" w:eastAsia="宋体" w:cs="宋体"/>
                <w:sz w:val="18"/>
                <w:szCs w:val="18"/>
              </w:rPr>
            </w:pPr>
            <w:r>
              <w:rPr>
                <w:rFonts w:ascii="宋体" w:hAnsi="宋体" w:eastAsia="宋体" w:cs="宋体"/>
                <w:sz w:val="18"/>
                <w:szCs w:val="18"/>
              </w:rPr>
              <w:t>股份种类</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5FFD0B6">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r>
      <w:tr w14:paraId="49AEFF40">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2252BE86">
            <w:pPr>
              <w:spacing w:line="240" w:lineRule="exact"/>
              <w:rPr>
                <w:rFonts w:ascii="宋体" w:hAnsi="宋体" w:eastAsia="宋体" w:cs="宋体"/>
                <w:sz w:val="18"/>
                <w:szCs w:val="18"/>
              </w:rPr>
            </w:pPr>
            <w:r>
              <w:rPr>
                <w:rFonts w:ascii="宋体" w:hAnsi="宋体" w:eastAsia="宋体" w:cs="宋体"/>
                <w:sz w:val="18"/>
                <w:szCs w:val="18"/>
              </w:rPr>
              <w:t>西藏盛邦控股有限公司</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5B63F079">
            <w:pPr>
              <w:spacing w:line="240" w:lineRule="exact"/>
              <w:jc w:val="right"/>
              <w:rPr>
                <w:rFonts w:ascii="宋体" w:hAnsi="宋体" w:eastAsia="宋体" w:cs="宋体"/>
                <w:sz w:val="18"/>
                <w:szCs w:val="18"/>
              </w:rPr>
            </w:pPr>
            <w:r>
              <w:rPr>
                <w:rFonts w:ascii="宋体" w:hAnsi="宋体" w:eastAsia="宋体" w:cs="宋体"/>
                <w:sz w:val="18"/>
                <w:szCs w:val="18"/>
              </w:rPr>
              <w:t>33,613,192</w:t>
            </w:r>
          </w:p>
        </w:tc>
        <w:tc>
          <w:tcPr>
            <w:tcW w:w="1071" w:type="dxa"/>
            <w:tcBorders>
              <w:top w:val="single" w:color="auto" w:sz="2" w:space="0"/>
              <w:left w:val="single" w:color="auto" w:sz="2" w:space="0"/>
              <w:bottom w:val="single" w:color="auto" w:sz="2" w:space="0"/>
              <w:right w:val="single" w:color="auto" w:sz="2" w:space="0"/>
            </w:tcBorders>
            <w:vAlign w:val="center"/>
          </w:tcPr>
          <w:p w14:paraId="240D2AF9">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28366435">
            <w:pPr>
              <w:spacing w:line="240" w:lineRule="exact"/>
              <w:jc w:val="right"/>
              <w:rPr>
                <w:rFonts w:ascii="宋体" w:hAnsi="宋体" w:eastAsia="宋体" w:cs="宋体"/>
                <w:sz w:val="18"/>
                <w:szCs w:val="18"/>
              </w:rPr>
            </w:pPr>
            <w:r>
              <w:rPr>
                <w:rFonts w:ascii="宋体" w:hAnsi="宋体" w:eastAsia="宋体" w:cs="宋体"/>
                <w:sz w:val="18"/>
                <w:szCs w:val="18"/>
              </w:rPr>
              <w:t>33,613,192</w:t>
            </w:r>
          </w:p>
        </w:tc>
      </w:tr>
      <w:tr w14:paraId="37DC4AFD">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5983045A">
            <w:pPr>
              <w:spacing w:line="240" w:lineRule="exact"/>
              <w:rPr>
                <w:rFonts w:ascii="宋体" w:hAnsi="宋体" w:eastAsia="宋体" w:cs="宋体"/>
                <w:sz w:val="18"/>
                <w:szCs w:val="18"/>
              </w:rPr>
            </w:pPr>
            <w:r>
              <w:rPr>
                <w:rFonts w:ascii="宋体" w:hAnsi="宋体" w:eastAsia="宋体" w:cs="宋体"/>
                <w:sz w:val="18"/>
                <w:szCs w:val="18"/>
              </w:rPr>
              <w:t>西藏国有资本投资运营有限公司</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124AE330">
            <w:pPr>
              <w:spacing w:line="240" w:lineRule="exact"/>
              <w:jc w:val="right"/>
              <w:rPr>
                <w:rFonts w:ascii="宋体" w:hAnsi="宋体" w:eastAsia="宋体" w:cs="宋体"/>
                <w:sz w:val="18"/>
                <w:szCs w:val="18"/>
              </w:rPr>
            </w:pPr>
            <w:r>
              <w:rPr>
                <w:rFonts w:ascii="宋体" w:hAnsi="宋体" w:eastAsia="宋体" w:cs="宋体"/>
                <w:sz w:val="18"/>
                <w:szCs w:val="18"/>
              </w:rPr>
              <w:t>16,072,257</w:t>
            </w:r>
          </w:p>
        </w:tc>
        <w:tc>
          <w:tcPr>
            <w:tcW w:w="1071" w:type="dxa"/>
            <w:tcBorders>
              <w:top w:val="single" w:color="auto" w:sz="2" w:space="0"/>
              <w:left w:val="single" w:color="auto" w:sz="2" w:space="0"/>
              <w:bottom w:val="single" w:color="auto" w:sz="2" w:space="0"/>
              <w:right w:val="single" w:color="auto" w:sz="2" w:space="0"/>
            </w:tcBorders>
            <w:vAlign w:val="center"/>
          </w:tcPr>
          <w:p w14:paraId="5DFA70E4">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6BC9CD77">
            <w:pPr>
              <w:spacing w:line="240" w:lineRule="exact"/>
              <w:jc w:val="right"/>
              <w:rPr>
                <w:rFonts w:ascii="宋体" w:hAnsi="宋体" w:eastAsia="宋体" w:cs="宋体"/>
                <w:sz w:val="18"/>
                <w:szCs w:val="18"/>
              </w:rPr>
            </w:pPr>
            <w:r>
              <w:rPr>
                <w:rFonts w:ascii="宋体" w:hAnsi="宋体" w:eastAsia="宋体" w:cs="宋体"/>
                <w:sz w:val="18"/>
                <w:szCs w:val="18"/>
              </w:rPr>
              <w:t>16,072,257</w:t>
            </w:r>
          </w:p>
        </w:tc>
      </w:tr>
      <w:tr w14:paraId="609CE770">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19359006">
            <w:pPr>
              <w:spacing w:line="240" w:lineRule="exact"/>
              <w:rPr>
                <w:rFonts w:ascii="宋体" w:hAnsi="宋体" w:eastAsia="宋体" w:cs="宋体"/>
                <w:sz w:val="18"/>
                <w:szCs w:val="18"/>
              </w:rPr>
            </w:pPr>
            <w:r>
              <w:rPr>
                <w:rFonts w:ascii="宋体" w:hAnsi="宋体" w:eastAsia="宋体" w:cs="宋体"/>
                <w:sz w:val="18"/>
                <w:szCs w:val="18"/>
              </w:rPr>
              <w:t>黄建山</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36E2EDED">
            <w:pPr>
              <w:spacing w:line="240" w:lineRule="exact"/>
              <w:jc w:val="right"/>
              <w:rPr>
                <w:rFonts w:ascii="宋体" w:hAnsi="宋体" w:eastAsia="宋体" w:cs="宋体"/>
                <w:sz w:val="18"/>
                <w:szCs w:val="18"/>
              </w:rPr>
            </w:pPr>
            <w:r>
              <w:rPr>
                <w:rFonts w:ascii="宋体" w:hAnsi="宋体" w:eastAsia="宋体" w:cs="宋体"/>
                <w:sz w:val="18"/>
                <w:szCs w:val="18"/>
              </w:rPr>
              <w:t>8,787,700</w:t>
            </w:r>
          </w:p>
        </w:tc>
        <w:tc>
          <w:tcPr>
            <w:tcW w:w="1071" w:type="dxa"/>
            <w:tcBorders>
              <w:top w:val="single" w:color="auto" w:sz="2" w:space="0"/>
              <w:left w:val="single" w:color="auto" w:sz="2" w:space="0"/>
              <w:bottom w:val="single" w:color="auto" w:sz="2" w:space="0"/>
              <w:right w:val="single" w:color="auto" w:sz="2" w:space="0"/>
            </w:tcBorders>
            <w:vAlign w:val="center"/>
          </w:tcPr>
          <w:p w14:paraId="3ACE7C55">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1E849D8D">
            <w:pPr>
              <w:spacing w:line="240" w:lineRule="exact"/>
              <w:jc w:val="right"/>
              <w:rPr>
                <w:rFonts w:ascii="宋体" w:hAnsi="宋体" w:eastAsia="宋体" w:cs="宋体"/>
                <w:sz w:val="18"/>
                <w:szCs w:val="18"/>
              </w:rPr>
            </w:pPr>
            <w:r>
              <w:rPr>
                <w:rFonts w:ascii="宋体" w:hAnsi="宋体" w:eastAsia="宋体" w:cs="宋体"/>
                <w:sz w:val="18"/>
                <w:szCs w:val="18"/>
              </w:rPr>
              <w:t>8,787,700</w:t>
            </w:r>
          </w:p>
        </w:tc>
      </w:tr>
      <w:tr w14:paraId="56430B72">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7E679CE2">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67FA8B33">
            <w:pPr>
              <w:spacing w:line="240" w:lineRule="exact"/>
              <w:jc w:val="right"/>
              <w:rPr>
                <w:rFonts w:ascii="宋体" w:hAnsi="宋体" w:eastAsia="宋体" w:cs="宋体"/>
                <w:sz w:val="18"/>
                <w:szCs w:val="18"/>
              </w:rPr>
            </w:pPr>
            <w:r>
              <w:rPr>
                <w:rFonts w:ascii="宋体" w:hAnsi="宋体" w:eastAsia="宋体" w:cs="宋体"/>
                <w:sz w:val="18"/>
                <w:szCs w:val="18"/>
              </w:rPr>
              <w:t>7,800,000</w:t>
            </w:r>
          </w:p>
        </w:tc>
        <w:tc>
          <w:tcPr>
            <w:tcW w:w="1071" w:type="dxa"/>
            <w:tcBorders>
              <w:top w:val="single" w:color="auto" w:sz="2" w:space="0"/>
              <w:left w:val="single" w:color="auto" w:sz="2" w:space="0"/>
              <w:bottom w:val="single" w:color="auto" w:sz="2" w:space="0"/>
              <w:right w:val="single" w:color="auto" w:sz="2" w:space="0"/>
            </w:tcBorders>
            <w:vAlign w:val="center"/>
          </w:tcPr>
          <w:p w14:paraId="11BB2289">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532890AC">
            <w:pPr>
              <w:spacing w:line="240" w:lineRule="exact"/>
              <w:jc w:val="right"/>
              <w:rPr>
                <w:rFonts w:ascii="宋体" w:hAnsi="宋体" w:eastAsia="宋体" w:cs="宋体"/>
                <w:sz w:val="18"/>
                <w:szCs w:val="18"/>
              </w:rPr>
            </w:pPr>
            <w:r>
              <w:rPr>
                <w:rFonts w:ascii="宋体" w:hAnsi="宋体" w:eastAsia="宋体" w:cs="宋体"/>
                <w:sz w:val="18"/>
                <w:szCs w:val="18"/>
              </w:rPr>
              <w:t>7,800,000</w:t>
            </w:r>
          </w:p>
        </w:tc>
      </w:tr>
      <w:tr w14:paraId="2DD6020D">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651B0302">
            <w:pPr>
              <w:spacing w:line="240" w:lineRule="exact"/>
              <w:rPr>
                <w:rFonts w:ascii="宋体" w:hAnsi="宋体" w:eastAsia="宋体" w:cs="宋体"/>
                <w:sz w:val="18"/>
                <w:szCs w:val="18"/>
              </w:rPr>
            </w:pPr>
            <w:r>
              <w:rPr>
                <w:rFonts w:ascii="宋体" w:hAnsi="宋体" w:eastAsia="宋体" w:cs="宋体"/>
                <w:sz w:val="18"/>
                <w:szCs w:val="18"/>
              </w:rPr>
              <w:t>胡伟</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584F4176">
            <w:pPr>
              <w:spacing w:line="240" w:lineRule="exact"/>
              <w:jc w:val="right"/>
              <w:rPr>
                <w:rFonts w:ascii="宋体" w:hAnsi="宋体" w:eastAsia="宋体" w:cs="宋体"/>
                <w:sz w:val="18"/>
                <w:szCs w:val="18"/>
              </w:rPr>
            </w:pPr>
            <w:r>
              <w:rPr>
                <w:rFonts w:ascii="宋体" w:hAnsi="宋体" w:eastAsia="宋体" w:cs="宋体"/>
                <w:sz w:val="18"/>
                <w:szCs w:val="18"/>
              </w:rPr>
              <w:t>5,237,000</w:t>
            </w:r>
          </w:p>
        </w:tc>
        <w:tc>
          <w:tcPr>
            <w:tcW w:w="1071" w:type="dxa"/>
            <w:tcBorders>
              <w:top w:val="single" w:color="auto" w:sz="2" w:space="0"/>
              <w:left w:val="single" w:color="auto" w:sz="2" w:space="0"/>
              <w:bottom w:val="single" w:color="auto" w:sz="2" w:space="0"/>
              <w:right w:val="single" w:color="auto" w:sz="2" w:space="0"/>
            </w:tcBorders>
            <w:vAlign w:val="center"/>
          </w:tcPr>
          <w:p w14:paraId="738F2E9F">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56FC7309">
            <w:pPr>
              <w:spacing w:line="240" w:lineRule="exact"/>
              <w:jc w:val="right"/>
              <w:rPr>
                <w:rFonts w:ascii="宋体" w:hAnsi="宋体" w:eastAsia="宋体" w:cs="宋体"/>
                <w:sz w:val="18"/>
                <w:szCs w:val="18"/>
              </w:rPr>
            </w:pPr>
            <w:r>
              <w:rPr>
                <w:rFonts w:ascii="宋体" w:hAnsi="宋体" w:eastAsia="宋体" w:cs="宋体"/>
                <w:sz w:val="18"/>
                <w:szCs w:val="18"/>
              </w:rPr>
              <w:t>5,237,000</w:t>
            </w:r>
          </w:p>
        </w:tc>
      </w:tr>
      <w:tr w14:paraId="0580C503">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06198824">
            <w:pPr>
              <w:spacing w:line="240" w:lineRule="exact"/>
              <w:rPr>
                <w:rFonts w:ascii="宋体" w:hAnsi="宋体" w:eastAsia="宋体" w:cs="宋体"/>
                <w:sz w:val="18"/>
                <w:szCs w:val="18"/>
              </w:rPr>
            </w:pPr>
            <w:r>
              <w:rPr>
                <w:rFonts w:ascii="宋体" w:hAnsi="宋体" w:eastAsia="宋体" w:cs="宋体"/>
                <w:sz w:val="18"/>
                <w:szCs w:val="18"/>
              </w:rPr>
              <w:t>汪新文</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1C887145">
            <w:pPr>
              <w:spacing w:line="240" w:lineRule="exact"/>
              <w:jc w:val="right"/>
              <w:rPr>
                <w:rFonts w:ascii="宋体" w:hAnsi="宋体" w:eastAsia="宋体" w:cs="宋体"/>
                <w:sz w:val="18"/>
                <w:szCs w:val="18"/>
              </w:rPr>
            </w:pPr>
            <w:r>
              <w:rPr>
                <w:rFonts w:ascii="宋体" w:hAnsi="宋体" w:eastAsia="宋体" w:cs="宋体"/>
                <w:sz w:val="18"/>
                <w:szCs w:val="18"/>
              </w:rPr>
              <w:t>4,450,500</w:t>
            </w:r>
          </w:p>
        </w:tc>
        <w:tc>
          <w:tcPr>
            <w:tcW w:w="1071" w:type="dxa"/>
            <w:tcBorders>
              <w:top w:val="single" w:color="auto" w:sz="2" w:space="0"/>
              <w:left w:val="single" w:color="auto" w:sz="2" w:space="0"/>
              <w:bottom w:val="single" w:color="auto" w:sz="2" w:space="0"/>
              <w:right w:val="single" w:color="auto" w:sz="2" w:space="0"/>
            </w:tcBorders>
            <w:vAlign w:val="center"/>
          </w:tcPr>
          <w:p w14:paraId="396E33A4">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53BFF0AB">
            <w:pPr>
              <w:spacing w:line="240" w:lineRule="exact"/>
              <w:jc w:val="right"/>
              <w:rPr>
                <w:rFonts w:ascii="宋体" w:hAnsi="宋体" w:eastAsia="宋体" w:cs="宋体"/>
                <w:sz w:val="18"/>
                <w:szCs w:val="18"/>
              </w:rPr>
            </w:pPr>
            <w:r>
              <w:rPr>
                <w:rFonts w:ascii="宋体" w:hAnsi="宋体" w:eastAsia="宋体" w:cs="宋体"/>
                <w:sz w:val="18"/>
                <w:szCs w:val="18"/>
              </w:rPr>
              <w:t>4,450,500</w:t>
            </w:r>
          </w:p>
        </w:tc>
      </w:tr>
      <w:tr w14:paraId="05B24EFA">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3812C55A">
            <w:pPr>
              <w:spacing w:line="240" w:lineRule="exact"/>
              <w:rPr>
                <w:rFonts w:ascii="宋体" w:hAnsi="宋体" w:eastAsia="宋体" w:cs="宋体"/>
                <w:sz w:val="18"/>
                <w:szCs w:val="18"/>
              </w:rPr>
            </w:pPr>
            <w:r>
              <w:rPr>
                <w:rFonts w:ascii="宋体" w:hAnsi="宋体" w:eastAsia="宋体" w:cs="宋体"/>
                <w:sz w:val="18"/>
                <w:szCs w:val="18"/>
              </w:rPr>
              <w:t>郭明臻</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4329EF8D">
            <w:pPr>
              <w:spacing w:line="240" w:lineRule="exact"/>
              <w:jc w:val="right"/>
              <w:rPr>
                <w:rFonts w:ascii="宋体" w:hAnsi="宋体" w:eastAsia="宋体" w:cs="宋体"/>
                <w:sz w:val="18"/>
                <w:szCs w:val="18"/>
              </w:rPr>
            </w:pPr>
            <w:r>
              <w:rPr>
                <w:rFonts w:ascii="宋体" w:hAnsi="宋体" w:eastAsia="宋体" w:cs="宋体"/>
                <w:sz w:val="18"/>
                <w:szCs w:val="18"/>
              </w:rPr>
              <w:t>3,363,886</w:t>
            </w:r>
          </w:p>
        </w:tc>
        <w:tc>
          <w:tcPr>
            <w:tcW w:w="1071" w:type="dxa"/>
            <w:tcBorders>
              <w:top w:val="single" w:color="auto" w:sz="2" w:space="0"/>
              <w:left w:val="single" w:color="auto" w:sz="2" w:space="0"/>
              <w:bottom w:val="single" w:color="auto" w:sz="2" w:space="0"/>
              <w:right w:val="single" w:color="auto" w:sz="2" w:space="0"/>
            </w:tcBorders>
            <w:vAlign w:val="center"/>
          </w:tcPr>
          <w:p w14:paraId="3AD7D69B">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0550BEBF">
            <w:pPr>
              <w:spacing w:line="240" w:lineRule="exact"/>
              <w:jc w:val="right"/>
              <w:rPr>
                <w:rFonts w:ascii="宋体" w:hAnsi="宋体" w:eastAsia="宋体" w:cs="宋体"/>
                <w:sz w:val="18"/>
                <w:szCs w:val="18"/>
              </w:rPr>
            </w:pPr>
            <w:r>
              <w:rPr>
                <w:rFonts w:ascii="宋体" w:hAnsi="宋体" w:eastAsia="宋体" w:cs="宋体"/>
                <w:sz w:val="18"/>
                <w:szCs w:val="18"/>
              </w:rPr>
              <w:t>3,363,886</w:t>
            </w:r>
          </w:p>
        </w:tc>
      </w:tr>
      <w:tr w14:paraId="4B3605F4">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248C7908">
            <w:pPr>
              <w:spacing w:line="240" w:lineRule="exact"/>
              <w:rPr>
                <w:rFonts w:ascii="宋体" w:hAnsi="宋体" w:eastAsia="宋体" w:cs="宋体"/>
                <w:sz w:val="18"/>
                <w:szCs w:val="18"/>
              </w:rPr>
            </w:pPr>
            <w:r>
              <w:rPr>
                <w:rFonts w:ascii="宋体" w:hAnsi="宋体" w:eastAsia="宋体" w:cs="宋体"/>
                <w:sz w:val="18"/>
                <w:szCs w:val="18"/>
              </w:rPr>
              <w:t>刘选云</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3C0BE1D4">
            <w:pPr>
              <w:spacing w:line="240" w:lineRule="exact"/>
              <w:jc w:val="right"/>
              <w:rPr>
                <w:rFonts w:ascii="宋体" w:hAnsi="宋体" w:eastAsia="宋体" w:cs="宋体"/>
                <w:sz w:val="18"/>
                <w:szCs w:val="18"/>
              </w:rPr>
            </w:pPr>
            <w:r>
              <w:rPr>
                <w:rFonts w:ascii="宋体" w:hAnsi="宋体" w:eastAsia="宋体" w:cs="宋体"/>
                <w:sz w:val="18"/>
                <w:szCs w:val="18"/>
              </w:rPr>
              <w:t>2,989,900</w:t>
            </w:r>
          </w:p>
        </w:tc>
        <w:tc>
          <w:tcPr>
            <w:tcW w:w="1071" w:type="dxa"/>
            <w:tcBorders>
              <w:top w:val="single" w:color="auto" w:sz="2" w:space="0"/>
              <w:left w:val="single" w:color="auto" w:sz="2" w:space="0"/>
              <w:bottom w:val="single" w:color="auto" w:sz="2" w:space="0"/>
              <w:right w:val="single" w:color="auto" w:sz="2" w:space="0"/>
            </w:tcBorders>
            <w:vAlign w:val="center"/>
          </w:tcPr>
          <w:p w14:paraId="2EE34527">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5FE0B96A">
            <w:pPr>
              <w:spacing w:line="240" w:lineRule="exact"/>
              <w:jc w:val="right"/>
              <w:rPr>
                <w:rFonts w:ascii="宋体" w:hAnsi="宋体" w:eastAsia="宋体" w:cs="宋体"/>
                <w:sz w:val="18"/>
                <w:szCs w:val="18"/>
              </w:rPr>
            </w:pPr>
            <w:r>
              <w:rPr>
                <w:rFonts w:ascii="宋体" w:hAnsi="宋体" w:eastAsia="宋体" w:cs="宋体"/>
                <w:sz w:val="18"/>
                <w:szCs w:val="18"/>
              </w:rPr>
              <w:t>2,989,900</w:t>
            </w:r>
          </w:p>
        </w:tc>
      </w:tr>
      <w:tr w14:paraId="04E47F8C">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728F3170">
            <w:pPr>
              <w:spacing w:line="240" w:lineRule="exact"/>
              <w:rPr>
                <w:rFonts w:ascii="宋体" w:hAnsi="宋体" w:eastAsia="宋体" w:cs="宋体"/>
                <w:sz w:val="18"/>
                <w:szCs w:val="18"/>
              </w:rPr>
            </w:pPr>
            <w:r>
              <w:rPr>
                <w:rFonts w:ascii="宋体" w:hAnsi="宋体" w:eastAsia="宋体" w:cs="宋体"/>
                <w:sz w:val="18"/>
                <w:szCs w:val="18"/>
              </w:rPr>
              <w:t>李馨</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7A6880AF">
            <w:pPr>
              <w:spacing w:line="240" w:lineRule="exact"/>
              <w:jc w:val="right"/>
              <w:rPr>
                <w:rFonts w:ascii="宋体" w:hAnsi="宋体" w:eastAsia="宋体" w:cs="宋体"/>
                <w:sz w:val="18"/>
                <w:szCs w:val="18"/>
              </w:rPr>
            </w:pPr>
            <w:r>
              <w:rPr>
                <w:rFonts w:ascii="宋体" w:hAnsi="宋体" w:eastAsia="宋体" w:cs="宋体"/>
                <w:sz w:val="18"/>
                <w:szCs w:val="18"/>
              </w:rPr>
              <w:t>2,630,300</w:t>
            </w:r>
          </w:p>
        </w:tc>
        <w:tc>
          <w:tcPr>
            <w:tcW w:w="1071" w:type="dxa"/>
            <w:tcBorders>
              <w:top w:val="single" w:color="auto" w:sz="2" w:space="0"/>
              <w:left w:val="single" w:color="auto" w:sz="2" w:space="0"/>
              <w:bottom w:val="single" w:color="auto" w:sz="2" w:space="0"/>
              <w:right w:val="single" w:color="auto" w:sz="2" w:space="0"/>
            </w:tcBorders>
            <w:vAlign w:val="center"/>
          </w:tcPr>
          <w:p w14:paraId="161DA21A">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09E081E9">
            <w:pPr>
              <w:spacing w:line="240" w:lineRule="exact"/>
              <w:jc w:val="right"/>
              <w:rPr>
                <w:rFonts w:ascii="宋体" w:hAnsi="宋体" w:eastAsia="宋体" w:cs="宋体"/>
                <w:sz w:val="18"/>
                <w:szCs w:val="18"/>
              </w:rPr>
            </w:pPr>
            <w:r>
              <w:rPr>
                <w:rFonts w:ascii="宋体" w:hAnsi="宋体" w:eastAsia="宋体" w:cs="宋体"/>
                <w:sz w:val="18"/>
                <w:szCs w:val="18"/>
              </w:rPr>
              <w:t>2,630,300</w:t>
            </w:r>
          </w:p>
        </w:tc>
      </w:tr>
      <w:tr w14:paraId="6CF0202E">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vAlign w:val="center"/>
          </w:tcPr>
          <w:p w14:paraId="4CFDBE4E">
            <w:pPr>
              <w:spacing w:line="240" w:lineRule="exact"/>
              <w:rPr>
                <w:rFonts w:ascii="宋体" w:hAnsi="宋体" w:eastAsia="宋体" w:cs="宋体"/>
                <w:sz w:val="18"/>
                <w:szCs w:val="18"/>
              </w:rPr>
            </w:pPr>
            <w:r>
              <w:rPr>
                <w:rFonts w:ascii="宋体" w:hAnsi="宋体" w:eastAsia="宋体" w:cs="宋体"/>
                <w:sz w:val="18"/>
                <w:szCs w:val="18"/>
              </w:rPr>
              <w:t>张旭</w:t>
            </w:r>
          </w:p>
        </w:tc>
        <w:tc>
          <w:tcPr>
            <w:tcW w:w="5355" w:type="dxa"/>
            <w:gridSpan w:val="5"/>
            <w:tcBorders>
              <w:top w:val="single" w:color="auto" w:sz="2" w:space="0"/>
              <w:left w:val="single" w:color="auto" w:sz="2" w:space="0"/>
              <w:bottom w:val="single" w:color="auto" w:sz="2" w:space="0"/>
              <w:right w:val="single" w:color="auto" w:sz="2" w:space="0"/>
            </w:tcBorders>
            <w:vAlign w:val="center"/>
          </w:tcPr>
          <w:p w14:paraId="3D7A82C3">
            <w:pPr>
              <w:spacing w:line="240" w:lineRule="exact"/>
              <w:jc w:val="right"/>
              <w:rPr>
                <w:rFonts w:ascii="宋体" w:hAnsi="宋体" w:eastAsia="宋体" w:cs="宋体"/>
                <w:sz w:val="18"/>
                <w:szCs w:val="18"/>
              </w:rPr>
            </w:pPr>
            <w:r>
              <w:rPr>
                <w:rFonts w:ascii="宋体" w:hAnsi="宋体" w:eastAsia="宋体" w:cs="宋体"/>
                <w:sz w:val="18"/>
                <w:szCs w:val="18"/>
              </w:rPr>
              <w:t>2,499,562</w:t>
            </w:r>
          </w:p>
        </w:tc>
        <w:tc>
          <w:tcPr>
            <w:tcW w:w="1071" w:type="dxa"/>
            <w:tcBorders>
              <w:top w:val="single" w:color="auto" w:sz="2" w:space="0"/>
              <w:left w:val="single" w:color="auto" w:sz="2" w:space="0"/>
              <w:bottom w:val="single" w:color="auto" w:sz="2" w:space="0"/>
              <w:right w:val="single" w:color="auto" w:sz="2" w:space="0"/>
            </w:tcBorders>
            <w:vAlign w:val="center"/>
          </w:tcPr>
          <w:p w14:paraId="1FF7572C">
            <w:pPr>
              <w:spacing w:line="240" w:lineRule="exact"/>
              <w:rPr>
                <w:rFonts w:ascii="宋体" w:hAnsi="宋体" w:eastAsia="宋体" w:cs="宋体"/>
                <w:sz w:val="18"/>
                <w:szCs w:val="18"/>
              </w:rPr>
            </w:pPr>
            <w:r>
              <w:rPr>
                <w:rFonts w:ascii="宋体" w:hAnsi="宋体" w:eastAsia="宋体" w:cs="宋体"/>
                <w:sz w:val="18"/>
                <w:szCs w:val="18"/>
              </w:rPr>
              <w:t>人民币普通股</w:t>
            </w:r>
          </w:p>
        </w:tc>
        <w:tc>
          <w:tcPr>
            <w:tcW w:w="1071" w:type="dxa"/>
            <w:tcBorders>
              <w:top w:val="single" w:color="auto" w:sz="2" w:space="0"/>
              <w:left w:val="single" w:color="auto" w:sz="2" w:space="0"/>
              <w:bottom w:val="single" w:color="auto" w:sz="2" w:space="0"/>
              <w:right w:val="single" w:color="auto" w:sz="2" w:space="0"/>
            </w:tcBorders>
            <w:vAlign w:val="center"/>
          </w:tcPr>
          <w:p w14:paraId="6ED7EEC6">
            <w:pPr>
              <w:spacing w:line="240" w:lineRule="exact"/>
              <w:jc w:val="right"/>
              <w:rPr>
                <w:rFonts w:ascii="宋体" w:hAnsi="宋体" w:eastAsia="宋体" w:cs="宋体"/>
                <w:sz w:val="18"/>
                <w:szCs w:val="18"/>
              </w:rPr>
            </w:pPr>
            <w:r>
              <w:rPr>
                <w:rFonts w:ascii="宋体" w:hAnsi="宋体" w:eastAsia="宋体" w:cs="宋体"/>
                <w:sz w:val="18"/>
                <w:szCs w:val="18"/>
              </w:rPr>
              <w:t>2,499,562</w:t>
            </w:r>
          </w:p>
        </w:tc>
      </w:tr>
      <w:tr w14:paraId="64179AC0">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30F8776">
            <w:pPr>
              <w:spacing w:before="40" w:after="40" w:line="240" w:lineRule="exact"/>
              <w:rPr>
                <w:rFonts w:ascii="宋体" w:hAnsi="宋体" w:eastAsia="宋体" w:cs="宋体"/>
                <w:sz w:val="18"/>
                <w:szCs w:val="18"/>
              </w:rPr>
            </w:pPr>
            <w:r>
              <w:rPr>
                <w:rFonts w:ascii="宋体" w:hAnsi="宋体" w:eastAsia="宋体" w:cs="宋体"/>
                <w:sz w:val="18"/>
                <w:szCs w:val="18"/>
              </w:rPr>
              <w:t>前10名无限售条件普通股股东之间，以及前10名无限售条件普通股股东和前10名普通股股东之间关联关系或一致行动的说明</w:t>
            </w:r>
          </w:p>
        </w:tc>
        <w:tc>
          <w:tcPr>
            <w:tcW w:w="7497" w:type="dxa"/>
            <w:gridSpan w:val="7"/>
            <w:tcBorders>
              <w:top w:val="single" w:color="auto" w:sz="2" w:space="0"/>
              <w:left w:val="single" w:color="auto" w:sz="2" w:space="0"/>
              <w:bottom w:val="single" w:color="auto" w:sz="2" w:space="0"/>
              <w:right w:val="single" w:color="auto" w:sz="2" w:space="0"/>
            </w:tcBorders>
            <w:vAlign w:val="center"/>
          </w:tcPr>
          <w:p w14:paraId="15CC925C">
            <w:pPr>
              <w:spacing w:line="240" w:lineRule="exact"/>
              <w:rPr>
                <w:rFonts w:ascii="宋体" w:hAnsi="宋体" w:eastAsia="宋体" w:cs="宋体"/>
                <w:sz w:val="18"/>
                <w:szCs w:val="18"/>
              </w:rPr>
            </w:pPr>
            <w:r>
              <w:rPr>
                <w:rFonts w:ascii="宋体" w:hAnsi="宋体" w:eastAsia="宋体" w:cs="宋体"/>
                <w:sz w:val="18"/>
                <w:szCs w:val="18"/>
              </w:rPr>
              <w:t>公司前10名股东中，西藏盛邦控股有限公司、西藏国有资本投资运营有限公司、西藏天易隆兴投资有限公司之间无关联关系，也不属于相关法规规定的一致行动人；其他股东之间未知是否存在关联关系。</w:t>
            </w:r>
          </w:p>
        </w:tc>
      </w:tr>
      <w:tr w14:paraId="0D9793FB">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898B4F4">
            <w:pPr>
              <w:spacing w:before="40" w:after="40" w:line="240" w:lineRule="exact"/>
              <w:rPr>
                <w:rFonts w:ascii="宋体" w:hAnsi="宋体" w:eastAsia="宋体" w:cs="宋体"/>
                <w:sz w:val="18"/>
                <w:szCs w:val="18"/>
              </w:rPr>
            </w:pPr>
            <w:r>
              <w:rPr>
                <w:rFonts w:ascii="宋体" w:hAnsi="宋体" w:eastAsia="宋体" w:cs="宋体"/>
                <w:sz w:val="18"/>
                <w:szCs w:val="18"/>
              </w:rPr>
              <w:t>前10名普通股股东参与融资融券业务情况说明（如有）（参见注4）</w:t>
            </w:r>
          </w:p>
        </w:tc>
        <w:tc>
          <w:tcPr>
            <w:tcW w:w="7497" w:type="dxa"/>
            <w:gridSpan w:val="7"/>
            <w:tcBorders>
              <w:top w:val="single" w:color="auto" w:sz="2" w:space="0"/>
              <w:left w:val="single" w:color="auto" w:sz="2" w:space="0"/>
              <w:bottom w:val="single" w:color="auto" w:sz="2" w:space="0"/>
              <w:right w:val="single" w:color="auto" w:sz="2" w:space="0"/>
            </w:tcBorders>
            <w:vAlign w:val="center"/>
          </w:tcPr>
          <w:p w14:paraId="1562E27D">
            <w:pPr>
              <w:spacing w:line="240" w:lineRule="exact"/>
              <w:rPr>
                <w:rFonts w:ascii="宋体" w:hAnsi="宋体" w:eastAsia="宋体" w:cs="宋体"/>
                <w:sz w:val="18"/>
                <w:szCs w:val="18"/>
              </w:rPr>
            </w:pPr>
            <w:r>
              <w:rPr>
                <w:rFonts w:ascii="宋体" w:hAnsi="宋体" w:eastAsia="宋体" w:cs="宋体"/>
                <w:sz w:val="18"/>
                <w:szCs w:val="18"/>
              </w:rPr>
              <w:t>无</w:t>
            </w:r>
          </w:p>
        </w:tc>
      </w:tr>
    </w:tbl>
    <w:p w14:paraId="0B14AB00">
      <w:pPr>
        <w:spacing w:before="100" w:after="100" w:line="240" w:lineRule="exact"/>
        <w:rPr>
          <w:rFonts w:ascii="宋体" w:hAnsi="宋体" w:eastAsia="宋体" w:cs="宋体"/>
          <w:sz w:val="18"/>
          <w:szCs w:val="18"/>
        </w:rPr>
      </w:pPr>
      <w:r>
        <w:rPr>
          <w:rFonts w:ascii="宋体" w:hAnsi="宋体" w:eastAsia="宋体" w:cs="宋体"/>
          <w:sz w:val="18"/>
          <w:szCs w:val="18"/>
        </w:rPr>
        <w:t>持股5%以上股东、前10名股东及前10名无限售流通股股东参与转融通业务出借股份情况</w:t>
      </w:r>
    </w:p>
    <w:p w14:paraId="32F0D5EC">
      <w:pPr>
        <w:spacing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C4B9E0B">
      <w:pPr>
        <w:spacing w:before="100" w:after="100" w:line="240" w:lineRule="exact"/>
        <w:rPr>
          <w:rFonts w:ascii="宋体" w:hAnsi="宋体" w:eastAsia="宋体" w:cs="宋体"/>
          <w:sz w:val="18"/>
          <w:szCs w:val="18"/>
        </w:rPr>
      </w:pPr>
      <w:r>
        <w:rPr>
          <w:rFonts w:ascii="宋体" w:hAnsi="宋体" w:eastAsia="宋体" w:cs="宋体"/>
          <w:sz w:val="18"/>
          <w:szCs w:val="18"/>
        </w:rPr>
        <w:t>前10名股东及前10名无限售流通股股东因转融通出借/归还原因导致较上期发生变化</w:t>
      </w:r>
    </w:p>
    <w:p w14:paraId="5BFAE7A2">
      <w:pPr>
        <w:spacing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395114F">
      <w:pPr>
        <w:spacing w:before="100" w:after="100" w:line="240" w:lineRule="exact"/>
        <w:rPr>
          <w:rFonts w:ascii="宋体" w:hAnsi="宋体" w:eastAsia="宋体" w:cs="宋体"/>
          <w:sz w:val="18"/>
          <w:szCs w:val="18"/>
        </w:rPr>
      </w:pPr>
      <w:r>
        <w:rPr>
          <w:rFonts w:ascii="宋体" w:hAnsi="宋体" w:eastAsia="宋体" w:cs="宋体"/>
          <w:sz w:val="18"/>
          <w:szCs w:val="18"/>
        </w:rPr>
        <w:t>公司前10名普通股股东、前10名无限售条件普通股股东在报告期内是否进行约定购回交易</w:t>
      </w:r>
    </w:p>
    <w:p w14:paraId="48C5ED46">
      <w:pPr>
        <w:spacing w:before="100"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6C2C6DA5">
      <w:pPr>
        <w:spacing w:before="100" w:after="100" w:line="240" w:lineRule="exact"/>
        <w:rPr>
          <w:rFonts w:ascii="宋体" w:hAnsi="宋体" w:eastAsia="宋体" w:cs="宋体"/>
          <w:sz w:val="18"/>
          <w:szCs w:val="18"/>
        </w:rPr>
      </w:pPr>
      <w:r>
        <w:rPr>
          <w:rFonts w:ascii="宋体" w:hAnsi="宋体" w:eastAsia="宋体" w:cs="宋体"/>
          <w:sz w:val="18"/>
          <w:szCs w:val="18"/>
        </w:rPr>
        <w:t>公司前10名普通股股东、前10名无限售条件普通股股东在报告期内未进行约定购回交易。</w:t>
      </w:r>
    </w:p>
    <w:p w14:paraId="7F773D43">
      <w:pPr>
        <w:pStyle w:val="2"/>
        <w:spacing w:before="300" w:after="300" w:line="320" w:lineRule="exact"/>
        <w:rPr>
          <w:rFonts w:ascii="宋体" w:hAnsi="宋体" w:eastAsia="宋体" w:cs="宋体"/>
          <w:b/>
          <w:bCs/>
          <w:sz w:val="24"/>
          <w:szCs w:val="24"/>
        </w:rPr>
      </w:pPr>
      <w:bookmarkStart w:id="83" w:name="_Toc988972"/>
      <w:r>
        <w:rPr>
          <w:rFonts w:ascii="宋体" w:hAnsi="宋体" w:eastAsia="宋体" w:cs="宋体"/>
          <w:b/>
          <w:bCs/>
          <w:sz w:val="24"/>
          <w:szCs w:val="24"/>
        </w:rPr>
        <w:t>四、董事、监事和高级管理人员持股变动</w:t>
      </w:r>
      <w:bookmarkEnd w:id="83"/>
    </w:p>
    <w:p w14:paraId="1C7629F4">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C343DCB">
      <w:pPr>
        <w:spacing w:before="40" w:after="40" w:line="240" w:lineRule="exact"/>
        <w:rPr>
          <w:rFonts w:ascii="宋体" w:hAnsi="宋体" w:eastAsia="宋体" w:cs="宋体"/>
          <w:sz w:val="18"/>
          <w:szCs w:val="18"/>
        </w:rPr>
      </w:pPr>
      <w:r>
        <w:rPr>
          <w:rFonts w:ascii="宋体" w:hAnsi="宋体" w:eastAsia="宋体" w:cs="宋体"/>
          <w:sz w:val="18"/>
          <w:szCs w:val="18"/>
        </w:rPr>
        <w:t>公司董事、监事和高级管理人员在报告期持股情况没有发生变动，具体可参见2023年年报。</w:t>
      </w:r>
    </w:p>
    <w:p w14:paraId="7B3391E0">
      <w:pPr>
        <w:pStyle w:val="2"/>
        <w:spacing w:before="300" w:after="300" w:line="320" w:lineRule="exact"/>
        <w:rPr>
          <w:rFonts w:ascii="宋体" w:hAnsi="宋体" w:eastAsia="宋体" w:cs="宋体"/>
          <w:b/>
          <w:bCs/>
          <w:sz w:val="24"/>
          <w:szCs w:val="24"/>
        </w:rPr>
      </w:pPr>
      <w:bookmarkStart w:id="84" w:name="_Toc988973"/>
      <w:r>
        <w:rPr>
          <w:rFonts w:ascii="宋体" w:hAnsi="宋体" w:eastAsia="宋体" w:cs="宋体"/>
          <w:b/>
          <w:bCs/>
          <w:sz w:val="24"/>
          <w:szCs w:val="24"/>
        </w:rPr>
        <w:t>五、控股股东或实际控制人变更情况</w:t>
      </w:r>
      <w:bookmarkEnd w:id="84"/>
    </w:p>
    <w:p w14:paraId="04702568">
      <w:pPr>
        <w:spacing w:before="40" w:after="40" w:line="240" w:lineRule="exact"/>
        <w:rPr>
          <w:rFonts w:ascii="宋体" w:hAnsi="宋体" w:eastAsia="宋体" w:cs="宋体"/>
          <w:sz w:val="18"/>
          <w:szCs w:val="18"/>
        </w:rPr>
      </w:pPr>
      <w:r>
        <w:rPr>
          <w:rFonts w:ascii="宋体" w:hAnsi="宋体" w:eastAsia="宋体" w:cs="宋体"/>
          <w:sz w:val="18"/>
          <w:szCs w:val="18"/>
        </w:rPr>
        <w:t>控股股东报告期内变更</w:t>
      </w:r>
    </w:p>
    <w:p w14:paraId="5D57B0F7">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82CD7B0">
      <w:pPr>
        <w:spacing w:before="40" w:after="40" w:line="240" w:lineRule="exact"/>
        <w:rPr>
          <w:rFonts w:ascii="宋体" w:hAnsi="宋体" w:eastAsia="宋体" w:cs="宋体"/>
          <w:sz w:val="18"/>
          <w:szCs w:val="18"/>
        </w:rPr>
      </w:pPr>
      <w:r>
        <w:rPr>
          <w:rFonts w:ascii="宋体" w:hAnsi="宋体" w:eastAsia="宋体" w:cs="宋体"/>
          <w:sz w:val="18"/>
          <w:szCs w:val="18"/>
        </w:rPr>
        <w:t>公司报告期控股股东未发生变更。</w:t>
      </w:r>
    </w:p>
    <w:p w14:paraId="3B5B3A41">
      <w:pPr>
        <w:spacing w:before="100" w:after="100" w:line="240" w:lineRule="exact"/>
        <w:rPr>
          <w:rFonts w:ascii="宋体" w:hAnsi="宋体" w:eastAsia="宋体" w:cs="宋体"/>
          <w:sz w:val="18"/>
          <w:szCs w:val="18"/>
        </w:rPr>
      </w:pPr>
      <w:r>
        <w:rPr>
          <w:rFonts w:ascii="宋体" w:hAnsi="宋体" w:eastAsia="宋体" w:cs="宋体"/>
          <w:sz w:val="18"/>
          <w:szCs w:val="18"/>
        </w:rPr>
        <w:t>实际控制人报告期内变更</w:t>
      </w:r>
    </w:p>
    <w:p w14:paraId="35D695BF">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3B9AD4">
      <w:pPr>
        <w:spacing w:before="40" w:after="40" w:line="240" w:lineRule="exact"/>
        <w:rPr>
          <w:rFonts w:ascii="宋体" w:hAnsi="宋体" w:eastAsia="宋体" w:cs="宋体"/>
          <w:sz w:val="18"/>
          <w:szCs w:val="18"/>
        </w:rPr>
      </w:pPr>
      <w:r>
        <w:rPr>
          <w:rFonts w:ascii="宋体" w:hAnsi="宋体" w:eastAsia="宋体" w:cs="宋体"/>
          <w:sz w:val="18"/>
          <w:szCs w:val="18"/>
        </w:rPr>
        <w:t>公司报告期实际控制人未发生变更。</w:t>
      </w:r>
    </w:p>
    <w:p w14:paraId="7DAF73B4">
      <w:r>
        <w:br w:type="page"/>
      </w:r>
    </w:p>
    <w:p w14:paraId="4EF6C58A">
      <w:pPr>
        <w:pStyle w:val="17"/>
        <w:spacing w:before="340" w:after="330" w:line="773" w:lineRule="exact"/>
        <w:jc w:val="center"/>
        <w:rPr>
          <w:rFonts w:ascii="宋体" w:hAnsi="宋体" w:eastAsia="宋体" w:cs="宋体"/>
          <w:b/>
          <w:bCs/>
          <w:sz w:val="32"/>
          <w:szCs w:val="32"/>
        </w:rPr>
      </w:pPr>
      <w:bookmarkStart w:id="85" w:name="_Toc988974"/>
      <w:r>
        <w:rPr>
          <w:rFonts w:ascii="宋体" w:hAnsi="宋体" w:eastAsia="宋体" w:cs="宋体"/>
          <w:b/>
          <w:bCs/>
          <w:sz w:val="32"/>
          <w:szCs w:val="32"/>
        </w:rPr>
        <w:t>第八节 优先股相关情况</w:t>
      </w:r>
      <w:bookmarkEnd w:id="85"/>
    </w:p>
    <w:p w14:paraId="6C05106D">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95428E0">
      <w:pPr>
        <w:spacing w:line="240" w:lineRule="exact"/>
        <w:rPr>
          <w:rFonts w:ascii="宋体" w:hAnsi="宋体" w:eastAsia="宋体" w:cs="宋体"/>
          <w:sz w:val="18"/>
          <w:szCs w:val="18"/>
        </w:rPr>
      </w:pPr>
      <w:r>
        <w:rPr>
          <w:rFonts w:ascii="宋体" w:hAnsi="宋体" w:eastAsia="宋体" w:cs="宋体"/>
          <w:sz w:val="18"/>
          <w:szCs w:val="18"/>
        </w:rPr>
        <w:t>报告期公司不存在优先股。</w:t>
      </w:r>
    </w:p>
    <w:p w14:paraId="4CB0D5D7">
      <w:r>
        <w:br w:type="page"/>
      </w:r>
    </w:p>
    <w:p w14:paraId="37088959">
      <w:pPr>
        <w:pStyle w:val="17"/>
        <w:spacing w:before="340" w:after="330" w:line="773" w:lineRule="exact"/>
        <w:jc w:val="center"/>
        <w:rPr>
          <w:rFonts w:ascii="宋体" w:hAnsi="宋体" w:eastAsia="宋体" w:cs="宋体"/>
          <w:b/>
          <w:bCs/>
          <w:sz w:val="32"/>
          <w:szCs w:val="32"/>
        </w:rPr>
      </w:pPr>
      <w:bookmarkStart w:id="86" w:name="_Toc988975"/>
      <w:r>
        <w:rPr>
          <w:rFonts w:ascii="宋体" w:hAnsi="宋体" w:eastAsia="宋体" w:cs="宋体"/>
          <w:b/>
          <w:bCs/>
          <w:sz w:val="32"/>
          <w:szCs w:val="32"/>
        </w:rPr>
        <w:t>第九节 债券相关情况</w:t>
      </w:r>
      <w:bookmarkEnd w:id="86"/>
    </w:p>
    <w:p w14:paraId="5D89F8EA">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11F2431">
      <w:r>
        <w:br w:type="page"/>
      </w:r>
    </w:p>
    <w:p w14:paraId="72BC36F3">
      <w:pPr>
        <w:pStyle w:val="17"/>
        <w:spacing w:before="340" w:after="330" w:line="773" w:lineRule="exact"/>
        <w:jc w:val="center"/>
        <w:rPr>
          <w:rFonts w:ascii="宋体" w:hAnsi="宋体" w:eastAsia="宋体" w:cs="宋体"/>
          <w:b/>
          <w:bCs/>
          <w:sz w:val="32"/>
          <w:szCs w:val="32"/>
        </w:rPr>
      </w:pPr>
      <w:bookmarkStart w:id="87" w:name="_Toc988976"/>
      <w:r>
        <w:rPr>
          <w:rFonts w:ascii="宋体" w:hAnsi="宋体" w:eastAsia="宋体" w:cs="宋体"/>
          <w:b/>
          <w:bCs/>
          <w:sz w:val="32"/>
          <w:szCs w:val="32"/>
        </w:rPr>
        <w:t>第十节 财务报告</w:t>
      </w:r>
      <w:bookmarkEnd w:id="87"/>
    </w:p>
    <w:p w14:paraId="39950F99">
      <w:pPr>
        <w:pStyle w:val="2"/>
        <w:spacing w:before="300" w:after="300" w:line="320" w:lineRule="exact"/>
        <w:rPr>
          <w:rFonts w:ascii="宋体" w:hAnsi="宋体" w:eastAsia="宋体" w:cs="宋体"/>
          <w:b/>
          <w:bCs/>
          <w:sz w:val="24"/>
          <w:szCs w:val="24"/>
        </w:rPr>
      </w:pPr>
      <w:bookmarkStart w:id="88" w:name="_Toc988977"/>
      <w:r>
        <w:rPr>
          <w:rFonts w:ascii="宋体" w:hAnsi="宋体" w:eastAsia="宋体" w:cs="宋体"/>
          <w:b/>
          <w:bCs/>
          <w:sz w:val="24"/>
          <w:szCs w:val="24"/>
        </w:rPr>
        <w:t>一、审计报告</w:t>
      </w:r>
      <w:bookmarkEnd w:id="88"/>
    </w:p>
    <w:p w14:paraId="26843C39">
      <w:pPr>
        <w:spacing w:before="40" w:after="40" w:line="240" w:lineRule="exact"/>
        <w:rPr>
          <w:rFonts w:ascii="宋体" w:hAnsi="宋体" w:eastAsia="宋体" w:cs="宋体"/>
          <w:sz w:val="18"/>
          <w:szCs w:val="18"/>
        </w:rPr>
      </w:pPr>
      <w:r>
        <w:rPr>
          <w:rFonts w:ascii="宋体" w:hAnsi="宋体" w:eastAsia="宋体" w:cs="宋体"/>
          <w:sz w:val="18"/>
          <w:szCs w:val="18"/>
        </w:rPr>
        <w:t>半年度报告是否经过审计</w:t>
      </w:r>
    </w:p>
    <w:p w14:paraId="3A070FCE">
      <w:pPr>
        <w:spacing w:before="40" w:after="4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3BF6150C">
      <w:pPr>
        <w:spacing w:before="40" w:after="40" w:line="240" w:lineRule="exact"/>
        <w:rPr>
          <w:rFonts w:ascii="宋体" w:hAnsi="宋体" w:eastAsia="宋体" w:cs="宋体"/>
          <w:sz w:val="18"/>
          <w:szCs w:val="18"/>
        </w:rPr>
      </w:pPr>
      <w:r>
        <w:rPr>
          <w:rFonts w:ascii="宋体" w:hAnsi="宋体" w:eastAsia="宋体" w:cs="宋体"/>
          <w:sz w:val="18"/>
          <w:szCs w:val="18"/>
        </w:rPr>
        <w:t>公司半年度财务报告未经审计。</w:t>
      </w:r>
    </w:p>
    <w:p w14:paraId="6A924493">
      <w:pPr>
        <w:pStyle w:val="2"/>
        <w:spacing w:before="300" w:after="300" w:line="320" w:lineRule="exact"/>
        <w:rPr>
          <w:rFonts w:ascii="宋体" w:hAnsi="宋体" w:eastAsia="宋体" w:cs="宋体"/>
          <w:b/>
          <w:bCs/>
          <w:sz w:val="24"/>
          <w:szCs w:val="24"/>
        </w:rPr>
      </w:pPr>
      <w:bookmarkStart w:id="89" w:name="_Toc988978"/>
      <w:r>
        <w:rPr>
          <w:rFonts w:ascii="宋体" w:hAnsi="宋体" w:eastAsia="宋体" w:cs="宋体"/>
          <w:b/>
          <w:bCs/>
          <w:sz w:val="24"/>
          <w:szCs w:val="24"/>
        </w:rPr>
        <w:t>二、财务报表</w:t>
      </w:r>
      <w:bookmarkEnd w:id="89"/>
    </w:p>
    <w:p w14:paraId="085DA5BB">
      <w:pPr>
        <w:spacing w:before="40" w:after="40" w:line="240" w:lineRule="exact"/>
        <w:rPr>
          <w:rFonts w:ascii="宋体" w:hAnsi="宋体" w:eastAsia="宋体" w:cs="宋体"/>
          <w:sz w:val="18"/>
          <w:szCs w:val="18"/>
        </w:rPr>
      </w:pPr>
      <w:r>
        <w:rPr>
          <w:rFonts w:ascii="宋体" w:hAnsi="宋体" w:eastAsia="宋体" w:cs="宋体"/>
          <w:sz w:val="18"/>
          <w:szCs w:val="18"/>
        </w:rPr>
        <w:t>财务附注中报表的单位为：元</w:t>
      </w:r>
    </w:p>
    <w:p w14:paraId="0BABA0BF">
      <w:pPr>
        <w:pStyle w:val="3"/>
        <w:spacing w:line="280" w:lineRule="exact"/>
        <w:jc w:val="left"/>
        <w:rPr>
          <w:rFonts w:ascii="宋体" w:hAnsi="宋体" w:cs="宋体"/>
          <w:b/>
          <w:bCs/>
        </w:rPr>
      </w:pPr>
      <w:bookmarkStart w:id="90" w:name="_Toc988979"/>
      <w:r>
        <w:rPr>
          <w:rFonts w:ascii="宋体" w:hAnsi="宋体" w:cs="宋体"/>
          <w:b/>
          <w:bCs/>
        </w:rPr>
        <w:t>1、合并资产负债表</w:t>
      </w:r>
      <w:bookmarkEnd w:id="90"/>
    </w:p>
    <w:p w14:paraId="52428080">
      <w:pPr>
        <w:spacing w:line="240" w:lineRule="exact"/>
        <w:rPr>
          <w:rFonts w:ascii="宋体" w:hAnsi="宋体" w:eastAsia="宋体" w:cs="宋体"/>
          <w:sz w:val="18"/>
          <w:szCs w:val="18"/>
        </w:rPr>
      </w:pPr>
      <w:r>
        <w:rPr>
          <w:rFonts w:ascii="宋体" w:hAnsi="宋体" w:eastAsia="宋体" w:cs="宋体"/>
          <w:sz w:val="18"/>
          <w:szCs w:val="18"/>
        </w:rPr>
        <w:t>编制单位：西藏发展股份有限公司</w:t>
      </w:r>
    </w:p>
    <w:p w14:paraId="5C48826B">
      <w:pPr>
        <w:spacing w:line="240" w:lineRule="exact"/>
        <w:jc w:val="center"/>
        <w:rPr>
          <w:rFonts w:ascii="宋体" w:hAnsi="宋体" w:eastAsia="宋体" w:cs="宋体"/>
          <w:sz w:val="18"/>
          <w:szCs w:val="18"/>
        </w:rPr>
      </w:pPr>
    </w:p>
    <w:p w14:paraId="64C02D7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B356BE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9E26D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441D4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24289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B382FB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7ABC9D">
            <w:pPr>
              <w:spacing w:before="40" w:after="40" w:line="240" w:lineRule="exac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A2B89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8F4AE0"/>
        </w:tc>
      </w:tr>
      <w:tr w14:paraId="4731023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8A7B9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4CB4CF23">
            <w:pPr>
              <w:spacing w:line="240" w:lineRule="exact"/>
              <w:jc w:val="right"/>
              <w:rPr>
                <w:rFonts w:ascii="宋体" w:hAnsi="宋体" w:eastAsia="宋体" w:cs="宋体"/>
                <w:sz w:val="18"/>
                <w:szCs w:val="18"/>
              </w:rPr>
            </w:pPr>
            <w:r>
              <w:rPr>
                <w:rFonts w:ascii="宋体" w:hAnsi="宋体" w:eastAsia="宋体" w:cs="宋体"/>
                <w:sz w:val="18"/>
                <w:szCs w:val="18"/>
              </w:rPr>
              <w:t>576,281,711</w:t>
            </w:r>
          </w:p>
        </w:tc>
        <w:tc>
          <w:tcPr>
            <w:tcW w:w="3213" w:type="dxa"/>
            <w:tcBorders>
              <w:top w:val="single" w:color="auto" w:sz="2" w:space="0"/>
              <w:left w:val="single" w:color="auto" w:sz="2" w:space="0"/>
              <w:bottom w:val="single" w:color="auto" w:sz="2" w:space="0"/>
              <w:right w:val="single" w:color="auto" w:sz="2" w:space="0"/>
            </w:tcBorders>
            <w:vAlign w:val="center"/>
          </w:tcPr>
          <w:p w14:paraId="4F7B45C9">
            <w:pPr>
              <w:spacing w:line="240" w:lineRule="exact"/>
              <w:jc w:val="right"/>
              <w:rPr>
                <w:rFonts w:ascii="宋体" w:hAnsi="宋体" w:eastAsia="宋体" w:cs="宋体"/>
                <w:sz w:val="18"/>
                <w:szCs w:val="18"/>
              </w:rPr>
            </w:pPr>
            <w:r>
              <w:rPr>
                <w:rFonts w:ascii="宋体" w:hAnsi="宋体" w:eastAsia="宋体" w:cs="宋体"/>
                <w:sz w:val="18"/>
                <w:szCs w:val="18"/>
              </w:rPr>
              <w:t>544,424,723.87</w:t>
            </w:r>
          </w:p>
        </w:tc>
      </w:tr>
      <w:tr w14:paraId="1FBF0FA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2EDBC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结算备付金</w:t>
            </w:r>
          </w:p>
        </w:tc>
        <w:tc>
          <w:tcPr>
            <w:tcW w:w="3213" w:type="dxa"/>
            <w:tcBorders>
              <w:top w:val="single" w:color="auto" w:sz="2" w:space="0"/>
              <w:left w:val="single" w:color="auto" w:sz="2" w:space="0"/>
              <w:bottom w:val="single" w:color="auto" w:sz="2" w:space="0"/>
              <w:right w:val="single" w:color="auto" w:sz="2" w:space="0"/>
            </w:tcBorders>
            <w:vAlign w:val="center"/>
          </w:tcPr>
          <w:p w14:paraId="26B285C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C25837">
            <w:pPr>
              <w:spacing w:line="240" w:lineRule="exact"/>
              <w:jc w:val="right"/>
              <w:rPr>
                <w:rFonts w:ascii="宋体" w:hAnsi="宋体" w:eastAsia="宋体" w:cs="宋体"/>
                <w:sz w:val="18"/>
                <w:szCs w:val="18"/>
              </w:rPr>
            </w:pPr>
          </w:p>
        </w:tc>
      </w:tr>
      <w:tr w14:paraId="70AEE84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C8FD3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拆出资金</w:t>
            </w:r>
          </w:p>
        </w:tc>
        <w:tc>
          <w:tcPr>
            <w:tcW w:w="3213" w:type="dxa"/>
            <w:tcBorders>
              <w:top w:val="single" w:color="auto" w:sz="2" w:space="0"/>
              <w:left w:val="single" w:color="auto" w:sz="2" w:space="0"/>
              <w:bottom w:val="single" w:color="auto" w:sz="2" w:space="0"/>
              <w:right w:val="single" w:color="auto" w:sz="2" w:space="0"/>
            </w:tcBorders>
            <w:vAlign w:val="center"/>
          </w:tcPr>
          <w:p w14:paraId="5CA72EF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C1FA60">
            <w:pPr>
              <w:spacing w:line="240" w:lineRule="exact"/>
              <w:jc w:val="right"/>
              <w:rPr>
                <w:rFonts w:ascii="宋体" w:hAnsi="宋体" w:eastAsia="宋体" w:cs="宋体"/>
                <w:sz w:val="18"/>
                <w:szCs w:val="18"/>
              </w:rPr>
            </w:pPr>
          </w:p>
        </w:tc>
      </w:tr>
      <w:tr w14:paraId="0E81D43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11B68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1F9303B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602A506">
            <w:pPr>
              <w:spacing w:line="240" w:lineRule="exact"/>
              <w:jc w:val="right"/>
              <w:rPr>
                <w:rFonts w:ascii="宋体" w:hAnsi="宋体" w:eastAsia="宋体" w:cs="宋体"/>
                <w:sz w:val="18"/>
                <w:szCs w:val="18"/>
              </w:rPr>
            </w:pPr>
          </w:p>
        </w:tc>
      </w:tr>
      <w:tr w14:paraId="2B2FFAA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B671C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338DE6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B8E4D8">
            <w:pPr>
              <w:spacing w:line="240" w:lineRule="exact"/>
              <w:jc w:val="right"/>
              <w:rPr>
                <w:rFonts w:ascii="宋体" w:hAnsi="宋体" w:eastAsia="宋体" w:cs="宋体"/>
                <w:sz w:val="18"/>
                <w:szCs w:val="18"/>
              </w:rPr>
            </w:pPr>
          </w:p>
        </w:tc>
      </w:tr>
      <w:tr w14:paraId="349B991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AEA2E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48ABEBB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7E414B">
            <w:pPr>
              <w:spacing w:line="240" w:lineRule="exact"/>
              <w:jc w:val="right"/>
              <w:rPr>
                <w:rFonts w:ascii="宋体" w:hAnsi="宋体" w:eastAsia="宋体" w:cs="宋体"/>
                <w:sz w:val="18"/>
                <w:szCs w:val="18"/>
              </w:rPr>
            </w:pPr>
          </w:p>
        </w:tc>
      </w:tr>
      <w:tr w14:paraId="047851D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4DB03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4F6E4782">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54BA2708">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66EC6F0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E7BF0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539946C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3D90E5">
            <w:pPr>
              <w:spacing w:line="240" w:lineRule="exact"/>
              <w:jc w:val="right"/>
              <w:rPr>
                <w:rFonts w:ascii="宋体" w:hAnsi="宋体" w:eastAsia="宋体" w:cs="宋体"/>
                <w:sz w:val="18"/>
                <w:szCs w:val="18"/>
              </w:rPr>
            </w:pPr>
          </w:p>
        </w:tc>
      </w:tr>
      <w:tr w14:paraId="4D5E5D3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6CC84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434BDFA6">
            <w:pPr>
              <w:spacing w:line="240" w:lineRule="exact"/>
              <w:jc w:val="right"/>
              <w:rPr>
                <w:rFonts w:ascii="宋体" w:hAnsi="宋体" w:eastAsia="宋体" w:cs="宋体"/>
                <w:sz w:val="18"/>
                <w:szCs w:val="18"/>
              </w:rPr>
            </w:pPr>
            <w:r>
              <w:rPr>
                <w:rFonts w:ascii="宋体" w:hAnsi="宋体" w:eastAsia="宋体" w:cs="宋体"/>
                <w:sz w:val="18"/>
                <w:szCs w:val="18"/>
              </w:rPr>
              <w:t>4,629,744.96</w:t>
            </w:r>
          </w:p>
        </w:tc>
        <w:tc>
          <w:tcPr>
            <w:tcW w:w="3213" w:type="dxa"/>
            <w:tcBorders>
              <w:top w:val="single" w:color="auto" w:sz="2" w:space="0"/>
              <w:left w:val="single" w:color="auto" w:sz="2" w:space="0"/>
              <w:bottom w:val="single" w:color="auto" w:sz="2" w:space="0"/>
              <w:right w:val="single" w:color="auto" w:sz="2" w:space="0"/>
            </w:tcBorders>
            <w:vAlign w:val="center"/>
          </w:tcPr>
          <w:p w14:paraId="50CFC250">
            <w:pPr>
              <w:spacing w:line="240" w:lineRule="exact"/>
              <w:jc w:val="right"/>
              <w:rPr>
                <w:rFonts w:ascii="宋体" w:hAnsi="宋体" w:eastAsia="宋体" w:cs="宋体"/>
                <w:sz w:val="18"/>
                <w:szCs w:val="18"/>
              </w:rPr>
            </w:pPr>
            <w:r>
              <w:rPr>
                <w:rFonts w:ascii="宋体" w:hAnsi="宋体" w:eastAsia="宋体" w:cs="宋体"/>
                <w:sz w:val="18"/>
                <w:szCs w:val="18"/>
              </w:rPr>
              <w:t>3,933,531.64</w:t>
            </w:r>
          </w:p>
        </w:tc>
      </w:tr>
      <w:tr w14:paraId="344B44C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29EA6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应收保费</w:t>
            </w:r>
          </w:p>
        </w:tc>
        <w:tc>
          <w:tcPr>
            <w:tcW w:w="3213" w:type="dxa"/>
            <w:tcBorders>
              <w:top w:val="single" w:color="auto" w:sz="2" w:space="0"/>
              <w:left w:val="single" w:color="auto" w:sz="2" w:space="0"/>
              <w:bottom w:val="single" w:color="auto" w:sz="2" w:space="0"/>
              <w:right w:val="single" w:color="auto" w:sz="2" w:space="0"/>
            </w:tcBorders>
            <w:vAlign w:val="center"/>
          </w:tcPr>
          <w:p w14:paraId="3B11735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81A95E">
            <w:pPr>
              <w:spacing w:line="240" w:lineRule="exact"/>
              <w:jc w:val="right"/>
              <w:rPr>
                <w:rFonts w:ascii="宋体" w:hAnsi="宋体" w:eastAsia="宋体" w:cs="宋体"/>
                <w:sz w:val="18"/>
                <w:szCs w:val="18"/>
              </w:rPr>
            </w:pPr>
          </w:p>
        </w:tc>
      </w:tr>
      <w:tr w14:paraId="5F70C48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B5B8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5112B82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2EE0BE">
            <w:pPr>
              <w:spacing w:line="240" w:lineRule="exact"/>
              <w:jc w:val="right"/>
              <w:rPr>
                <w:rFonts w:ascii="宋体" w:hAnsi="宋体" w:eastAsia="宋体" w:cs="宋体"/>
                <w:sz w:val="18"/>
                <w:szCs w:val="18"/>
              </w:rPr>
            </w:pPr>
          </w:p>
        </w:tc>
      </w:tr>
      <w:tr w14:paraId="01B3CB3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30FB7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应收分保合同准备金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662AC39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19E51C6">
            <w:pPr>
              <w:spacing w:line="240" w:lineRule="exact"/>
              <w:jc w:val="right"/>
              <w:rPr>
                <w:rFonts w:ascii="宋体" w:hAnsi="宋体" w:eastAsia="宋体" w:cs="宋体"/>
                <w:sz w:val="18"/>
                <w:szCs w:val="18"/>
              </w:rPr>
            </w:pPr>
          </w:p>
        </w:tc>
      </w:tr>
      <w:tr w14:paraId="75C109F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87858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0F1A3449">
            <w:pPr>
              <w:spacing w:line="240" w:lineRule="exact"/>
              <w:jc w:val="right"/>
              <w:rPr>
                <w:rFonts w:ascii="宋体" w:hAnsi="宋体" w:eastAsia="宋体" w:cs="宋体"/>
                <w:sz w:val="18"/>
                <w:szCs w:val="18"/>
              </w:rPr>
            </w:pPr>
            <w:r>
              <w:rPr>
                <w:rFonts w:ascii="宋体" w:hAnsi="宋体" w:eastAsia="宋体" w:cs="宋体"/>
                <w:sz w:val="18"/>
                <w:szCs w:val="18"/>
              </w:rPr>
              <w:t>518,392.54</w:t>
            </w:r>
          </w:p>
        </w:tc>
        <w:tc>
          <w:tcPr>
            <w:tcW w:w="3213" w:type="dxa"/>
            <w:tcBorders>
              <w:top w:val="single" w:color="auto" w:sz="2" w:space="0"/>
              <w:left w:val="single" w:color="auto" w:sz="2" w:space="0"/>
              <w:bottom w:val="single" w:color="auto" w:sz="2" w:space="0"/>
              <w:right w:val="single" w:color="auto" w:sz="2" w:space="0"/>
            </w:tcBorders>
            <w:vAlign w:val="center"/>
          </w:tcPr>
          <w:p w14:paraId="7B548D63">
            <w:pPr>
              <w:spacing w:line="240" w:lineRule="exact"/>
              <w:jc w:val="right"/>
              <w:rPr>
                <w:rFonts w:ascii="宋体" w:hAnsi="宋体" w:eastAsia="宋体" w:cs="宋体"/>
                <w:sz w:val="18"/>
                <w:szCs w:val="18"/>
              </w:rPr>
            </w:pPr>
            <w:r>
              <w:rPr>
                <w:rFonts w:ascii="宋体" w:hAnsi="宋体" w:eastAsia="宋体" w:cs="宋体"/>
                <w:sz w:val="18"/>
                <w:szCs w:val="18"/>
              </w:rPr>
              <w:t>329,993.87</w:t>
            </w:r>
          </w:p>
        </w:tc>
      </w:tr>
      <w:tr w14:paraId="1E70FBA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A95F5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41BC69F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3B3519">
            <w:pPr>
              <w:spacing w:line="240" w:lineRule="exact"/>
              <w:jc w:val="right"/>
              <w:rPr>
                <w:rFonts w:ascii="宋体" w:hAnsi="宋体" w:eastAsia="宋体" w:cs="宋体"/>
                <w:sz w:val="18"/>
                <w:szCs w:val="18"/>
              </w:rPr>
            </w:pPr>
          </w:p>
        </w:tc>
      </w:tr>
      <w:tr w14:paraId="5FAB109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728A48">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182FE5D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914259">
            <w:pPr>
              <w:spacing w:line="240" w:lineRule="exact"/>
              <w:jc w:val="right"/>
              <w:rPr>
                <w:rFonts w:ascii="宋体" w:hAnsi="宋体" w:eastAsia="宋体" w:cs="宋体"/>
                <w:sz w:val="18"/>
                <w:szCs w:val="18"/>
              </w:rPr>
            </w:pPr>
          </w:p>
        </w:tc>
      </w:tr>
      <w:tr w14:paraId="285FD91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A977C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买入返售金融资产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064242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CC6587">
            <w:pPr>
              <w:spacing w:line="240" w:lineRule="exact"/>
              <w:jc w:val="right"/>
              <w:rPr>
                <w:rFonts w:ascii="宋体" w:hAnsi="宋体" w:eastAsia="宋体" w:cs="宋体"/>
                <w:sz w:val="18"/>
                <w:szCs w:val="18"/>
              </w:rPr>
            </w:pPr>
          </w:p>
        </w:tc>
      </w:tr>
      <w:tr w14:paraId="1D3A365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171FA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1226A955">
            <w:pPr>
              <w:spacing w:line="240" w:lineRule="exact"/>
              <w:jc w:val="right"/>
              <w:rPr>
                <w:rFonts w:ascii="宋体" w:hAnsi="宋体" w:eastAsia="宋体" w:cs="宋体"/>
                <w:sz w:val="18"/>
                <w:szCs w:val="18"/>
              </w:rPr>
            </w:pPr>
            <w:r>
              <w:rPr>
                <w:rFonts w:ascii="宋体" w:hAnsi="宋体" w:eastAsia="宋体" w:cs="宋体"/>
                <w:sz w:val="18"/>
                <w:szCs w:val="18"/>
              </w:rPr>
              <w:t>24,691,178.18</w:t>
            </w:r>
          </w:p>
        </w:tc>
        <w:tc>
          <w:tcPr>
            <w:tcW w:w="3213" w:type="dxa"/>
            <w:tcBorders>
              <w:top w:val="single" w:color="auto" w:sz="2" w:space="0"/>
              <w:left w:val="single" w:color="auto" w:sz="2" w:space="0"/>
              <w:bottom w:val="single" w:color="auto" w:sz="2" w:space="0"/>
              <w:right w:val="single" w:color="auto" w:sz="2" w:space="0"/>
            </w:tcBorders>
            <w:vAlign w:val="center"/>
          </w:tcPr>
          <w:p w14:paraId="703ADCEC">
            <w:pPr>
              <w:spacing w:line="240" w:lineRule="exact"/>
              <w:jc w:val="right"/>
              <w:rPr>
                <w:rFonts w:ascii="宋体" w:hAnsi="宋体" w:eastAsia="宋体" w:cs="宋体"/>
                <w:sz w:val="18"/>
                <w:szCs w:val="18"/>
              </w:rPr>
            </w:pPr>
            <w:r>
              <w:rPr>
                <w:rFonts w:ascii="宋体" w:hAnsi="宋体" w:eastAsia="宋体" w:cs="宋体"/>
                <w:sz w:val="18"/>
                <w:szCs w:val="18"/>
              </w:rPr>
              <w:t>30,386,849.98</w:t>
            </w:r>
          </w:p>
        </w:tc>
      </w:tr>
      <w:tr w14:paraId="057B933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42E7D7">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6AC50D3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986586">
            <w:pPr>
              <w:spacing w:line="240" w:lineRule="exact"/>
              <w:jc w:val="right"/>
              <w:rPr>
                <w:rFonts w:ascii="宋体" w:hAnsi="宋体" w:eastAsia="宋体" w:cs="宋体"/>
                <w:sz w:val="18"/>
                <w:szCs w:val="18"/>
              </w:rPr>
            </w:pPr>
          </w:p>
        </w:tc>
      </w:tr>
      <w:tr w14:paraId="4388F4A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CC183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60C9273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F2E005">
            <w:pPr>
              <w:spacing w:line="240" w:lineRule="exact"/>
              <w:jc w:val="right"/>
              <w:rPr>
                <w:rFonts w:ascii="宋体" w:hAnsi="宋体" w:eastAsia="宋体" w:cs="宋体"/>
                <w:sz w:val="18"/>
                <w:szCs w:val="18"/>
              </w:rPr>
            </w:pPr>
          </w:p>
        </w:tc>
      </w:tr>
      <w:tr w14:paraId="6C881AD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1DDC5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2C9BE31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645E71">
            <w:pPr>
              <w:spacing w:line="240" w:lineRule="exact"/>
              <w:jc w:val="right"/>
              <w:rPr>
                <w:rFonts w:ascii="宋体" w:hAnsi="宋体" w:eastAsia="宋体" w:cs="宋体"/>
                <w:sz w:val="18"/>
                <w:szCs w:val="18"/>
              </w:rPr>
            </w:pPr>
          </w:p>
        </w:tc>
      </w:tr>
      <w:tr w14:paraId="4298F2E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7BC6B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7383FF8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EEA0BB">
            <w:pPr>
              <w:spacing w:line="240" w:lineRule="exact"/>
              <w:jc w:val="right"/>
              <w:rPr>
                <w:rFonts w:ascii="宋体" w:hAnsi="宋体" w:eastAsia="宋体" w:cs="宋体"/>
                <w:sz w:val="18"/>
                <w:szCs w:val="18"/>
              </w:rPr>
            </w:pPr>
          </w:p>
        </w:tc>
      </w:tr>
      <w:tr w14:paraId="05D5216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AAB6D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30356824">
            <w:pPr>
              <w:spacing w:line="240" w:lineRule="exact"/>
              <w:jc w:val="right"/>
              <w:rPr>
                <w:rFonts w:ascii="宋体" w:hAnsi="宋体" w:eastAsia="宋体" w:cs="宋体"/>
                <w:sz w:val="18"/>
                <w:szCs w:val="18"/>
              </w:rPr>
            </w:pPr>
            <w:r>
              <w:rPr>
                <w:rFonts w:ascii="宋体" w:hAnsi="宋体" w:eastAsia="宋体" w:cs="宋体"/>
                <w:sz w:val="18"/>
                <w:szCs w:val="18"/>
              </w:rPr>
              <w:t>154,689.58</w:t>
            </w:r>
          </w:p>
        </w:tc>
        <w:tc>
          <w:tcPr>
            <w:tcW w:w="3213" w:type="dxa"/>
            <w:tcBorders>
              <w:top w:val="single" w:color="auto" w:sz="2" w:space="0"/>
              <w:left w:val="single" w:color="auto" w:sz="2" w:space="0"/>
              <w:bottom w:val="single" w:color="auto" w:sz="2" w:space="0"/>
              <w:right w:val="single" w:color="auto" w:sz="2" w:space="0"/>
            </w:tcBorders>
            <w:vAlign w:val="center"/>
          </w:tcPr>
          <w:p w14:paraId="0BE90799">
            <w:pPr>
              <w:spacing w:line="240" w:lineRule="exact"/>
              <w:jc w:val="right"/>
              <w:rPr>
                <w:rFonts w:ascii="宋体" w:hAnsi="宋体" w:eastAsia="宋体" w:cs="宋体"/>
                <w:sz w:val="18"/>
                <w:szCs w:val="18"/>
              </w:rPr>
            </w:pPr>
            <w:r>
              <w:rPr>
                <w:rFonts w:ascii="宋体" w:hAnsi="宋体" w:eastAsia="宋体" w:cs="宋体"/>
                <w:sz w:val="18"/>
                <w:szCs w:val="18"/>
              </w:rPr>
              <w:t>133,640</w:t>
            </w:r>
          </w:p>
        </w:tc>
      </w:tr>
      <w:tr w14:paraId="68F0DDC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6E6F8C">
            <w:pPr>
              <w:spacing w:before="40" w:after="40" w:line="240" w:lineRule="exact"/>
              <w:rPr>
                <w:rFonts w:ascii="宋体" w:hAnsi="宋体" w:eastAsia="宋体" w:cs="宋体"/>
                <w:sz w:val="18"/>
                <w:szCs w:val="18"/>
              </w:rPr>
            </w:pPr>
            <w:r>
              <w:rPr>
                <w:rFonts w:ascii="宋体" w:hAnsi="宋体" w:eastAsia="宋体" w:cs="宋体"/>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13BA463C">
            <w:pPr>
              <w:spacing w:line="240" w:lineRule="exact"/>
              <w:jc w:val="right"/>
              <w:rPr>
                <w:rFonts w:ascii="宋体" w:hAnsi="宋体" w:eastAsia="宋体" w:cs="宋体"/>
                <w:sz w:val="18"/>
                <w:szCs w:val="18"/>
              </w:rPr>
            </w:pPr>
            <w:r>
              <w:rPr>
                <w:rFonts w:ascii="宋体" w:hAnsi="宋体" w:eastAsia="宋体" w:cs="宋体"/>
                <w:sz w:val="18"/>
                <w:szCs w:val="18"/>
              </w:rPr>
              <w:t>606,275,717.22</w:t>
            </w:r>
          </w:p>
        </w:tc>
        <w:tc>
          <w:tcPr>
            <w:tcW w:w="3213" w:type="dxa"/>
            <w:tcBorders>
              <w:top w:val="single" w:color="auto" w:sz="2" w:space="0"/>
              <w:left w:val="single" w:color="auto" w:sz="2" w:space="0"/>
              <w:bottom w:val="single" w:color="auto" w:sz="2" w:space="0"/>
              <w:right w:val="single" w:color="auto" w:sz="2" w:space="0"/>
            </w:tcBorders>
            <w:vAlign w:val="center"/>
          </w:tcPr>
          <w:p w14:paraId="6C252B09">
            <w:pPr>
              <w:spacing w:line="240" w:lineRule="exact"/>
              <w:jc w:val="right"/>
              <w:rPr>
                <w:rFonts w:ascii="宋体" w:hAnsi="宋体" w:eastAsia="宋体" w:cs="宋体"/>
                <w:sz w:val="18"/>
                <w:szCs w:val="18"/>
              </w:rPr>
            </w:pPr>
            <w:r>
              <w:rPr>
                <w:rFonts w:ascii="宋体" w:hAnsi="宋体" w:eastAsia="宋体" w:cs="宋体"/>
                <w:sz w:val="18"/>
                <w:szCs w:val="18"/>
              </w:rPr>
              <w:t>579,208,739.73</w:t>
            </w:r>
          </w:p>
        </w:tc>
      </w:tr>
      <w:tr w14:paraId="304E691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79B9BE">
            <w:pPr>
              <w:spacing w:before="40" w:after="40" w:line="240" w:lineRule="exac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D797AD"/>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E27FD1"/>
        </w:tc>
      </w:tr>
      <w:tr w14:paraId="499363A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2179A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发放贷款和垫款</w:t>
            </w:r>
          </w:p>
        </w:tc>
        <w:tc>
          <w:tcPr>
            <w:tcW w:w="3213" w:type="dxa"/>
            <w:tcBorders>
              <w:top w:val="single" w:color="auto" w:sz="2" w:space="0"/>
              <w:left w:val="single" w:color="auto" w:sz="2" w:space="0"/>
              <w:bottom w:val="single" w:color="auto" w:sz="2" w:space="0"/>
              <w:right w:val="single" w:color="auto" w:sz="2" w:space="0"/>
            </w:tcBorders>
            <w:vAlign w:val="center"/>
          </w:tcPr>
          <w:p w14:paraId="5E44082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F8B061">
            <w:pPr>
              <w:spacing w:line="240" w:lineRule="exact"/>
              <w:jc w:val="right"/>
              <w:rPr>
                <w:rFonts w:ascii="宋体" w:hAnsi="宋体" w:eastAsia="宋体" w:cs="宋体"/>
                <w:sz w:val="18"/>
                <w:szCs w:val="18"/>
              </w:rPr>
            </w:pPr>
          </w:p>
        </w:tc>
      </w:tr>
      <w:tr w14:paraId="7D621AA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623B5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718BF56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52B7CE">
            <w:pPr>
              <w:spacing w:line="240" w:lineRule="exact"/>
              <w:jc w:val="right"/>
              <w:rPr>
                <w:rFonts w:ascii="宋体" w:hAnsi="宋体" w:eastAsia="宋体" w:cs="宋体"/>
                <w:sz w:val="18"/>
                <w:szCs w:val="18"/>
              </w:rPr>
            </w:pPr>
          </w:p>
        </w:tc>
      </w:tr>
      <w:tr w14:paraId="5E921CB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A530B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574AB13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7DC241">
            <w:pPr>
              <w:spacing w:line="240" w:lineRule="exact"/>
              <w:jc w:val="right"/>
              <w:rPr>
                <w:rFonts w:ascii="宋体" w:hAnsi="宋体" w:eastAsia="宋体" w:cs="宋体"/>
                <w:sz w:val="18"/>
                <w:szCs w:val="18"/>
              </w:rPr>
            </w:pPr>
          </w:p>
        </w:tc>
      </w:tr>
      <w:tr w14:paraId="45586BC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638D6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5434F08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DFD3149">
            <w:pPr>
              <w:spacing w:line="240" w:lineRule="exact"/>
              <w:jc w:val="right"/>
              <w:rPr>
                <w:rFonts w:ascii="宋体" w:hAnsi="宋体" w:eastAsia="宋体" w:cs="宋体"/>
                <w:sz w:val="18"/>
                <w:szCs w:val="18"/>
              </w:rPr>
            </w:pPr>
          </w:p>
        </w:tc>
      </w:tr>
      <w:tr w14:paraId="0A6723E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2A815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35B193BE">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3213" w:type="dxa"/>
            <w:tcBorders>
              <w:top w:val="single" w:color="auto" w:sz="2" w:space="0"/>
              <w:left w:val="single" w:color="auto" w:sz="2" w:space="0"/>
              <w:bottom w:val="single" w:color="auto" w:sz="2" w:space="0"/>
              <w:right w:val="single" w:color="auto" w:sz="2" w:space="0"/>
            </w:tcBorders>
            <w:vAlign w:val="center"/>
          </w:tcPr>
          <w:p w14:paraId="787DBA75">
            <w:pPr>
              <w:spacing w:line="240" w:lineRule="exact"/>
              <w:jc w:val="right"/>
              <w:rPr>
                <w:rFonts w:ascii="宋体" w:hAnsi="宋体" w:eastAsia="宋体" w:cs="宋体"/>
                <w:sz w:val="18"/>
                <w:szCs w:val="18"/>
              </w:rPr>
            </w:pPr>
            <w:r>
              <w:rPr>
                <w:rFonts w:ascii="宋体" w:hAnsi="宋体" w:eastAsia="宋体" w:cs="宋体"/>
                <w:sz w:val="18"/>
                <w:szCs w:val="18"/>
              </w:rPr>
              <w:t>189,821,527.71</w:t>
            </w:r>
          </w:p>
        </w:tc>
      </w:tr>
      <w:tr w14:paraId="79400A4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D9F3A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1165C64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7485DC">
            <w:pPr>
              <w:spacing w:line="240" w:lineRule="exact"/>
              <w:jc w:val="right"/>
              <w:rPr>
                <w:rFonts w:ascii="宋体" w:hAnsi="宋体" w:eastAsia="宋体" w:cs="宋体"/>
                <w:sz w:val="18"/>
                <w:szCs w:val="18"/>
              </w:rPr>
            </w:pPr>
          </w:p>
        </w:tc>
      </w:tr>
      <w:tr w14:paraId="6460752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D66EC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5658CC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D7AEF9">
            <w:pPr>
              <w:spacing w:line="240" w:lineRule="exact"/>
              <w:jc w:val="right"/>
              <w:rPr>
                <w:rFonts w:ascii="宋体" w:hAnsi="宋体" w:eastAsia="宋体" w:cs="宋体"/>
                <w:sz w:val="18"/>
                <w:szCs w:val="18"/>
              </w:rPr>
            </w:pPr>
          </w:p>
        </w:tc>
      </w:tr>
      <w:tr w14:paraId="5BEB615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7A315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61C3422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CD9575">
            <w:pPr>
              <w:spacing w:line="240" w:lineRule="exact"/>
              <w:jc w:val="right"/>
              <w:rPr>
                <w:rFonts w:ascii="宋体" w:hAnsi="宋体" w:eastAsia="宋体" w:cs="宋体"/>
                <w:sz w:val="18"/>
                <w:szCs w:val="18"/>
              </w:rPr>
            </w:pPr>
          </w:p>
        </w:tc>
      </w:tr>
      <w:tr w14:paraId="0337DFE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01935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077EDA9C">
            <w:pPr>
              <w:spacing w:line="240" w:lineRule="exact"/>
              <w:jc w:val="right"/>
              <w:rPr>
                <w:rFonts w:ascii="宋体" w:hAnsi="宋体" w:eastAsia="宋体" w:cs="宋体"/>
                <w:sz w:val="18"/>
                <w:szCs w:val="18"/>
              </w:rPr>
            </w:pPr>
            <w:r>
              <w:rPr>
                <w:rFonts w:ascii="宋体" w:hAnsi="宋体" w:eastAsia="宋体" w:cs="宋体"/>
                <w:sz w:val="18"/>
                <w:szCs w:val="18"/>
              </w:rPr>
              <w:t>134,210,525.42</w:t>
            </w:r>
          </w:p>
        </w:tc>
        <w:tc>
          <w:tcPr>
            <w:tcW w:w="3213" w:type="dxa"/>
            <w:tcBorders>
              <w:top w:val="single" w:color="auto" w:sz="2" w:space="0"/>
              <w:left w:val="single" w:color="auto" w:sz="2" w:space="0"/>
              <w:bottom w:val="single" w:color="auto" w:sz="2" w:space="0"/>
              <w:right w:val="single" w:color="auto" w:sz="2" w:space="0"/>
            </w:tcBorders>
            <w:vAlign w:val="center"/>
          </w:tcPr>
          <w:p w14:paraId="28955057">
            <w:pPr>
              <w:spacing w:line="240" w:lineRule="exact"/>
              <w:jc w:val="right"/>
              <w:rPr>
                <w:rFonts w:ascii="宋体" w:hAnsi="宋体" w:eastAsia="宋体" w:cs="宋体"/>
                <w:sz w:val="18"/>
                <w:szCs w:val="18"/>
              </w:rPr>
            </w:pPr>
            <w:r>
              <w:rPr>
                <w:rFonts w:ascii="宋体" w:hAnsi="宋体" w:eastAsia="宋体" w:cs="宋体"/>
                <w:sz w:val="18"/>
                <w:szCs w:val="18"/>
              </w:rPr>
              <w:t>127,094,361.54</w:t>
            </w:r>
          </w:p>
        </w:tc>
      </w:tr>
      <w:tr w14:paraId="5CABD1C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94EFD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19C1E5EC">
            <w:pPr>
              <w:spacing w:line="240" w:lineRule="exact"/>
              <w:jc w:val="right"/>
              <w:rPr>
                <w:rFonts w:ascii="宋体" w:hAnsi="宋体" w:eastAsia="宋体" w:cs="宋体"/>
                <w:sz w:val="18"/>
                <w:szCs w:val="18"/>
              </w:rPr>
            </w:pPr>
            <w:r>
              <w:rPr>
                <w:rFonts w:ascii="宋体" w:hAnsi="宋体" w:eastAsia="宋体" w:cs="宋体"/>
                <w:sz w:val="18"/>
                <w:szCs w:val="18"/>
              </w:rPr>
              <w:t>2,843,351.03</w:t>
            </w:r>
          </w:p>
        </w:tc>
        <w:tc>
          <w:tcPr>
            <w:tcW w:w="3213" w:type="dxa"/>
            <w:tcBorders>
              <w:top w:val="single" w:color="auto" w:sz="2" w:space="0"/>
              <w:left w:val="single" w:color="auto" w:sz="2" w:space="0"/>
              <w:bottom w:val="single" w:color="auto" w:sz="2" w:space="0"/>
              <w:right w:val="single" w:color="auto" w:sz="2" w:space="0"/>
            </w:tcBorders>
            <w:vAlign w:val="center"/>
          </w:tcPr>
          <w:p w14:paraId="3E9E5EE8">
            <w:pPr>
              <w:spacing w:line="240" w:lineRule="exact"/>
              <w:jc w:val="right"/>
              <w:rPr>
                <w:rFonts w:ascii="宋体" w:hAnsi="宋体" w:eastAsia="宋体" w:cs="宋体"/>
                <w:sz w:val="18"/>
                <w:szCs w:val="18"/>
              </w:rPr>
            </w:pPr>
            <w:r>
              <w:rPr>
                <w:rFonts w:ascii="宋体" w:hAnsi="宋体" w:eastAsia="宋体" w:cs="宋体"/>
                <w:sz w:val="18"/>
                <w:szCs w:val="18"/>
              </w:rPr>
              <w:t>10,320,297.72</w:t>
            </w:r>
          </w:p>
        </w:tc>
      </w:tr>
      <w:tr w14:paraId="1631022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AD36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3CACB45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88E4D1C">
            <w:pPr>
              <w:spacing w:line="240" w:lineRule="exact"/>
              <w:jc w:val="right"/>
              <w:rPr>
                <w:rFonts w:ascii="宋体" w:hAnsi="宋体" w:eastAsia="宋体" w:cs="宋体"/>
                <w:sz w:val="18"/>
                <w:szCs w:val="18"/>
              </w:rPr>
            </w:pPr>
          </w:p>
        </w:tc>
      </w:tr>
      <w:tr w14:paraId="656082F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2CDAA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60CDFB6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931C507">
            <w:pPr>
              <w:spacing w:line="240" w:lineRule="exact"/>
              <w:jc w:val="right"/>
              <w:rPr>
                <w:rFonts w:ascii="宋体" w:hAnsi="宋体" w:eastAsia="宋体" w:cs="宋体"/>
                <w:sz w:val="18"/>
                <w:szCs w:val="18"/>
              </w:rPr>
            </w:pPr>
          </w:p>
        </w:tc>
      </w:tr>
      <w:tr w14:paraId="04C099E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8E483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6775BFD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4EAFF2">
            <w:pPr>
              <w:spacing w:line="240" w:lineRule="exact"/>
              <w:jc w:val="right"/>
              <w:rPr>
                <w:rFonts w:ascii="宋体" w:hAnsi="宋体" w:eastAsia="宋体" w:cs="宋体"/>
                <w:sz w:val="18"/>
                <w:szCs w:val="18"/>
              </w:rPr>
            </w:pPr>
          </w:p>
        </w:tc>
      </w:tr>
      <w:tr w14:paraId="33C1ABB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DCF53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16B8A8C2">
            <w:pPr>
              <w:spacing w:line="240" w:lineRule="exact"/>
              <w:jc w:val="right"/>
              <w:rPr>
                <w:rFonts w:ascii="宋体" w:hAnsi="宋体" w:eastAsia="宋体" w:cs="宋体"/>
                <w:sz w:val="18"/>
                <w:szCs w:val="18"/>
              </w:rPr>
            </w:pPr>
            <w:r>
              <w:rPr>
                <w:rFonts w:ascii="宋体" w:hAnsi="宋体" w:eastAsia="宋体" w:cs="宋体"/>
                <w:sz w:val="18"/>
                <w:szCs w:val="18"/>
              </w:rPr>
              <w:t>4,358,746.39</w:t>
            </w:r>
          </w:p>
        </w:tc>
        <w:tc>
          <w:tcPr>
            <w:tcW w:w="3213" w:type="dxa"/>
            <w:tcBorders>
              <w:top w:val="single" w:color="auto" w:sz="2" w:space="0"/>
              <w:left w:val="single" w:color="auto" w:sz="2" w:space="0"/>
              <w:bottom w:val="single" w:color="auto" w:sz="2" w:space="0"/>
              <w:right w:val="single" w:color="auto" w:sz="2" w:space="0"/>
            </w:tcBorders>
            <w:vAlign w:val="center"/>
          </w:tcPr>
          <w:p w14:paraId="452EE987">
            <w:pPr>
              <w:spacing w:line="240" w:lineRule="exact"/>
              <w:jc w:val="right"/>
              <w:rPr>
                <w:rFonts w:ascii="宋体" w:hAnsi="宋体" w:eastAsia="宋体" w:cs="宋体"/>
                <w:sz w:val="18"/>
                <w:szCs w:val="18"/>
              </w:rPr>
            </w:pPr>
            <w:r>
              <w:rPr>
                <w:rFonts w:ascii="宋体" w:hAnsi="宋体" w:eastAsia="宋体" w:cs="宋体"/>
                <w:sz w:val="18"/>
                <w:szCs w:val="18"/>
              </w:rPr>
              <w:t>4,435,504.21</w:t>
            </w:r>
          </w:p>
        </w:tc>
      </w:tr>
      <w:tr w14:paraId="4BC7FD7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E59D38">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2ECD2BF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1D36B2">
            <w:pPr>
              <w:spacing w:line="240" w:lineRule="exact"/>
              <w:jc w:val="right"/>
              <w:rPr>
                <w:rFonts w:ascii="宋体" w:hAnsi="宋体" w:eastAsia="宋体" w:cs="宋体"/>
                <w:sz w:val="18"/>
                <w:szCs w:val="18"/>
              </w:rPr>
            </w:pPr>
          </w:p>
        </w:tc>
      </w:tr>
      <w:tr w14:paraId="70B3B3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539DE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6CDDF21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99E807B">
            <w:pPr>
              <w:spacing w:line="240" w:lineRule="exact"/>
              <w:jc w:val="right"/>
              <w:rPr>
                <w:rFonts w:ascii="宋体" w:hAnsi="宋体" w:eastAsia="宋体" w:cs="宋体"/>
                <w:sz w:val="18"/>
                <w:szCs w:val="18"/>
              </w:rPr>
            </w:pPr>
          </w:p>
        </w:tc>
      </w:tr>
      <w:tr w14:paraId="13AD900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07320C">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6417C26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8A1DFE">
            <w:pPr>
              <w:spacing w:line="240" w:lineRule="exact"/>
              <w:jc w:val="right"/>
              <w:rPr>
                <w:rFonts w:ascii="宋体" w:hAnsi="宋体" w:eastAsia="宋体" w:cs="宋体"/>
                <w:sz w:val="18"/>
                <w:szCs w:val="18"/>
              </w:rPr>
            </w:pPr>
          </w:p>
        </w:tc>
      </w:tr>
      <w:tr w14:paraId="2631010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7B7F5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10D1E15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BD7B53">
            <w:pPr>
              <w:spacing w:line="240" w:lineRule="exact"/>
              <w:jc w:val="right"/>
              <w:rPr>
                <w:rFonts w:ascii="宋体" w:hAnsi="宋体" w:eastAsia="宋体" w:cs="宋体"/>
                <w:sz w:val="18"/>
                <w:szCs w:val="18"/>
              </w:rPr>
            </w:pPr>
          </w:p>
        </w:tc>
      </w:tr>
      <w:tr w14:paraId="3677CC8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008C1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4D0BD49B">
            <w:pPr>
              <w:spacing w:line="240" w:lineRule="exact"/>
              <w:jc w:val="right"/>
              <w:rPr>
                <w:rFonts w:ascii="宋体" w:hAnsi="宋体" w:eastAsia="宋体" w:cs="宋体"/>
                <w:sz w:val="18"/>
                <w:szCs w:val="18"/>
              </w:rPr>
            </w:pPr>
            <w:r>
              <w:rPr>
                <w:rFonts w:ascii="宋体" w:hAnsi="宋体" w:eastAsia="宋体" w:cs="宋体"/>
                <w:sz w:val="18"/>
                <w:szCs w:val="18"/>
              </w:rPr>
              <w:t>1,595,551.68</w:t>
            </w:r>
          </w:p>
        </w:tc>
        <w:tc>
          <w:tcPr>
            <w:tcW w:w="3213" w:type="dxa"/>
            <w:tcBorders>
              <w:top w:val="single" w:color="auto" w:sz="2" w:space="0"/>
              <w:left w:val="single" w:color="auto" w:sz="2" w:space="0"/>
              <w:bottom w:val="single" w:color="auto" w:sz="2" w:space="0"/>
              <w:right w:val="single" w:color="auto" w:sz="2" w:space="0"/>
            </w:tcBorders>
            <w:vAlign w:val="center"/>
          </w:tcPr>
          <w:p w14:paraId="59E80E41">
            <w:pPr>
              <w:spacing w:line="240" w:lineRule="exact"/>
              <w:jc w:val="right"/>
              <w:rPr>
                <w:rFonts w:ascii="宋体" w:hAnsi="宋体" w:eastAsia="宋体" w:cs="宋体"/>
                <w:sz w:val="18"/>
                <w:szCs w:val="18"/>
              </w:rPr>
            </w:pPr>
            <w:r>
              <w:rPr>
                <w:rFonts w:ascii="宋体" w:hAnsi="宋体" w:eastAsia="宋体" w:cs="宋体"/>
                <w:sz w:val="18"/>
                <w:szCs w:val="18"/>
              </w:rPr>
              <w:t>565,957.09</w:t>
            </w:r>
          </w:p>
        </w:tc>
      </w:tr>
      <w:tr w14:paraId="460FB88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EEF72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668C0993">
            <w:pPr>
              <w:spacing w:line="240" w:lineRule="exact"/>
              <w:jc w:val="right"/>
              <w:rPr>
                <w:rFonts w:ascii="宋体" w:hAnsi="宋体" w:eastAsia="宋体" w:cs="宋体"/>
                <w:sz w:val="18"/>
                <w:szCs w:val="18"/>
              </w:rPr>
            </w:pPr>
            <w:r>
              <w:rPr>
                <w:rFonts w:ascii="宋体" w:hAnsi="宋体" w:eastAsia="宋体" w:cs="宋体"/>
                <w:sz w:val="18"/>
                <w:szCs w:val="18"/>
              </w:rPr>
              <w:t>13,171,179.68</w:t>
            </w:r>
          </w:p>
        </w:tc>
        <w:tc>
          <w:tcPr>
            <w:tcW w:w="3213" w:type="dxa"/>
            <w:tcBorders>
              <w:top w:val="single" w:color="auto" w:sz="2" w:space="0"/>
              <w:left w:val="single" w:color="auto" w:sz="2" w:space="0"/>
              <w:bottom w:val="single" w:color="auto" w:sz="2" w:space="0"/>
              <w:right w:val="single" w:color="auto" w:sz="2" w:space="0"/>
            </w:tcBorders>
            <w:vAlign w:val="center"/>
          </w:tcPr>
          <w:p w14:paraId="25584304">
            <w:pPr>
              <w:spacing w:line="240" w:lineRule="exact"/>
              <w:jc w:val="right"/>
              <w:rPr>
                <w:rFonts w:ascii="宋体" w:hAnsi="宋体" w:eastAsia="宋体" w:cs="宋体"/>
                <w:sz w:val="18"/>
                <w:szCs w:val="18"/>
              </w:rPr>
            </w:pPr>
            <w:r>
              <w:rPr>
                <w:rFonts w:ascii="宋体" w:hAnsi="宋体" w:eastAsia="宋体" w:cs="宋体"/>
                <w:sz w:val="18"/>
                <w:szCs w:val="18"/>
              </w:rPr>
              <w:t>13,172,185.00</w:t>
            </w:r>
          </w:p>
        </w:tc>
      </w:tr>
      <w:tr w14:paraId="0195407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272F9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4E58B8AC">
            <w:pPr>
              <w:spacing w:line="240" w:lineRule="exact"/>
              <w:jc w:val="right"/>
              <w:rPr>
                <w:rFonts w:ascii="宋体" w:hAnsi="宋体" w:eastAsia="宋体" w:cs="宋体"/>
                <w:sz w:val="18"/>
                <w:szCs w:val="18"/>
              </w:rPr>
            </w:pPr>
            <w:r>
              <w:rPr>
                <w:rFonts w:ascii="宋体" w:hAnsi="宋体" w:eastAsia="宋体" w:cs="宋体"/>
                <w:sz w:val="18"/>
                <w:szCs w:val="18"/>
              </w:rPr>
              <w:t>3,173,500.00</w:t>
            </w:r>
          </w:p>
        </w:tc>
        <w:tc>
          <w:tcPr>
            <w:tcW w:w="3213" w:type="dxa"/>
            <w:tcBorders>
              <w:top w:val="single" w:color="auto" w:sz="2" w:space="0"/>
              <w:left w:val="single" w:color="auto" w:sz="2" w:space="0"/>
              <w:bottom w:val="single" w:color="auto" w:sz="2" w:space="0"/>
              <w:right w:val="single" w:color="auto" w:sz="2" w:space="0"/>
            </w:tcBorders>
            <w:vAlign w:val="center"/>
          </w:tcPr>
          <w:p w14:paraId="3CB18703">
            <w:pPr>
              <w:spacing w:line="240" w:lineRule="exact"/>
              <w:jc w:val="right"/>
              <w:rPr>
                <w:rFonts w:ascii="宋体" w:hAnsi="宋体" w:eastAsia="宋体" w:cs="宋体"/>
                <w:sz w:val="18"/>
                <w:szCs w:val="18"/>
              </w:rPr>
            </w:pPr>
            <w:r>
              <w:rPr>
                <w:rFonts w:ascii="宋体" w:hAnsi="宋体" w:eastAsia="宋体" w:cs="宋体"/>
                <w:sz w:val="18"/>
                <w:szCs w:val="18"/>
              </w:rPr>
              <w:t>1,940,000.00</w:t>
            </w:r>
          </w:p>
        </w:tc>
      </w:tr>
      <w:tr w14:paraId="2D7253B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D75F9C">
            <w:pPr>
              <w:spacing w:before="40" w:after="40" w:line="240" w:lineRule="exact"/>
              <w:rPr>
                <w:rFonts w:ascii="宋体" w:hAnsi="宋体" w:eastAsia="宋体" w:cs="宋体"/>
                <w:sz w:val="18"/>
                <w:szCs w:val="18"/>
              </w:rPr>
            </w:pPr>
            <w:r>
              <w:rPr>
                <w:rFonts w:ascii="宋体" w:hAnsi="宋体" w:eastAsia="宋体" w:cs="宋体"/>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427BD4F7">
            <w:pPr>
              <w:spacing w:line="240" w:lineRule="exact"/>
              <w:jc w:val="right"/>
              <w:rPr>
                <w:rFonts w:ascii="宋体" w:hAnsi="宋体" w:eastAsia="宋体" w:cs="宋体"/>
                <w:sz w:val="18"/>
                <w:szCs w:val="18"/>
              </w:rPr>
            </w:pPr>
            <w:r>
              <w:rPr>
                <w:rFonts w:ascii="宋体" w:hAnsi="宋体" w:eastAsia="宋体" w:cs="宋体"/>
                <w:sz w:val="18"/>
                <w:szCs w:val="18"/>
              </w:rPr>
              <w:t>345,928,531.24</w:t>
            </w:r>
          </w:p>
        </w:tc>
        <w:tc>
          <w:tcPr>
            <w:tcW w:w="3213" w:type="dxa"/>
            <w:tcBorders>
              <w:top w:val="single" w:color="auto" w:sz="2" w:space="0"/>
              <w:left w:val="single" w:color="auto" w:sz="2" w:space="0"/>
              <w:bottom w:val="single" w:color="auto" w:sz="2" w:space="0"/>
              <w:right w:val="single" w:color="auto" w:sz="2" w:space="0"/>
            </w:tcBorders>
            <w:vAlign w:val="center"/>
          </w:tcPr>
          <w:p w14:paraId="23A5DF40">
            <w:pPr>
              <w:spacing w:line="240" w:lineRule="exact"/>
              <w:jc w:val="right"/>
              <w:rPr>
                <w:rFonts w:ascii="宋体" w:hAnsi="宋体" w:eastAsia="宋体" w:cs="宋体"/>
                <w:sz w:val="18"/>
                <w:szCs w:val="18"/>
              </w:rPr>
            </w:pPr>
            <w:r>
              <w:rPr>
                <w:rFonts w:ascii="宋体" w:hAnsi="宋体" w:eastAsia="宋体" w:cs="宋体"/>
                <w:sz w:val="18"/>
                <w:szCs w:val="18"/>
              </w:rPr>
              <w:t>347,349,833.27</w:t>
            </w:r>
          </w:p>
        </w:tc>
      </w:tr>
      <w:tr w14:paraId="4E6EE71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029FE6">
            <w:pPr>
              <w:spacing w:before="40" w:after="40" w:line="240" w:lineRule="exact"/>
              <w:rPr>
                <w:rFonts w:ascii="宋体" w:hAnsi="宋体" w:eastAsia="宋体" w:cs="宋体"/>
                <w:sz w:val="18"/>
                <w:szCs w:val="18"/>
              </w:rPr>
            </w:pPr>
            <w:r>
              <w:rPr>
                <w:rFonts w:ascii="宋体" w:hAnsi="宋体" w:eastAsia="宋体" w:cs="宋体"/>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7DBCFD2A">
            <w:pPr>
              <w:spacing w:line="240" w:lineRule="exact"/>
              <w:jc w:val="right"/>
              <w:rPr>
                <w:rFonts w:ascii="宋体" w:hAnsi="宋体" w:eastAsia="宋体" w:cs="宋体"/>
                <w:sz w:val="18"/>
                <w:szCs w:val="18"/>
              </w:rPr>
            </w:pPr>
            <w:r>
              <w:rPr>
                <w:rFonts w:ascii="宋体" w:hAnsi="宋体" w:eastAsia="宋体" w:cs="宋体"/>
                <w:sz w:val="18"/>
                <w:szCs w:val="18"/>
              </w:rPr>
              <w:t>952,204,248.46</w:t>
            </w:r>
          </w:p>
        </w:tc>
        <w:tc>
          <w:tcPr>
            <w:tcW w:w="3213" w:type="dxa"/>
            <w:tcBorders>
              <w:top w:val="single" w:color="auto" w:sz="2" w:space="0"/>
              <w:left w:val="single" w:color="auto" w:sz="2" w:space="0"/>
              <w:bottom w:val="single" w:color="auto" w:sz="2" w:space="0"/>
              <w:right w:val="single" w:color="auto" w:sz="2" w:space="0"/>
            </w:tcBorders>
            <w:vAlign w:val="center"/>
          </w:tcPr>
          <w:p w14:paraId="56492074">
            <w:pPr>
              <w:spacing w:line="240" w:lineRule="exact"/>
              <w:jc w:val="right"/>
              <w:rPr>
                <w:rFonts w:ascii="宋体" w:hAnsi="宋体" w:eastAsia="宋体" w:cs="宋体"/>
                <w:sz w:val="18"/>
                <w:szCs w:val="18"/>
              </w:rPr>
            </w:pPr>
            <w:r>
              <w:rPr>
                <w:rFonts w:ascii="宋体" w:hAnsi="宋体" w:eastAsia="宋体" w:cs="宋体"/>
                <w:sz w:val="18"/>
                <w:szCs w:val="18"/>
              </w:rPr>
              <w:t>926,558,573.00</w:t>
            </w:r>
          </w:p>
        </w:tc>
      </w:tr>
      <w:tr w14:paraId="1D3466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A36AB8">
            <w:pPr>
              <w:spacing w:before="40" w:after="40" w:line="240" w:lineRule="exac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41CBC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32FD82"/>
        </w:tc>
      </w:tr>
      <w:tr w14:paraId="43A8CF4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429E9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5CCB6A7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C110A9">
            <w:pPr>
              <w:spacing w:line="240" w:lineRule="exact"/>
              <w:jc w:val="right"/>
              <w:rPr>
                <w:rFonts w:ascii="宋体" w:hAnsi="宋体" w:eastAsia="宋体" w:cs="宋体"/>
                <w:sz w:val="18"/>
                <w:szCs w:val="18"/>
              </w:rPr>
            </w:pPr>
          </w:p>
        </w:tc>
      </w:tr>
      <w:tr w14:paraId="1FFB77E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25A7C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向中央银行借款</w:t>
            </w:r>
          </w:p>
        </w:tc>
        <w:tc>
          <w:tcPr>
            <w:tcW w:w="3213" w:type="dxa"/>
            <w:tcBorders>
              <w:top w:val="single" w:color="auto" w:sz="2" w:space="0"/>
              <w:left w:val="single" w:color="auto" w:sz="2" w:space="0"/>
              <w:bottom w:val="single" w:color="auto" w:sz="2" w:space="0"/>
              <w:right w:val="single" w:color="auto" w:sz="2" w:space="0"/>
            </w:tcBorders>
            <w:vAlign w:val="center"/>
          </w:tcPr>
          <w:p w14:paraId="45A1350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7B79C6">
            <w:pPr>
              <w:spacing w:line="240" w:lineRule="exact"/>
              <w:jc w:val="right"/>
              <w:rPr>
                <w:rFonts w:ascii="宋体" w:hAnsi="宋体" w:eastAsia="宋体" w:cs="宋体"/>
                <w:sz w:val="18"/>
                <w:szCs w:val="18"/>
              </w:rPr>
            </w:pPr>
          </w:p>
        </w:tc>
      </w:tr>
      <w:tr w14:paraId="2248D48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346E2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拆入资金</w:t>
            </w:r>
          </w:p>
        </w:tc>
        <w:tc>
          <w:tcPr>
            <w:tcW w:w="3213" w:type="dxa"/>
            <w:tcBorders>
              <w:top w:val="single" w:color="auto" w:sz="2" w:space="0"/>
              <w:left w:val="single" w:color="auto" w:sz="2" w:space="0"/>
              <w:bottom w:val="single" w:color="auto" w:sz="2" w:space="0"/>
              <w:right w:val="single" w:color="auto" w:sz="2" w:space="0"/>
            </w:tcBorders>
            <w:vAlign w:val="center"/>
          </w:tcPr>
          <w:p w14:paraId="2F72AAB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0BA1BE">
            <w:pPr>
              <w:spacing w:line="240" w:lineRule="exact"/>
              <w:jc w:val="right"/>
              <w:rPr>
                <w:rFonts w:ascii="宋体" w:hAnsi="宋体" w:eastAsia="宋体" w:cs="宋体"/>
                <w:sz w:val="18"/>
                <w:szCs w:val="18"/>
              </w:rPr>
            </w:pPr>
          </w:p>
        </w:tc>
      </w:tr>
      <w:tr w14:paraId="267C160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0D5AF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1E668F9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A05F7D">
            <w:pPr>
              <w:spacing w:line="240" w:lineRule="exact"/>
              <w:jc w:val="right"/>
              <w:rPr>
                <w:rFonts w:ascii="宋体" w:hAnsi="宋体" w:eastAsia="宋体" w:cs="宋体"/>
                <w:sz w:val="18"/>
                <w:szCs w:val="18"/>
              </w:rPr>
            </w:pPr>
          </w:p>
        </w:tc>
      </w:tr>
      <w:tr w14:paraId="5A8CA96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4E4C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16AA6E6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5A4EC5">
            <w:pPr>
              <w:spacing w:line="240" w:lineRule="exact"/>
              <w:jc w:val="right"/>
              <w:rPr>
                <w:rFonts w:ascii="宋体" w:hAnsi="宋体" w:eastAsia="宋体" w:cs="宋体"/>
                <w:sz w:val="18"/>
                <w:szCs w:val="18"/>
              </w:rPr>
            </w:pPr>
          </w:p>
        </w:tc>
      </w:tr>
      <w:tr w14:paraId="6C3704E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4ACD3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0DAF600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044E28">
            <w:pPr>
              <w:spacing w:line="240" w:lineRule="exact"/>
              <w:jc w:val="right"/>
              <w:rPr>
                <w:rFonts w:ascii="宋体" w:hAnsi="宋体" w:eastAsia="宋体" w:cs="宋体"/>
                <w:sz w:val="18"/>
                <w:szCs w:val="18"/>
              </w:rPr>
            </w:pPr>
          </w:p>
        </w:tc>
      </w:tr>
      <w:tr w14:paraId="2D3E921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C52BB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482A5B00">
            <w:pPr>
              <w:spacing w:line="240" w:lineRule="exact"/>
              <w:jc w:val="right"/>
              <w:rPr>
                <w:rFonts w:ascii="宋体" w:hAnsi="宋体" w:eastAsia="宋体" w:cs="宋体"/>
                <w:sz w:val="18"/>
                <w:szCs w:val="18"/>
              </w:rPr>
            </w:pPr>
            <w:r>
              <w:rPr>
                <w:rFonts w:ascii="宋体" w:hAnsi="宋体" w:eastAsia="宋体" w:cs="宋体"/>
                <w:sz w:val="18"/>
                <w:szCs w:val="18"/>
              </w:rPr>
              <w:t>20,314,701.82</w:t>
            </w:r>
          </w:p>
        </w:tc>
        <w:tc>
          <w:tcPr>
            <w:tcW w:w="3213" w:type="dxa"/>
            <w:tcBorders>
              <w:top w:val="single" w:color="auto" w:sz="2" w:space="0"/>
              <w:left w:val="single" w:color="auto" w:sz="2" w:space="0"/>
              <w:bottom w:val="single" w:color="auto" w:sz="2" w:space="0"/>
              <w:right w:val="single" w:color="auto" w:sz="2" w:space="0"/>
            </w:tcBorders>
            <w:vAlign w:val="center"/>
          </w:tcPr>
          <w:p w14:paraId="1BF1FB33">
            <w:pPr>
              <w:spacing w:line="240" w:lineRule="exact"/>
              <w:jc w:val="right"/>
              <w:rPr>
                <w:rFonts w:ascii="宋体" w:hAnsi="宋体" w:eastAsia="宋体" w:cs="宋体"/>
                <w:sz w:val="18"/>
                <w:szCs w:val="18"/>
              </w:rPr>
            </w:pPr>
            <w:r>
              <w:rPr>
                <w:rFonts w:ascii="宋体" w:hAnsi="宋体" w:eastAsia="宋体" w:cs="宋体"/>
                <w:sz w:val="18"/>
                <w:szCs w:val="18"/>
              </w:rPr>
              <w:t>19,152,257.56</w:t>
            </w:r>
          </w:p>
        </w:tc>
      </w:tr>
      <w:tr w14:paraId="064E702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776FE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050C817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D004A1">
            <w:pPr>
              <w:spacing w:line="240" w:lineRule="exact"/>
              <w:jc w:val="right"/>
              <w:rPr>
                <w:rFonts w:ascii="宋体" w:hAnsi="宋体" w:eastAsia="宋体" w:cs="宋体"/>
                <w:sz w:val="18"/>
                <w:szCs w:val="18"/>
              </w:rPr>
            </w:pPr>
          </w:p>
        </w:tc>
      </w:tr>
      <w:tr w14:paraId="48545E2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305B1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7C231E33">
            <w:pPr>
              <w:spacing w:line="240" w:lineRule="exact"/>
              <w:jc w:val="right"/>
              <w:rPr>
                <w:rFonts w:ascii="宋体" w:hAnsi="宋体" w:eastAsia="宋体" w:cs="宋体"/>
                <w:sz w:val="18"/>
                <w:szCs w:val="18"/>
              </w:rPr>
            </w:pPr>
            <w:r>
              <w:rPr>
                <w:rFonts w:ascii="宋体" w:hAnsi="宋体" w:eastAsia="宋体" w:cs="宋体"/>
                <w:sz w:val="18"/>
                <w:szCs w:val="18"/>
              </w:rPr>
              <w:t>653,075.17</w:t>
            </w:r>
          </w:p>
        </w:tc>
        <w:tc>
          <w:tcPr>
            <w:tcW w:w="3213" w:type="dxa"/>
            <w:tcBorders>
              <w:top w:val="single" w:color="auto" w:sz="2" w:space="0"/>
              <w:left w:val="single" w:color="auto" w:sz="2" w:space="0"/>
              <w:bottom w:val="single" w:color="auto" w:sz="2" w:space="0"/>
              <w:right w:val="single" w:color="auto" w:sz="2" w:space="0"/>
            </w:tcBorders>
            <w:vAlign w:val="center"/>
          </w:tcPr>
          <w:p w14:paraId="6A4A881B">
            <w:pPr>
              <w:spacing w:line="240" w:lineRule="exact"/>
              <w:jc w:val="right"/>
              <w:rPr>
                <w:rFonts w:ascii="宋体" w:hAnsi="宋体" w:eastAsia="宋体" w:cs="宋体"/>
                <w:sz w:val="18"/>
                <w:szCs w:val="18"/>
              </w:rPr>
            </w:pPr>
            <w:r>
              <w:rPr>
                <w:rFonts w:ascii="宋体" w:hAnsi="宋体" w:eastAsia="宋体" w:cs="宋体"/>
                <w:sz w:val="18"/>
                <w:szCs w:val="18"/>
              </w:rPr>
              <w:t>3,129,333.37</w:t>
            </w:r>
          </w:p>
        </w:tc>
      </w:tr>
      <w:tr w14:paraId="625E926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AC0E8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卖出回购金融资产款</w:t>
            </w:r>
          </w:p>
        </w:tc>
        <w:tc>
          <w:tcPr>
            <w:tcW w:w="3213" w:type="dxa"/>
            <w:tcBorders>
              <w:top w:val="single" w:color="auto" w:sz="2" w:space="0"/>
              <w:left w:val="single" w:color="auto" w:sz="2" w:space="0"/>
              <w:bottom w:val="single" w:color="auto" w:sz="2" w:space="0"/>
              <w:right w:val="single" w:color="auto" w:sz="2" w:space="0"/>
            </w:tcBorders>
            <w:vAlign w:val="center"/>
          </w:tcPr>
          <w:p w14:paraId="4EB6122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E35C74">
            <w:pPr>
              <w:spacing w:line="240" w:lineRule="exact"/>
              <w:jc w:val="right"/>
              <w:rPr>
                <w:rFonts w:ascii="宋体" w:hAnsi="宋体" w:eastAsia="宋体" w:cs="宋体"/>
                <w:sz w:val="18"/>
                <w:szCs w:val="18"/>
              </w:rPr>
            </w:pPr>
          </w:p>
        </w:tc>
      </w:tr>
      <w:tr w14:paraId="151F255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233F1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吸收存款及同业存放</w:t>
            </w:r>
          </w:p>
        </w:tc>
        <w:tc>
          <w:tcPr>
            <w:tcW w:w="3213" w:type="dxa"/>
            <w:tcBorders>
              <w:top w:val="single" w:color="auto" w:sz="2" w:space="0"/>
              <w:left w:val="single" w:color="auto" w:sz="2" w:space="0"/>
              <w:bottom w:val="single" w:color="auto" w:sz="2" w:space="0"/>
              <w:right w:val="single" w:color="auto" w:sz="2" w:space="0"/>
            </w:tcBorders>
            <w:vAlign w:val="center"/>
          </w:tcPr>
          <w:p w14:paraId="20389F7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49611B">
            <w:pPr>
              <w:spacing w:line="240" w:lineRule="exact"/>
              <w:jc w:val="right"/>
              <w:rPr>
                <w:rFonts w:ascii="宋体" w:hAnsi="宋体" w:eastAsia="宋体" w:cs="宋体"/>
                <w:sz w:val="18"/>
                <w:szCs w:val="18"/>
              </w:rPr>
            </w:pPr>
          </w:p>
        </w:tc>
      </w:tr>
      <w:tr w14:paraId="0C0EAB8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E8875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代理买卖证券款</w:t>
            </w:r>
          </w:p>
        </w:tc>
        <w:tc>
          <w:tcPr>
            <w:tcW w:w="3213" w:type="dxa"/>
            <w:tcBorders>
              <w:top w:val="single" w:color="auto" w:sz="2" w:space="0"/>
              <w:left w:val="single" w:color="auto" w:sz="2" w:space="0"/>
              <w:bottom w:val="single" w:color="auto" w:sz="2" w:space="0"/>
              <w:right w:val="single" w:color="auto" w:sz="2" w:space="0"/>
            </w:tcBorders>
            <w:vAlign w:val="center"/>
          </w:tcPr>
          <w:p w14:paraId="019C334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67E024">
            <w:pPr>
              <w:spacing w:line="240" w:lineRule="exact"/>
              <w:jc w:val="right"/>
              <w:rPr>
                <w:rFonts w:ascii="宋体" w:hAnsi="宋体" w:eastAsia="宋体" w:cs="宋体"/>
                <w:sz w:val="18"/>
                <w:szCs w:val="18"/>
              </w:rPr>
            </w:pPr>
          </w:p>
        </w:tc>
      </w:tr>
      <w:tr w14:paraId="073DDE9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D664C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代理承销证券款</w:t>
            </w:r>
          </w:p>
        </w:tc>
        <w:tc>
          <w:tcPr>
            <w:tcW w:w="3213" w:type="dxa"/>
            <w:tcBorders>
              <w:top w:val="single" w:color="auto" w:sz="2" w:space="0"/>
              <w:left w:val="single" w:color="auto" w:sz="2" w:space="0"/>
              <w:bottom w:val="single" w:color="auto" w:sz="2" w:space="0"/>
              <w:right w:val="single" w:color="auto" w:sz="2" w:space="0"/>
            </w:tcBorders>
            <w:vAlign w:val="center"/>
          </w:tcPr>
          <w:p w14:paraId="20E51C3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78D988">
            <w:pPr>
              <w:spacing w:line="240" w:lineRule="exact"/>
              <w:jc w:val="right"/>
              <w:rPr>
                <w:rFonts w:ascii="宋体" w:hAnsi="宋体" w:eastAsia="宋体" w:cs="宋体"/>
                <w:sz w:val="18"/>
                <w:szCs w:val="18"/>
              </w:rPr>
            </w:pPr>
          </w:p>
        </w:tc>
      </w:tr>
      <w:tr w14:paraId="6760E53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90484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193293D5">
            <w:pPr>
              <w:spacing w:line="240" w:lineRule="exact"/>
              <w:jc w:val="right"/>
              <w:rPr>
                <w:rFonts w:ascii="宋体" w:hAnsi="宋体" w:eastAsia="宋体" w:cs="宋体"/>
                <w:sz w:val="18"/>
                <w:szCs w:val="18"/>
              </w:rPr>
            </w:pPr>
            <w:r>
              <w:rPr>
                <w:rFonts w:ascii="宋体" w:hAnsi="宋体" w:eastAsia="宋体" w:cs="宋体"/>
                <w:sz w:val="18"/>
                <w:szCs w:val="18"/>
              </w:rPr>
              <w:t>1,600,944.02</w:t>
            </w:r>
          </w:p>
        </w:tc>
        <w:tc>
          <w:tcPr>
            <w:tcW w:w="3213" w:type="dxa"/>
            <w:tcBorders>
              <w:top w:val="single" w:color="auto" w:sz="2" w:space="0"/>
              <w:left w:val="single" w:color="auto" w:sz="2" w:space="0"/>
              <w:bottom w:val="single" w:color="auto" w:sz="2" w:space="0"/>
              <w:right w:val="single" w:color="auto" w:sz="2" w:space="0"/>
            </w:tcBorders>
            <w:vAlign w:val="center"/>
          </w:tcPr>
          <w:p w14:paraId="445E0E8C">
            <w:pPr>
              <w:spacing w:line="240" w:lineRule="exact"/>
              <w:jc w:val="right"/>
              <w:rPr>
                <w:rFonts w:ascii="宋体" w:hAnsi="宋体" w:eastAsia="宋体" w:cs="宋体"/>
                <w:sz w:val="18"/>
                <w:szCs w:val="18"/>
              </w:rPr>
            </w:pPr>
            <w:r>
              <w:rPr>
                <w:rFonts w:ascii="宋体" w:hAnsi="宋体" w:eastAsia="宋体" w:cs="宋体"/>
                <w:sz w:val="18"/>
                <w:szCs w:val="18"/>
              </w:rPr>
              <w:t>5,622,551.00</w:t>
            </w:r>
          </w:p>
        </w:tc>
      </w:tr>
      <w:tr w14:paraId="18E485E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46D02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36ABC866">
            <w:pPr>
              <w:spacing w:line="240" w:lineRule="exact"/>
              <w:jc w:val="right"/>
              <w:rPr>
                <w:rFonts w:ascii="宋体" w:hAnsi="宋体" w:eastAsia="宋体" w:cs="宋体"/>
                <w:sz w:val="18"/>
                <w:szCs w:val="18"/>
              </w:rPr>
            </w:pPr>
            <w:r>
              <w:rPr>
                <w:rFonts w:ascii="宋体" w:hAnsi="宋体" w:eastAsia="宋体" w:cs="宋体"/>
                <w:sz w:val="18"/>
                <w:szCs w:val="18"/>
              </w:rPr>
              <w:t>10,674,412.59</w:t>
            </w:r>
          </w:p>
        </w:tc>
        <w:tc>
          <w:tcPr>
            <w:tcW w:w="3213" w:type="dxa"/>
            <w:tcBorders>
              <w:top w:val="single" w:color="auto" w:sz="2" w:space="0"/>
              <w:left w:val="single" w:color="auto" w:sz="2" w:space="0"/>
              <w:bottom w:val="single" w:color="auto" w:sz="2" w:space="0"/>
              <w:right w:val="single" w:color="auto" w:sz="2" w:space="0"/>
            </w:tcBorders>
            <w:vAlign w:val="center"/>
          </w:tcPr>
          <w:p w14:paraId="7733CA4B">
            <w:pPr>
              <w:spacing w:line="240" w:lineRule="exact"/>
              <w:jc w:val="right"/>
              <w:rPr>
                <w:rFonts w:ascii="宋体" w:hAnsi="宋体" w:eastAsia="宋体" w:cs="宋体"/>
                <w:sz w:val="18"/>
                <w:szCs w:val="18"/>
              </w:rPr>
            </w:pPr>
            <w:r>
              <w:rPr>
                <w:rFonts w:ascii="宋体" w:hAnsi="宋体" w:eastAsia="宋体" w:cs="宋体"/>
                <w:sz w:val="18"/>
                <w:szCs w:val="18"/>
              </w:rPr>
              <w:t>6,337,241.71</w:t>
            </w:r>
          </w:p>
        </w:tc>
      </w:tr>
      <w:tr w14:paraId="115B803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F19CB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7D155830">
            <w:pPr>
              <w:spacing w:line="240" w:lineRule="exact"/>
              <w:jc w:val="right"/>
              <w:rPr>
                <w:rFonts w:ascii="宋体" w:hAnsi="宋体" w:eastAsia="宋体" w:cs="宋体"/>
                <w:sz w:val="18"/>
                <w:szCs w:val="18"/>
              </w:rPr>
            </w:pPr>
            <w:r>
              <w:rPr>
                <w:rFonts w:ascii="宋体" w:hAnsi="宋体" w:eastAsia="宋体" w:cs="宋体"/>
                <w:sz w:val="18"/>
                <w:szCs w:val="18"/>
              </w:rPr>
              <w:t>307,348,836.66</w:t>
            </w:r>
          </w:p>
        </w:tc>
        <w:tc>
          <w:tcPr>
            <w:tcW w:w="3213" w:type="dxa"/>
            <w:tcBorders>
              <w:top w:val="single" w:color="auto" w:sz="2" w:space="0"/>
              <w:left w:val="single" w:color="auto" w:sz="2" w:space="0"/>
              <w:bottom w:val="single" w:color="auto" w:sz="2" w:space="0"/>
              <w:right w:val="single" w:color="auto" w:sz="2" w:space="0"/>
            </w:tcBorders>
            <w:vAlign w:val="center"/>
          </w:tcPr>
          <w:p w14:paraId="36E52F7C">
            <w:pPr>
              <w:spacing w:line="240" w:lineRule="exact"/>
              <w:jc w:val="right"/>
              <w:rPr>
                <w:rFonts w:ascii="宋体" w:hAnsi="宋体" w:eastAsia="宋体" w:cs="宋体"/>
                <w:sz w:val="18"/>
                <w:szCs w:val="18"/>
              </w:rPr>
            </w:pPr>
            <w:r>
              <w:rPr>
                <w:rFonts w:ascii="宋体" w:hAnsi="宋体" w:eastAsia="宋体" w:cs="宋体"/>
                <w:sz w:val="18"/>
                <w:szCs w:val="18"/>
              </w:rPr>
              <w:t>311,894,623.77</w:t>
            </w:r>
          </w:p>
        </w:tc>
      </w:tr>
      <w:tr w14:paraId="015C0BC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5375FA">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62E2058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FA38A7">
            <w:pPr>
              <w:spacing w:line="240" w:lineRule="exact"/>
              <w:jc w:val="right"/>
              <w:rPr>
                <w:rFonts w:ascii="宋体" w:hAnsi="宋体" w:eastAsia="宋体" w:cs="宋体"/>
                <w:sz w:val="18"/>
                <w:szCs w:val="18"/>
              </w:rPr>
            </w:pPr>
          </w:p>
        </w:tc>
      </w:tr>
      <w:tr w14:paraId="653C4BC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3C921B">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05BDF439">
            <w:pPr>
              <w:spacing w:line="240" w:lineRule="exact"/>
              <w:jc w:val="right"/>
              <w:rPr>
                <w:rFonts w:ascii="宋体" w:hAnsi="宋体" w:eastAsia="宋体" w:cs="宋体"/>
                <w:sz w:val="18"/>
                <w:szCs w:val="18"/>
              </w:rPr>
            </w:pPr>
            <w:r>
              <w:rPr>
                <w:rFonts w:ascii="宋体" w:hAnsi="宋体" w:eastAsia="宋体" w:cs="宋体"/>
                <w:sz w:val="18"/>
                <w:szCs w:val="18"/>
              </w:rPr>
              <w:t>856.39</w:t>
            </w:r>
          </w:p>
        </w:tc>
        <w:tc>
          <w:tcPr>
            <w:tcW w:w="3213" w:type="dxa"/>
            <w:tcBorders>
              <w:top w:val="single" w:color="auto" w:sz="2" w:space="0"/>
              <w:left w:val="single" w:color="auto" w:sz="2" w:space="0"/>
              <w:bottom w:val="single" w:color="auto" w:sz="2" w:space="0"/>
              <w:right w:val="single" w:color="auto" w:sz="2" w:space="0"/>
            </w:tcBorders>
            <w:vAlign w:val="center"/>
          </w:tcPr>
          <w:p w14:paraId="634EE88D">
            <w:pPr>
              <w:spacing w:line="240" w:lineRule="exact"/>
              <w:jc w:val="right"/>
              <w:rPr>
                <w:rFonts w:ascii="宋体" w:hAnsi="宋体" w:eastAsia="宋体" w:cs="宋体"/>
                <w:sz w:val="18"/>
                <w:szCs w:val="18"/>
              </w:rPr>
            </w:pPr>
            <w:r>
              <w:rPr>
                <w:rFonts w:ascii="宋体" w:hAnsi="宋体" w:eastAsia="宋体" w:cs="宋体"/>
                <w:sz w:val="18"/>
                <w:szCs w:val="18"/>
              </w:rPr>
              <w:t>856.39</w:t>
            </w:r>
          </w:p>
        </w:tc>
      </w:tr>
      <w:tr w14:paraId="7064159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32FF7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应付手续费及佣金</w:t>
            </w:r>
          </w:p>
        </w:tc>
        <w:tc>
          <w:tcPr>
            <w:tcW w:w="3213" w:type="dxa"/>
            <w:tcBorders>
              <w:top w:val="single" w:color="auto" w:sz="2" w:space="0"/>
              <w:left w:val="single" w:color="auto" w:sz="2" w:space="0"/>
              <w:bottom w:val="single" w:color="auto" w:sz="2" w:space="0"/>
              <w:right w:val="single" w:color="auto" w:sz="2" w:space="0"/>
            </w:tcBorders>
            <w:vAlign w:val="center"/>
          </w:tcPr>
          <w:p w14:paraId="207FFFC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983626E">
            <w:pPr>
              <w:spacing w:line="240" w:lineRule="exact"/>
              <w:jc w:val="right"/>
              <w:rPr>
                <w:rFonts w:ascii="宋体" w:hAnsi="宋体" w:eastAsia="宋体" w:cs="宋体"/>
                <w:sz w:val="18"/>
                <w:szCs w:val="18"/>
              </w:rPr>
            </w:pPr>
          </w:p>
        </w:tc>
      </w:tr>
      <w:tr w14:paraId="18BB65D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9C1BF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61E9A6E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B3B88A">
            <w:pPr>
              <w:spacing w:line="240" w:lineRule="exact"/>
              <w:jc w:val="right"/>
              <w:rPr>
                <w:rFonts w:ascii="宋体" w:hAnsi="宋体" w:eastAsia="宋体" w:cs="宋体"/>
                <w:sz w:val="18"/>
                <w:szCs w:val="18"/>
              </w:rPr>
            </w:pPr>
          </w:p>
        </w:tc>
      </w:tr>
      <w:tr w14:paraId="0D8C76C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3DDB0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2808FFD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C4C1347">
            <w:pPr>
              <w:spacing w:line="240" w:lineRule="exact"/>
              <w:jc w:val="right"/>
              <w:rPr>
                <w:rFonts w:ascii="宋体" w:hAnsi="宋体" w:eastAsia="宋体" w:cs="宋体"/>
                <w:sz w:val="18"/>
                <w:szCs w:val="18"/>
              </w:rPr>
            </w:pPr>
          </w:p>
        </w:tc>
      </w:tr>
      <w:tr w14:paraId="09078C7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B50D4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1CCC237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79FDB9">
            <w:pPr>
              <w:spacing w:line="240" w:lineRule="exact"/>
              <w:jc w:val="right"/>
              <w:rPr>
                <w:rFonts w:ascii="宋体" w:hAnsi="宋体" w:eastAsia="宋体" w:cs="宋体"/>
                <w:sz w:val="18"/>
                <w:szCs w:val="18"/>
              </w:rPr>
            </w:pPr>
          </w:p>
        </w:tc>
      </w:tr>
      <w:tr w14:paraId="5571B1C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A42DB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127A645B">
            <w:pPr>
              <w:spacing w:line="240" w:lineRule="exact"/>
              <w:jc w:val="right"/>
              <w:rPr>
                <w:rFonts w:ascii="宋体" w:hAnsi="宋体" w:eastAsia="宋体" w:cs="宋体"/>
                <w:sz w:val="18"/>
                <w:szCs w:val="18"/>
              </w:rPr>
            </w:pPr>
            <w:r>
              <w:rPr>
                <w:rFonts w:ascii="宋体" w:hAnsi="宋体" w:eastAsia="宋体" w:cs="宋体"/>
                <w:sz w:val="18"/>
                <w:szCs w:val="18"/>
              </w:rPr>
              <w:t>84,899.77</w:t>
            </w:r>
          </w:p>
        </w:tc>
        <w:tc>
          <w:tcPr>
            <w:tcW w:w="3213" w:type="dxa"/>
            <w:tcBorders>
              <w:top w:val="single" w:color="auto" w:sz="2" w:space="0"/>
              <w:left w:val="single" w:color="auto" w:sz="2" w:space="0"/>
              <w:bottom w:val="single" w:color="auto" w:sz="2" w:space="0"/>
              <w:right w:val="single" w:color="auto" w:sz="2" w:space="0"/>
            </w:tcBorders>
            <w:vAlign w:val="center"/>
          </w:tcPr>
          <w:p w14:paraId="7C68A43D">
            <w:pPr>
              <w:spacing w:line="240" w:lineRule="exact"/>
              <w:jc w:val="right"/>
              <w:rPr>
                <w:rFonts w:ascii="宋体" w:hAnsi="宋体" w:eastAsia="宋体" w:cs="宋体"/>
                <w:sz w:val="18"/>
                <w:szCs w:val="18"/>
              </w:rPr>
            </w:pPr>
            <w:r>
              <w:rPr>
                <w:rFonts w:ascii="宋体" w:hAnsi="宋体" w:eastAsia="宋体" w:cs="宋体"/>
                <w:sz w:val="18"/>
                <w:szCs w:val="18"/>
              </w:rPr>
              <w:t>85,165.54</w:t>
            </w:r>
          </w:p>
        </w:tc>
      </w:tr>
      <w:tr w14:paraId="1325C8F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BF14D0">
            <w:pPr>
              <w:spacing w:before="40" w:after="40" w:line="240" w:lineRule="exact"/>
              <w:rPr>
                <w:rFonts w:ascii="宋体" w:hAnsi="宋体" w:eastAsia="宋体" w:cs="宋体"/>
                <w:sz w:val="18"/>
                <w:szCs w:val="18"/>
              </w:rPr>
            </w:pPr>
            <w:r>
              <w:rPr>
                <w:rFonts w:ascii="宋体" w:hAnsi="宋体" w:eastAsia="宋体" w:cs="宋体"/>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E8E3566">
            <w:pPr>
              <w:spacing w:line="240" w:lineRule="exact"/>
              <w:jc w:val="right"/>
              <w:rPr>
                <w:rFonts w:ascii="宋体" w:hAnsi="宋体" w:eastAsia="宋体" w:cs="宋体"/>
                <w:sz w:val="18"/>
                <w:szCs w:val="18"/>
              </w:rPr>
            </w:pPr>
            <w:r>
              <w:rPr>
                <w:rFonts w:ascii="宋体" w:hAnsi="宋体" w:eastAsia="宋体" w:cs="宋体"/>
                <w:sz w:val="18"/>
                <w:szCs w:val="18"/>
              </w:rPr>
              <w:t>340,676,870.03</w:t>
            </w:r>
          </w:p>
        </w:tc>
        <w:tc>
          <w:tcPr>
            <w:tcW w:w="3213" w:type="dxa"/>
            <w:tcBorders>
              <w:top w:val="single" w:color="auto" w:sz="2" w:space="0"/>
              <w:left w:val="single" w:color="auto" w:sz="2" w:space="0"/>
              <w:bottom w:val="single" w:color="auto" w:sz="2" w:space="0"/>
              <w:right w:val="single" w:color="auto" w:sz="2" w:space="0"/>
            </w:tcBorders>
            <w:vAlign w:val="center"/>
          </w:tcPr>
          <w:p w14:paraId="00A348A0">
            <w:pPr>
              <w:spacing w:line="240" w:lineRule="exact"/>
              <w:jc w:val="right"/>
              <w:rPr>
                <w:rFonts w:ascii="宋体" w:hAnsi="宋体" w:eastAsia="宋体" w:cs="宋体"/>
                <w:sz w:val="18"/>
                <w:szCs w:val="18"/>
              </w:rPr>
            </w:pPr>
            <w:r>
              <w:rPr>
                <w:rFonts w:ascii="宋体" w:hAnsi="宋体" w:eastAsia="宋体" w:cs="宋体"/>
                <w:sz w:val="18"/>
                <w:szCs w:val="18"/>
              </w:rPr>
              <w:t>346,221,172.95</w:t>
            </w:r>
          </w:p>
        </w:tc>
      </w:tr>
      <w:tr w14:paraId="2A72F85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9A7C7A">
            <w:pPr>
              <w:spacing w:before="40" w:after="40" w:line="240" w:lineRule="exac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618C4"/>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11017D"/>
        </w:tc>
      </w:tr>
      <w:tr w14:paraId="0887F9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AD287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保险合同准备金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68F5824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935747">
            <w:pPr>
              <w:spacing w:line="240" w:lineRule="exact"/>
              <w:jc w:val="right"/>
              <w:rPr>
                <w:rFonts w:ascii="宋体" w:hAnsi="宋体" w:eastAsia="宋体" w:cs="宋体"/>
                <w:sz w:val="18"/>
                <w:szCs w:val="18"/>
              </w:rPr>
            </w:pPr>
          </w:p>
        </w:tc>
      </w:tr>
      <w:tr w14:paraId="4A5FD44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8865A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02B17D03">
            <w:pPr>
              <w:spacing w:line="240" w:lineRule="exact"/>
              <w:jc w:val="right"/>
              <w:rPr>
                <w:rFonts w:ascii="宋体" w:hAnsi="宋体" w:eastAsia="宋体" w:cs="宋体"/>
                <w:sz w:val="18"/>
                <w:szCs w:val="18"/>
              </w:rPr>
            </w:pPr>
            <w:r>
              <w:rPr>
                <w:rFonts w:ascii="宋体" w:hAnsi="宋体" w:eastAsia="宋体" w:cs="宋体"/>
                <w:sz w:val="18"/>
                <w:szCs w:val="18"/>
              </w:rPr>
              <w:t>4,300,000.00</w:t>
            </w:r>
          </w:p>
        </w:tc>
        <w:tc>
          <w:tcPr>
            <w:tcW w:w="3213" w:type="dxa"/>
            <w:tcBorders>
              <w:top w:val="single" w:color="auto" w:sz="2" w:space="0"/>
              <w:left w:val="single" w:color="auto" w:sz="2" w:space="0"/>
              <w:bottom w:val="single" w:color="auto" w:sz="2" w:space="0"/>
              <w:right w:val="single" w:color="auto" w:sz="2" w:space="0"/>
            </w:tcBorders>
            <w:vAlign w:val="center"/>
          </w:tcPr>
          <w:p w14:paraId="6E15836D">
            <w:pPr>
              <w:spacing w:line="240" w:lineRule="exact"/>
              <w:jc w:val="right"/>
              <w:rPr>
                <w:rFonts w:ascii="宋体" w:hAnsi="宋体" w:eastAsia="宋体" w:cs="宋体"/>
                <w:sz w:val="18"/>
                <w:szCs w:val="18"/>
              </w:rPr>
            </w:pPr>
            <w:r>
              <w:rPr>
                <w:rFonts w:ascii="宋体" w:hAnsi="宋体" w:eastAsia="宋体" w:cs="宋体"/>
                <w:sz w:val="18"/>
                <w:szCs w:val="18"/>
              </w:rPr>
              <w:t>4,300,000.00</w:t>
            </w:r>
          </w:p>
        </w:tc>
      </w:tr>
      <w:tr w14:paraId="296881D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60678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626FE8C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40F79F">
            <w:pPr>
              <w:spacing w:line="240" w:lineRule="exact"/>
              <w:jc w:val="right"/>
              <w:rPr>
                <w:rFonts w:ascii="宋体" w:hAnsi="宋体" w:eastAsia="宋体" w:cs="宋体"/>
                <w:sz w:val="18"/>
                <w:szCs w:val="18"/>
              </w:rPr>
            </w:pPr>
          </w:p>
        </w:tc>
      </w:tr>
      <w:tr w14:paraId="7AA32DC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4A6209">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259FC4F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532AF0">
            <w:pPr>
              <w:spacing w:line="240" w:lineRule="exact"/>
              <w:jc w:val="right"/>
              <w:rPr>
                <w:rFonts w:ascii="宋体" w:hAnsi="宋体" w:eastAsia="宋体" w:cs="宋体"/>
                <w:sz w:val="18"/>
                <w:szCs w:val="18"/>
              </w:rPr>
            </w:pPr>
          </w:p>
        </w:tc>
      </w:tr>
      <w:tr w14:paraId="1511690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1FF70B">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2255536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6DCAFF">
            <w:pPr>
              <w:spacing w:line="240" w:lineRule="exact"/>
              <w:jc w:val="right"/>
              <w:rPr>
                <w:rFonts w:ascii="宋体" w:hAnsi="宋体" w:eastAsia="宋体" w:cs="宋体"/>
                <w:sz w:val="18"/>
                <w:szCs w:val="18"/>
              </w:rPr>
            </w:pPr>
          </w:p>
        </w:tc>
      </w:tr>
      <w:tr w14:paraId="11B7D9C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F7544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4669627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F24E6F">
            <w:pPr>
              <w:spacing w:line="240" w:lineRule="exact"/>
              <w:jc w:val="right"/>
              <w:rPr>
                <w:rFonts w:ascii="宋体" w:hAnsi="宋体" w:eastAsia="宋体" w:cs="宋体"/>
                <w:sz w:val="18"/>
                <w:szCs w:val="18"/>
              </w:rPr>
            </w:pPr>
          </w:p>
        </w:tc>
      </w:tr>
      <w:tr w14:paraId="7B4B989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2B99B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04B5C2B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FB1B1A">
            <w:pPr>
              <w:spacing w:line="240" w:lineRule="exact"/>
              <w:jc w:val="right"/>
              <w:rPr>
                <w:rFonts w:ascii="宋体" w:hAnsi="宋体" w:eastAsia="宋体" w:cs="宋体"/>
                <w:sz w:val="18"/>
                <w:szCs w:val="18"/>
              </w:rPr>
            </w:pPr>
          </w:p>
        </w:tc>
      </w:tr>
      <w:tr w14:paraId="0796F05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B065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739F3E1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1E4702">
            <w:pPr>
              <w:spacing w:line="240" w:lineRule="exact"/>
              <w:jc w:val="right"/>
              <w:rPr>
                <w:rFonts w:ascii="宋体" w:hAnsi="宋体" w:eastAsia="宋体" w:cs="宋体"/>
                <w:sz w:val="18"/>
                <w:szCs w:val="18"/>
              </w:rPr>
            </w:pPr>
          </w:p>
        </w:tc>
      </w:tr>
      <w:tr w14:paraId="3653672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901B6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6778A678">
            <w:pPr>
              <w:spacing w:line="240" w:lineRule="exact"/>
              <w:jc w:val="right"/>
              <w:rPr>
                <w:rFonts w:ascii="宋体" w:hAnsi="宋体" w:eastAsia="宋体" w:cs="宋体"/>
                <w:sz w:val="18"/>
                <w:szCs w:val="18"/>
              </w:rPr>
            </w:pPr>
            <w:r>
              <w:rPr>
                <w:rFonts w:ascii="宋体" w:hAnsi="宋体" w:eastAsia="宋体" w:cs="宋体"/>
                <w:sz w:val="18"/>
                <w:szCs w:val="18"/>
              </w:rPr>
              <w:t>25,122,712.00</w:t>
            </w:r>
          </w:p>
        </w:tc>
        <w:tc>
          <w:tcPr>
            <w:tcW w:w="3213" w:type="dxa"/>
            <w:tcBorders>
              <w:top w:val="single" w:color="auto" w:sz="2" w:space="0"/>
              <w:left w:val="single" w:color="auto" w:sz="2" w:space="0"/>
              <w:bottom w:val="single" w:color="auto" w:sz="2" w:space="0"/>
              <w:right w:val="single" w:color="auto" w:sz="2" w:space="0"/>
            </w:tcBorders>
            <w:vAlign w:val="center"/>
          </w:tcPr>
          <w:p w14:paraId="1A973831">
            <w:pPr>
              <w:spacing w:line="240" w:lineRule="exact"/>
              <w:jc w:val="right"/>
              <w:rPr>
                <w:rFonts w:ascii="宋体" w:hAnsi="宋体" w:eastAsia="宋体" w:cs="宋体"/>
                <w:sz w:val="18"/>
                <w:szCs w:val="18"/>
              </w:rPr>
            </w:pPr>
            <w:r>
              <w:rPr>
                <w:rFonts w:ascii="宋体" w:hAnsi="宋体" w:eastAsia="宋体" w:cs="宋体"/>
                <w:sz w:val="18"/>
                <w:szCs w:val="18"/>
              </w:rPr>
              <w:t>25,122,712.00</w:t>
            </w:r>
          </w:p>
        </w:tc>
      </w:tr>
      <w:tr w14:paraId="1465ABD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A9E5B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68DF6CEF">
            <w:pPr>
              <w:spacing w:line="240" w:lineRule="exact"/>
              <w:jc w:val="right"/>
              <w:rPr>
                <w:rFonts w:ascii="宋体" w:hAnsi="宋体" w:eastAsia="宋体" w:cs="宋体"/>
                <w:sz w:val="18"/>
                <w:szCs w:val="18"/>
              </w:rPr>
            </w:pPr>
            <w:r>
              <w:rPr>
                <w:rFonts w:ascii="宋体" w:hAnsi="宋体" w:eastAsia="宋体" w:cs="宋体"/>
                <w:sz w:val="18"/>
                <w:szCs w:val="18"/>
              </w:rPr>
              <w:t>789,041.41</w:t>
            </w:r>
          </w:p>
        </w:tc>
        <w:tc>
          <w:tcPr>
            <w:tcW w:w="3213" w:type="dxa"/>
            <w:tcBorders>
              <w:top w:val="single" w:color="auto" w:sz="2" w:space="0"/>
              <w:left w:val="single" w:color="auto" w:sz="2" w:space="0"/>
              <w:bottom w:val="single" w:color="auto" w:sz="2" w:space="0"/>
              <w:right w:val="single" w:color="auto" w:sz="2" w:space="0"/>
            </w:tcBorders>
            <w:vAlign w:val="center"/>
          </w:tcPr>
          <w:p w14:paraId="5E62EE87">
            <w:pPr>
              <w:spacing w:line="240" w:lineRule="exact"/>
              <w:jc w:val="right"/>
              <w:rPr>
                <w:rFonts w:ascii="宋体" w:hAnsi="宋体" w:eastAsia="宋体" w:cs="宋体"/>
                <w:sz w:val="18"/>
                <w:szCs w:val="18"/>
              </w:rPr>
            </w:pPr>
            <w:r>
              <w:rPr>
                <w:rFonts w:ascii="宋体" w:hAnsi="宋体" w:eastAsia="宋体" w:cs="宋体"/>
                <w:sz w:val="18"/>
                <w:szCs w:val="18"/>
              </w:rPr>
              <w:t>789,041.41</w:t>
            </w:r>
          </w:p>
        </w:tc>
      </w:tr>
      <w:tr w14:paraId="03CDC99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7E98D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62BB723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195B3B">
            <w:pPr>
              <w:spacing w:line="240" w:lineRule="exact"/>
              <w:jc w:val="right"/>
              <w:rPr>
                <w:rFonts w:ascii="宋体" w:hAnsi="宋体" w:eastAsia="宋体" w:cs="宋体"/>
                <w:sz w:val="18"/>
                <w:szCs w:val="18"/>
              </w:rPr>
            </w:pPr>
          </w:p>
        </w:tc>
      </w:tr>
      <w:tr w14:paraId="7552C39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BA7F1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75A97C4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11861D">
            <w:pPr>
              <w:spacing w:line="240" w:lineRule="exact"/>
              <w:jc w:val="right"/>
              <w:rPr>
                <w:rFonts w:ascii="宋体" w:hAnsi="宋体" w:eastAsia="宋体" w:cs="宋体"/>
                <w:sz w:val="18"/>
                <w:szCs w:val="18"/>
              </w:rPr>
            </w:pPr>
          </w:p>
        </w:tc>
      </w:tr>
      <w:tr w14:paraId="38B88CB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26C637">
            <w:pPr>
              <w:spacing w:before="40" w:after="40" w:line="240" w:lineRule="exact"/>
              <w:rPr>
                <w:rFonts w:ascii="宋体" w:hAnsi="宋体" w:eastAsia="宋体" w:cs="宋体"/>
                <w:sz w:val="18"/>
                <w:szCs w:val="18"/>
              </w:rPr>
            </w:pPr>
            <w:r>
              <w:rPr>
                <w:rFonts w:ascii="宋体" w:hAnsi="宋体" w:eastAsia="宋体" w:cs="宋体"/>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18ED951">
            <w:pPr>
              <w:spacing w:line="240" w:lineRule="exact"/>
              <w:jc w:val="right"/>
              <w:rPr>
                <w:rFonts w:ascii="宋体" w:hAnsi="宋体" w:eastAsia="宋体" w:cs="宋体"/>
                <w:sz w:val="18"/>
                <w:szCs w:val="18"/>
              </w:rPr>
            </w:pPr>
            <w:r>
              <w:rPr>
                <w:rFonts w:ascii="宋体" w:hAnsi="宋体" w:eastAsia="宋体" w:cs="宋体"/>
                <w:sz w:val="18"/>
                <w:szCs w:val="18"/>
              </w:rPr>
              <w:t>30,211,753.41</w:t>
            </w:r>
          </w:p>
        </w:tc>
        <w:tc>
          <w:tcPr>
            <w:tcW w:w="3213" w:type="dxa"/>
            <w:tcBorders>
              <w:top w:val="single" w:color="auto" w:sz="2" w:space="0"/>
              <w:left w:val="single" w:color="auto" w:sz="2" w:space="0"/>
              <w:bottom w:val="single" w:color="auto" w:sz="2" w:space="0"/>
              <w:right w:val="single" w:color="auto" w:sz="2" w:space="0"/>
            </w:tcBorders>
            <w:vAlign w:val="center"/>
          </w:tcPr>
          <w:p w14:paraId="6033A7C8">
            <w:pPr>
              <w:spacing w:line="240" w:lineRule="exact"/>
              <w:jc w:val="right"/>
              <w:rPr>
                <w:rFonts w:ascii="宋体" w:hAnsi="宋体" w:eastAsia="宋体" w:cs="宋体"/>
                <w:sz w:val="18"/>
                <w:szCs w:val="18"/>
              </w:rPr>
            </w:pPr>
            <w:r>
              <w:rPr>
                <w:rFonts w:ascii="宋体" w:hAnsi="宋体" w:eastAsia="宋体" w:cs="宋体"/>
                <w:sz w:val="18"/>
                <w:szCs w:val="18"/>
              </w:rPr>
              <w:t>30,211,753.41</w:t>
            </w:r>
          </w:p>
        </w:tc>
      </w:tr>
      <w:tr w14:paraId="60B758C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FA8F17">
            <w:pPr>
              <w:spacing w:before="40" w:after="40" w:line="240" w:lineRule="exac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19501397">
            <w:pPr>
              <w:spacing w:line="240" w:lineRule="exact"/>
              <w:jc w:val="right"/>
              <w:rPr>
                <w:rFonts w:ascii="宋体" w:hAnsi="宋体" w:eastAsia="宋体" w:cs="宋体"/>
                <w:sz w:val="18"/>
                <w:szCs w:val="18"/>
              </w:rPr>
            </w:pPr>
            <w:r>
              <w:rPr>
                <w:rFonts w:ascii="宋体" w:hAnsi="宋体" w:eastAsia="宋体" w:cs="宋体"/>
                <w:sz w:val="18"/>
                <w:szCs w:val="18"/>
              </w:rPr>
              <w:t>370,888,623.44</w:t>
            </w:r>
          </w:p>
        </w:tc>
        <w:tc>
          <w:tcPr>
            <w:tcW w:w="3213" w:type="dxa"/>
            <w:tcBorders>
              <w:top w:val="single" w:color="auto" w:sz="2" w:space="0"/>
              <w:left w:val="single" w:color="auto" w:sz="2" w:space="0"/>
              <w:bottom w:val="single" w:color="auto" w:sz="2" w:space="0"/>
              <w:right w:val="single" w:color="auto" w:sz="2" w:space="0"/>
            </w:tcBorders>
            <w:vAlign w:val="center"/>
          </w:tcPr>
          <w:p w14:paraId="300C3E1B">
            <w:pPr>
              <w:spacing w:line="240" w:lineRule="exact"/>
              <w:jc w:val="right"/>
              <w:rPr>
                <w:rFonts w:ascii="宋体" w:hAnsi="宋体" w:eastAsia="宋体" w:cs="宋体"/>
                <w:sz w:val="18"/>
                <w:szCs w:val="18"/>
              </w:rPr>
            </w:pPr>
            <w:r>
              <w:rPr>
                <w:rFonts w:ascii="宋体" w:hAnsi="宋体" w:eastAsia="宋体" w:cs="宋体"/>
                <w:sz w:val="18"/>
                <w:szCs w:val="18"/>
              </w:rPr>
              <w:t>376,432,926.36</w:t>
            </w:r>
          </w:p>
        </w:tc>
      </w:tr>
      <w:tr w14:paraId="33D1DA1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D53190">
            <w:pPr>
              <w:spacing w:line="240" w:lineRule="exact"/>
              <w:rPr>
                <w:rFonts w:ascii="宋体" w:hAnsi="宋体" w:eastAsia="宋体" w:cs="宋体"/>
                <w:sz w:val="18"/>
                <w:szCs w:val="18"/>
              </w:rPr>
            </w:pPr>
            <w:r>
              <w:rPr>
                <w:rFonts w:ascii="宋体" w:hAnsi="宋体" w:eastAsia="宋体" w:cs="宋体"/>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DB63C4"/>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8F12D2"/>
        </w:tc>
      </w:tr>
      <w:tr w14:paraId="57E395A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A91328">
            <w:pPr>
              <w:spacing w:line="240" w:lineRule="exact"/>
              <w:ind w:firstLine="180" w:firstLineChars="100"/>
              <w:rPr>
                <w:rFonts w:ascii="宋体" w:hAnsi="宋体" w:eastAsia="宋体" w:cs="宋体"/>
                <w:sz w:val="18"/>
                <w:szCs w:val="18"/>
              </w:rPr>
            </w:pPr>
            <w:r>
              <w:rPr>
                <w:rFonts w:ascii="宋体" w:hAnsi="宋体" w:eastAsia="宋体" w:cs="宋体"/>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355094BD">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3213" w:type="dxa"/>
            <w:tcBorders>
              <w:top w:val="single" w:color="auto" w:sz="2" w:space="0"/>
              <w:left w:val="single" w:color="auto" w:sz="2" w:space="0"/>
              <w:bottom w:val="single" w:color="auto" w:sz="2" w:space="0"/>
              <w:right w:val="single" w:color="auto" w:sz="2" w:space="0"/>
            </w:tcBorders>
            <w:vAlign w:val="center"/>
          </w:tcPr>
          <w:p w14:paraId="6F66DAC4">
            <w:pPr>
              <w:spacing w:line="240" w:lineRule="exact"/>
              <w:jc w:val="right"/>
              <w:rPr>
                <w:rFonts w:ascii="宋体" w:hAnsi="宋体" w:eastAsia="宋体" w:cs="宋体"/>
                <w:sz w:val="18"/>
                <w:szCs w:val="18"/>
              </w:rPr>
            </w:pPr>
            <w:r>
              <w:rPr>
                <w:rFonts w:ascii="宋体" w:hAnsi="宋体" w:eastAsia="宋体" w:cs="宋体"/>
                <w:sz w:val="18"/>
                <w:szCs w:val="18"/>
              </w:rPr>
              <w:t>263,758,491.00</w:t>
            </w:r>
          </w:p>
        </w:tc>
      </w:tr>
      <w:tr w14:paraId="0B6ED0B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F1ED15">
            <w:pPr>
              <w:spacing w:line="240" w:lineRule="exact"/>
              <w:ind w:firstLine="180" w:firstLineChars="100"/>
              <w:rPr>
                <w:rFonts w:ascii="宋体" w:hAnsi="宋体" w:eastAsia="宋体" w:cs="宋体"/>
                <w:sz w:val="18"/>
                <w:szCs w:val="18"/>
              </w:rPr>
            </w:pPr>
            <w:r>
              <w:rPr>
                <w:rFonts w:ascii="宋体" w:hAnsi="宋体" w:eastAsia="宋体" w:cs="宋体"/>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6C21134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EE2E30">
            <w:pPr>
              <w:spacing w:line="240" w:lineRule="exact"/>
              <w:jc w:val="right"/>
              <w:rPr>
                <w:rFonts w:ascii="宋体" w:hAnsi="宋体" w:eastAsia="宋体" w:cs="宋体"/>
                <w:sz w:val="18"/>
                <w:szCs w:val="18"/>
              </w:rPr>
            </w:pPr>
          </w:p>
        </w:tc>
      </w:tr>
      <w:tr w14:paraId="4F50F8A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49B7D3">
            <w:pPr>
              <w:spacing w:line="240" w:lineRule="exact"/>
              <w:ind w:firstLine="360" w:firstLineChars="200"/>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681DEE1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4403C1">
            <w:pPr>
              <w:spacing w:line="240" w:lineRule="exact"/>
              <w:jc w:val="right"/>
              <w:rPr>
                <w:rFonts w:ascii="宋体" w:hAnsi="宋体" w:eastAsia="宋体" w:cs="宋体"/>
                <w:sz w:val="18"/>
                <w:szCs w:val="18"/>
              </w:rPr>
            </w:pPr>
          </w:p>
        </w:tc>
      </w:tr>
      <w:tr w14:paraId="7739044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60DE76">
            <w:pPr>
              <w:spacing w:line="240" w:lineRule="exact"/>
              <w:ind w:firstLine="900" w:firstLineChars="500"/>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4F4337F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C81776">
            <w:pPr>
              <w:spacing w:line="240" w:lineRule="exact"/>
              <w:jc w:val="right"/>
              <w:rPr>
                <w:rFonts w:ascii="宋体" w:hAnsi="宋体" w:eastAsia="宋体" w:cs="宋体"/>
                <w:sz w:val="18"/>
                <w:szCs w:val="18"/>
              </w:rPr>
            </w:pPr>
          </w:p>
        </w:tc>
      </w:tr>
      <w:tr w14:paraId="541867D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66D02B">
            <w:pPr>
              <w:spacing w:line="240" w:lineRule="exact"/>
              <w:ind w:firstLine="180" w:firstLineChars="100"/>
              <w:rPr>
                <w:rFonts w:ascii="宋体" w:hAnsi="宋体" w:eastAsia="宋体" w:cs="宋体"/>
                <w:sz w:val="18"/>
                <w:szCs w:val="18"/>
              </w:rPr>
            </w:pPr>
            <w:r>
              <w:rPr>
                <w:rFonts w:ascii="宋体" w:hAnsi="宋体" w:eastAsia="宋体" w:cs="宋体"/>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404CE580">
            <w:pPr>
              <w:spacing w:line="240" w:lineRule="exact"/>
              <w:jc w:val="right"/>
              <w:rPr>
                <w:rFonts w:ascii="宋体" w:hAnsi="宋体" w:eastAsia="宋体" w:cs="宋体"/>
                <w:sz w:val="18"/>
                <w:szCs w:val="18"/>
              </w:rPr>
            </w:pPr>
            <w:r>
              <w:rPr>
                <w:rFonts w:ascii="宋体" w:hAnsi="宋体" w:eastAsia="宋体" w:cs="宋体"/>
                <w:sz w:val="18"/>
                <w:szCs w:val="18"/>
              </w:rPr>
              <w:t>213,840,428.27</w:t>
            </w:r>
          </w:p>
        </w:tc>
        <w:tc>
          <w:tcPr>
            <w:tcW w:w="3213" w:type="dxa"/>
            <w:tcBorders>
              <w:top w:val="single" w:color="auto" w:sz="2" w:space="0"/>
              <w:left w:val="single" w:color="auto" w:sz="2" w:space="0"/>
              <w:bottom w:val="single" w:color="auto" w:sz="2" w:space="0"/>
              <w:right w:val="single" w:color="auto" w:sz="2" w:space="0"/>
            </w:tcBorders>
            <w:vAlign w:val="center"/>
          </w:tcPr>
          <w:p w14:paraId="610D3E35">
            <w:pPr>
              <w:spacing w:line="240" w:lineRule="exact"/>
              <w:jc w:val="right"/>
              <w:rPr>
                <w:rFonts w:ascii="宋体" w:hAnsi="宋体" w:eastAsia="宋体" w:cs="宋体"/>
                <w:sz w:val="18"/>
                <w:szCs w:val="18"/>
              </w:rPr>
            </w:pPr>
            <w:r>
              <w:rPr>
                <w:rFonts w:ascii="宋体" w:hAnsi="宋体" w:eastAsia="宋体" w:cs="宋体"/>
                <w:sz w:val="18"/>
                <w:szCs w:val="18"/>
              </w:rPr>
              <w:t>213,840,428.27</w:t>
            </w:r>
          </w:p>
        </w:tc>
      </w:tr>
      <w:tr w14:paraId="5ECEEB7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55B013">
            <w:pPr>
              <w:spacing w:line="240" w:lineRule="exact"/>
              <w:ind w:firstLine="180" w:firstLineChars="100"/>
              <w:rPr>
                <w:rFonts w:ascii="宋体" w:hAnsi="宋体" w:eastAsia="宋体" w:cs="宋体"/>
                <w:sz w:val="18"/>
                <w:szCs w:val="18"/>
              </w:rPr>
            </w:pPr>
            <w:r>
              <w:rPr>
                <w:rFonts w:ascii="宋体" w:hAnsi="宋体" w:eastAsia="宋体" w:cs="宋体"/>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3D50AF7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68CEB5">
            <w:pPr>
              <w:spacing w:line="240" w:lineRule="exact"/>
              <w:jc w:val="right"/>
              <w:rPr>
                <w:rFonts w:ascii="宋体" w:hAnsi="宋体" w:eastAsia="宋体" w:cs="宋体"/>
                <w:sz w:val="18"/>
                <w:szCs w:val="18"/>
              </w:rPr>
            </w:pPr>
          </w:p>
        </w:tc>
      </w:tr>
      <w:tr w14:paraId="5D6AE70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2C1BC8">
            <w:pPr>
              <w:spacing w:line="240" w:lineRule="exact"/>
              <w:ind w:firstLine="180" w:firstLineChars="100"/>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E32A28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9294FF">
            <w:pPr>
              <w:spacing w:line="240" w:lineRule="exact"/>
              <w:jc w:val="right"/>
              <w:rPr>
                <w:rFonts w:ascii="宋体" w:hAnsi="宋体" w:eastAsia="宋体" w:cs="宋体"/>
                <w:sz w:val="18"/>
                <w:szCs w:val="18"/>
              </w:rPr>
            </w:pPr>
          </w:p>
        </w:tc>
      </w:tr>
      <w:tr w14:paraId="08197FD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2EFDE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4AD0078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BE6445">
            <w:pPr>
              <w:spacing w:line="240" w:lineRule="exact"/>
              <w:jc w:val="right"/>
              <w:rPr>
                <w:rFonts w:ascii="宋体" w:hAnsi="宋体" w:eastAsia="宋体" w:cs="宋体"/>
                <w:sz w:val="18"/>
                <w:szCs w:val="18"/>
              </w:rPr>
            </w:pPr>
          </w:p>
        </w:tc>
      </w:tr>
      <w:tr w14:paraId="0FE9F30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4912BF">
            <w:pPr>
              <w:spacing w:line="240" w:lineRule="exact"/>
              <w:ind w:firstLine="180" w:firstLineChars="100"/>
              <w:rPr>
                <w:rFonts w:ascii="宋体" w:hAnsi="宋体" w:eastAsia="宋体" w:cs="宋体"/>
                <w:sz w:val="18"/>
                <w:szCs w:val="18"/>
              </w:rPr>
            </w:pPr>
            <w:r>
              <w:rPr>
                <w:rFonts w:ascii="宋体" w:hAnsi="宋体" w:eastAsia="宋体" w:cs="宋体"/>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6F610E76">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3213" w:type="dxa"/>
            <w:tcBorders>
              <w:top w:val="single" w:color="auto" w:sz="2" w:space="0"/>
              <w:left w:val="single" w:color="auto" w:sz="2" w:space="0"/>
              <w:bottom w:val="single" w:color="auto" w:sz="2" w:space="0"/>
              <w:right w:val="single" w:color="auto" w:sz="2" w:space="0"/>
            </w:tcBorders>
            <w:vAlign w:val="center"/>
          </w:tcPr>
          <w:p w14:paraId="7974C657">
            <w:pPr>
              <w:spacing w:line="240" w:lineRule="exact"/>
              <w:jc w:val="right"/>
              <w:rPr>
                <w:rFonts w:ascii="宋体" w:hAnsi="宋体" w:eastAsia="宋体" w:cs="宋体"/>
                <w:sz w:val="18"/>
                <w:szCs w:val="18"/>
              </w:rPr>
            </w:pPr>
            <w:r>
              <w:rPr>
                <w:rFonts w:ascii="宋体" w:hAnsi="宋体" w:eastAsia="宋体" w:cs="宋体"/>
                <w:sz w:val="18"/>
                <w:szCs w:val="18"/>
              </w:rPr>
              <w:t>69,225,086.27</w:t>
            </w:r>
          </w:p>
        </w:tc>
      </w:tr>
      <w:tr w14:paraId="6582605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1C9A3A">
            <w:pPr>
              <w:spacing w:line="240" w:lineRule="exact"/>
              <w:ind w:firstLine="180" w:firstLineChars="100"/>
              <w:rPr>
                <w:rFonts w:ascii="宋体" w:hAnsi="宋体" w:eastAsia="宋体" w:cs="宋体"/>
                <w:sz w:val="18"/>
                <w:szCs w:val="18"/>
              </w:rPr>
            </w:pPr>
            <w:r>
              <w:rPr>
                <w:rFonts w:ascii="宋体" w:hAnsi="宋体" w:eastAsia="宋体" w:cs="宋体"/>
                <w:sz w:val="18"/>
                <w:szCs w:val="18"/>
              </w:rPr>
              <w:t>一般风险准备</w:t>
            </w:r>
          </w:p>
        </w:tc>
        <w:tc>
          <w:tcPr>
            <w:tcW w:w="3213" w:type="dxa"/>
            <w:tcBorders>
              <w:top w:val="single" w:color="auto" w:sz="2" w:space="0"/>
              <w:left w:val="single" w:color="auto" w:sz="2" w:space="0"/>
              <w:bottom w:val="single" w:color="auto" w:sz="2" w:space="0"/>
              <w:right w:val="single" w:color="auto" w:sz="2" w:space="0"/>
            </w:tcBorders>
            <w:vAlign w:val="center"/>
          </w:tcPr>
          <w:p w14:paraId="6D55584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28278E">
            <w:pPr>
              <w:spacing w:line="240" w:lineRule="exact"/>
              <w:jc w:val="right"/>
              <w:rPr>
                <w:rFonts w:ascii="宋体" w:hAnsi="宋体" w:eastAsia="宋体" w:cs="宋体"/>
                <w:sz w:val="18"/>
                <w:szCs w:val="18"/>
              </w:rPr>
            </w:pPr>
          </w:p>
        </w:tc>
      </w:tr>
      <w:tr w14:paraId="4F00A7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B760F1">
            <w:pPr>
              <w:spacing w:line="240" w:lineRule="exact"/>
              <w:ind w:firstLine="180" w:firstLineChars="100"/>
              <w:rPr>
                <w:rFonts w:ascii="宋体" w:hAnsi="宋体" w:eastAsia="宋体" w:cs="宋体"/>
                <w:sz w:val="18"/>
                <w:szCs w:val="18"/>
              </w:rPr>
            </w:pPr>
            <w:r>
              <w:rPr>
                <w:rFonts w:ascii="宋体" w:hAnsi="宋体" w:eastAsia="宋体" w:cs="宋体"/>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70EEE3D">
            <w:pPr>
              <w:spacing w:line="240" w:lineRule="exact"/>
              <w:jc w:val="right"/>
              <w:rPr>
                <w:rFonts w:ascii="宋体" w:hAnsi="宋体" w:eastAsia="宋体" w:cs="宋体"/>
                <w:sz w:val="18"/>
                <w:szCs w:val="18"/>
              </w:rPr>
            </w:pPr>
            <w:r>
              <w:rPr>
                <w:rFonts w:ascii="宋体" w:hAnsi="宋体" w:eastAsia="宋体" w:cs="宋体"/>
                <w:sz w:val="18"/>
                <w:szCs w:val="18"/>
              </w:rPr>
              <w:t>-425,136,992.26</w:t>
            </w:r>
          </w:p>
        </w:tc>
        <w:tc>
          <w:tcPr>
            <w:tcW w:w="3213" w:type="dxa"/>
            <w:tcBorders>
              <w:top w:val="single" w:color="auto" w:sz="2" w:space="0"/>
              <w:left w:val="single" w:color="auto" w:sz="2" w:space="0"/>
              <w:bottom w:val="single" w:color="auto" w:sz="2" w:space="0"/>
              <w:right w:val="single" w:color="auto" w:sz="2" w:space="0"/>
            </w:tcBorders>
            <w:vAlign w:val="center"/>
          </w:tcPr>
          <w:p w14:paraId="12D6A18F">
            <w:pPr>
              <w:spacing w:line="240" w:lineRule="exact"/>
              <w:jc w:val="right"/>
              <w:rPr>
                <w:rFonts w:ascii="宋体" w:hAnsi="宋体" w:eastAsia="宋体" w:cs="宋体"/>
                <w:sz w:val="18"/>
                <w:szCs w:val="18"/>
              </w:rPr>
            </w:pPr>
            <w:r>
              <w:rPr>
                <w:rFonts w:ascii="宋体" w:hAnsi="宋体" w:eastAsia="宋体" w:cs="宋体"/>
                <w:sz w:val="18"/>
                <w:szCs w:val="18"/>
              </w:rPr>
              <w:t>-435,210,845.71</w:t>
            </w:r>
          </w:p>
        </w:tc>
      </w:tr>
      <w:tr w14:paraId="1C95177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17FE44">
            <w:pPr>
              <w:spacing w:line="240" w:lineRule="exact"/>
              <w:rPr>
                <w:rFonts w:ascii="宋体" w:hAnsi="宋体" w:eastAsia="宋体" w:cs="宋体"/>
                <w:sz w:val="18"/>
                <w:szCs w:val="18"/>
              </w:rPr>
            </w:pPr>
            <w:r>
              <w:rPr>
                <w:rFonts w:ascii="宋体" w:hAnsi="宋体" w:eastAsia="宋体" w:cs="宋体"/>
                <w:sz w:val="18"/>
                <w:szCs w:val="18"/>
              </w:rPr>
              <w:t>归属于母公司所有者权益合计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1E8264C6">
            <w:pPr>
              <w:spacing w:line="240" w:lineRule="exact"/>
              <w:jc w:val="right"/>
              <w:rPr>
                <w:rFonts w:ascii="宋体" w:hAnsi="宋体" w:eastAsia="宋体" w:cs="宋体"/>
                <w:sz w:val="18"/>
                <w:szCs w:val="18"/>
              </w:rPr>
            </w:pPr>
            <w:r>
              <w:rPr>
                <w:rFonts w:ascii="宋体" w:hAnsi="宋体" w:eastAsia="宋体" w:cs="宋体"/>
                <w:sz w:val="18"/>
                <w:szCs w:val="18"/>
              </w:rPr>
              <w:t>121,687,013.28</w:t>
            </w:r>
          </w:p>
        </w:tc>
        <w:tc>
          <w:tcPr>
            <w:tcW w:w="3213" w:type="dxa"/>
            <w:tcBorders>
              <w:top w:val="single" w:color="auto" w:sz="2" w:space="0"/>
              <w:left w:val="single" w:color="auto" w:sz="2" w:space="0"/>
              <w:bottom w:val="single" w:color="auto" w:sz="2" w:space="0"/>
              <w:right w:val="single" w:color="auto" w:sz="2" w:space="0"/>
            </w:tcBorders>
            <w:vAlign w:val="center"/>
          </w:tcPr>
          <w:p w14:paraId="0B60D341">
            <w:pPr>
              <w:spacing w:line="240" w:lineRule="exact"/>
              <w:jc w:val="right"/>
              <w:rPr>
                <w:rFonts w:ascii="宋体" w:hAnsi="宋体" w:eastAsia="宋体" w:cs="宋体"/>
                <w:sz w:val="18"/>
                <w:szCs w:val="18"/>
              </w:rPr>
            </w:pPr>
            <w:r>
              <w:rPr>
                <w:rFonts w:ascii="宋体" w:hAnsi="宋体" w:eastAsia="宋体" w:cs="宋体"/>
                <w:sz w:val="18"/>
                <w:szCs w:val="18"/>
              </w:rPr>
              <w:t>111,613,159.83</w:t>
            </w:r>
          </w:p>
        </w:tc>
      </w:tr>
      <w:tr w14:paraId="74177F8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B2FD10">
            <w:pPr>
              <w:spacing w:line="240" w:lineRule="exact"/>
              <w:ind w:firstLine="180" w:firstLineChars="100"/>
              <w:rPr>
                <w:rFonts w:ascii="宋体" w:hAnsi="宋体" w:eastAsia="宋体" w:cs="宋体"/>
                <w:sz w:val="18"/>
                <w:szCs w:val="18"/>
              </w:rPr>
            </w:pPr>
            <w:r>
              <w:rPr>
                <w:rFonts w:ascii="宋体" w:hAnsi="宋体" w:eastAsia="宋体" w:cs="宋体"/>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53A322CE">
            <w:pPr>
              <w:spacing w:line="240" w:lineRule="exact"/>
              <w:jc w:val="right"/>
              <w:rPr>
                <w:rFonts w:ascii="宋体" w:hAnsi="宋体" w:eastAsia="宋体" w:cs="宋体"/>
                <w:sz w:val="18"/>
                <w:szCs w:val="18"/>
              </w:rPr>
            </w:pPr>
            <w:r>
              <w:rPr>
                <w:rFonts w:ascii="宋体" w:hAnsi="宋体" w:eastAsia="宋体" w:cs="宋体"/>
                <w:sz w:val="18"/>
                <w:szCs w:val="18"/>
              </w:rPr>
              <w:t>459,628,611.74</w:t>
            </w:r>
          </w:p>
        </w:tc>
        <w:tc>
          <w:tcPr>
            <w:tcW w:w="3213" w:type="dxa"/>
            <w:tcBorders>
              <w:top w:val="single" w:color="auto" w:sz="2" w:space="0"/>
              <w:left w:val="single" w:color="auto" w:sz="2" w:space="0"/>
              <w:bottom w:val="single" w:color="auto" w:sz="2" w:space="0"/>
              <w:right w:val="single" w:color="auto" w:sz="2" w:space="0"/>
            </w:tcBorders>
            <w:vAlign w:val="center"/>
          </w:tcPr>
          <w:p w14:paraId="347B2A6E">
            <w:pPr>
              <w:spacing w:line="240" w:lineRule="exact"/>
              <w:jc w:val="right"/>
              <w:rPr>
                <w:rFonts w:ascii="宋体" w:hAnsi="宋体" w:eastAsia="宋体" w:cs="宋体"/>
                <w:sz w:val="18"/>
                <w:szCs w:val="18"/>
              </w:rPr>
            </w:pPr>
            <w:r>
              <w:rPr>
                <w:rFonts w:ascii="宋体" w:hAnsi="宋体" w:eastAsia="宋体" w:cs="宋体"/>
                <w:sz w:val="18"/>
                <w:szCs w:val="18"/>
              </w:rPr>
              <w:t>438,512,486.81</w:t>
            </w:r>
          </w:p>
        </w:tc>
      </w:tr>
      <w:tr w14:paraId="76C6F84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840F0C">
            <w:pPr>
              <w:spacing w:line="240" w:lineRule="exact"/>
              <w:rPr>
                <w:rFonts w:ascii="宋体" w:hAnsi="宋体" w:eastAsia="宋体" w:cs="宋体"/>
                <w:sz w:val="18"/>
                <w:szCs w:val="18"/>
              </w:rPr>
            </w:pPr>
            <w:r>
              <w:rPr>
                <w:rFonts w:ascii="宋体" w:hAnsi="宋体" w:eastAsia="宋体" w:cs="宋体"/>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19421169">
            <w:pPr>
              <w:spacing w:line="240" w:lineRule="exact"/>
              <w:jc w:val="right"/>
              <w:rPr>
                <w:rFonts w:ascii="宋体" w:hAnsi="宋体" w:eastAsia="宋体" w:cs="宋体"/>
                <w:sz w:val="18"/>
                <w:szCs w:val="18"/>
              </w:rPr>
            </w:pPr>
            <w:r>
              <w:rPr>
                <w:rFonts w:ascii="宋体" w:hAnsi="宋体" w:eastAsia="宋体" w:cs="宋体"/>
                <w:sz w:val="18"/>
                <w:szCs w:val="18"/>
              </w:rPr>
              <w:t>581,315,625.02</w:t>
            </w:r>
          </w:p>
        </w:tc>
        <w:tc>
          <w:tcPr>
            <w:tcW w:w="3213" w:type="dxa"/>
            <w:tcBorders>
              <w:top w:val="single" w:color="auto" w:sz="2" w:space="0"/>
              <w:left w:val="single" w:color="auto" w:sz="2" w:space="0"/>
              <w:bottom w:val="single" w:color="auto" w:sz="2" w:space="0"/>
              <w:right w:val="single" w:color="auto" w:sz="2" w:space="0"/>
            </w:tcBorders>
            <w:vAlign w:val="center"/>
          </w:tcPr>
          <w:p w14:paraId="16A298A7">
            <w:pPr>
              <w:spacing w:line="240" w:lineRule="exact"/>
              <w:jc w:val="right"/>
              <w:rPr>
                <w:rFonts w:ascii="宋体" w:hAnsi="宋体" w:eastAsia="宋体" w:cs="宋体"/>
                <w:sz w:val="18"/>
                <w:szCs w:val="18"/>
              </w:rPr>
            </w:pPr>
            <w:r>
              <w:rPr>
                <w:rFonts w:ascii="宋体" w:hAnsi="宋体" w:eastAsia="宋体" w:cs="宋体"/>
                <w:sz w:val="18"/>
                <w:szCs w:val="18"/>
              </w:rPr>
              <w:t>550,125,646.64</w:t>
            </w:r>
          </w:p>
        </w:tc>
      </w:tr>
      <w:tr w14:paraId="12D1DE2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2FFC82">
            <w:pPr>
              <w:spacing w:line="240" w:lineRule="exact"/>
              <w:rPr>
                <w:rFonts w:ascii="宋体" w:hAnsi="宋体" w:eastAsia="宋体" w:cs="宋体"/>
                <w:sz w:val="18"/>
                <w:szCs w:val="18"/>
              </w:rPr>
            </w:pPr>
            <w:r>
              <w:rPr>
                <w:rFonts w:ascii="宋体" w:hAnsi="宋体" w:eastAsia="宋体" w:cs="宋体"/>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2DF6E7F6">
            <w:pPr>
              <w:spacing w:line="240" w:lineRule="exact"/>
              <w:jc w:val="right"/>
              <w:rPr>
                <w:rFonts w:ascii="宋体" w:hAnsi="宋体" w:eastAsia="宋体" w:cs="宋体"/>
                <w:sz w:val="18"/>
                <w:szCs w:val="18"/>
              </w:rPr>
            </w:pPr>
            <w:r>
              <w:rPr>
                <w:rFonts w:ascii="宋体" w:hAnsi="宋体" w:eastAsia="宋体" w:cs="宋体"/>
                <w:sz w:val="18"/>
                <w:szCs w:val="18"/>
              </w:rPr>
              <w:t>952,204,248.46</w:t>
            </w:r>
          </w:p>
        </w:tc>
        <w:tc>
          <w:tcPr>
            <w:tcW w:w="3213" w:type="dxa"/>
            <w:tcBorders>
              <w:top w:val="single" w:color="auto" w:sz="2" w:space="0"/>
              <w:left w:val="single" w:color="auto" w:sz="2" w:space="0"/>
              <w:bottom w:val="single" w:color="auto" w:sz="2" w:space="0"/>
              <w:right w:val="single" w:color="auto" w:sz="2" w:space="0"/>
            </w:tcBorders>
            <w:vAlign w:val="center"/>
          </w:tcPr>
          <w:p w14:paraId="742D8EF2">
            <w:pPr>
              <w:spacing w:line="240" w:lineRule="exact"/>
              <w:jc w:val="right"/>
              <w:rPr>
                <w:rFonts w:ascii="宋体" w:hAnsi="宋体" w:eastAsia="宋体" w:cs="宋体"/>
                <w:sz w:val="18"/>
                <w:szCs w:val="18"/>
              </w:rPr>
            </w:pPr>
            <w:r>
              <w:rPr>
                <w:rFonts w:ascii="宋体" w:hAnsi="宋体" w:eastAsia="宋体" w:cs="宋体"/>
                <w:sz w:val="18"/>
                <w:szCs w:val="18"/>
              </w:rPr>
              <w:t>926,558,573.00</w:t>
            </w:r>
          </w:p>
        </w:tc>
      </w:tr>
    </w:tbl>
    <w:p w14:paraId="1844BBAA">
      <w:pPr>
        <w:spacing w:before="100" w:after="100" w:line="240" w:lineRule="exact"/>
        <w:rPr>
          <w:rFonts w:ascii="宋体" w:hAnsi="宋体" w:eastAsia="宋体" w:cs="宋体"/>
          <w:sz w:val="18"/>
          <w:szCs w:val="18"/>
        </w:rPr>
      </w:pPr>
      <w:r>
        <w:rPr>
          <w:rFonts w:ascii="宋体" w:hAnsi="宋体" w:eastAsia="宋体" w:cs="宋体"/>
          <w:sz w:val="18"/>
          <w:szCs w:val="18"/>
        </w:rPr>
        <w:t xml:space="preserve">法定代表人：罗希   </w:t>
      </w:r>
      <w:r>
        <w:rPr>
          <w:rFonts w:hint="eastAsia" w:ascii="宋体" w:hAnsi="宋体" w:eastAsia="宋体" w:cs="宋体"/>
          <w:sz w:val="18"/>
          <w:szCs w:val="18"/>
        </w:rPr>
        <w:t xml:space="preserve">                  </w:t>
      </w:r>
      <w:r>
        <w:rPr>
          <w:rFonts w:ascii="宋体" w:hAnsi="宋体" w:eastAsia="宋体" w:cs="宋体"/>
          <w:sz w:val="18"/>
          <w:szCs w:val="18"/>
        </w:rPr>
        <w:t xml:space="preserve"> 主管会计工作负责人：唐逸  </w:t>
      </w:r>
      <w:r>
        <w:rPr>
          <w:rFonts w:hint="eastAsia" w:ascii="宋体" w:hAnsi="宋体" w:eastAsia="宋体" w:cs="宋体"/>
          <w:sz w:val="18"/>
          <w:szCs w:val="18"/>
        </w:rPr>
        <w:t xml:space="preserve">                 </w:t>
      </w:r>
      <w:r>
        <w:rPr>
          <w:rFonts w:ascii="宋体" w:hAnsi="宋体" w:eastAsia="宋体" w:cs="宋体"/>
          <w:sz w:val="18"/>
          <w:szCs w:val="18"/>
        </w:rPr>
        <w:t xml:space="preserve">    会计机构负责人：陈静</w:t>
      </w:r>
    </w:p>
    <w:p w14:paraId="1FE02A66">
      <w:pPr>
        <w:pStyle w:val="3"/>
        <w:spacing w:line="320" w:lineRule="exact"/>
        <w:jc w:val="left"/>
        <w:rPr>
          <w:rFonts w:ascii="宋体" w:hAnsi="宋体" w:cs="宋体"/>
          <w:b/>
          <w:bCs/>
          <w:sz w:val="24"/>
          <w:szCs w:val="24"/>
        </w:rPr>
      </w:pPr>
      <w:bookmarkStart w:id="91" w:name="_Toc988980"/>
      <w:r>
        <w:rPr>
          <w:rFonts w:ascii="宋体" w:hAnsi="宋体" w:cs="宋体"/>
          <w:b/>
          <w:bCs/>
          <w:sz w:val="24"/>
          <w:szCs w:val="24"/>
        </w:rPr>
        <w:t>2、母公司资产负债表</w:t>
      </w:r>
      <w:bookmarkEnd w:id="91"/>
    </w:p>
    <w:p w14:paraId="75C7430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169418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63315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67DF3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EC403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D52177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0371BF">
            <w:pPr>
              <w:spacing w:before="40" w:after="40" w:line="240" w:lineRule="exac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2F6B7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3AFEEA"/>
        </w:tc>
      </w:tr>
      <w:tr w14:paraId="6AB84CC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5A525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6115E351">
            <w:pPr>
              <w:spacing w:line="240" w:lineRule="exact"/>
              <w:jc w:val="right"/>
              <w:rPr>
                <w:rFonts w:ascii="宋体" w:hAnsi="宋体" w:eastAsia="宋体" w:cs="宋体"/>
                <w:sz w:val="18"/>
                <w:szCs w:val="18"/>
              </w:rPr>
            </w:pPr>
            <w:r>
              <w:rPr>
                <w:rFonts w:ascii="宋体" w:hAnsi="宋体" w:eastAsia="宋体" w:cs="宋体"/>
                <w:sz w:val="18"/>
                <w:szCs w:val="18"/>
              </w:rPr>
              <w:t>534.11</w:t>
            </w:r>
          </w:p>
        </w:tc>
        <w:tc>
          <w:tcPr>
            <w:tcW w:w="3213" w:type="dxa"/>
            <w:tcBorders>
              <w:top w:val="single" w:color="auto" w:sz="2" w:space="0"/>
              <w:left w:val="single" w:color="auto" w:sz="2" w:space="0"/>
              <w:bottom w:val="single" w:color="auto" w:sz="2" w:space="0"/>
              <w:right w:val="single" w:color="auto" w:sz="2" w:space="0"/>
            </w:tcBorders>
            <w:vAlign w:val="center"/>
          </w:tcPr>
          <w:p w14:paraId="1FBE831A">
            <w:pPr>
              <w:spacing w:line="240" w:lineRule="exact"/>
              <w:jc w:val="right"/>
              <w:rPr>
                <w:rFonts w:ascii="宋体" w:hAnsi="宋体" w:eastAsia="宋体" w:cs="宋体"/>
                <w:sz w:val="18"/>
                <w:szCs w:val="18"/>
              </w:rPr>
            </w:pPr>
            <w:r>
              <w:rPr>
                <w:rFonts w:ascii="宋体" w:hAnsi="宋体" w:eastAsia="宋体" w:cs="宋体"/>
                <w:sz w:val="18"/>
                <w:szCs w:val="18"/>
              </w:rPr>
              <w:t>120,772.81</w:t>
            </w:r>
          </w:p>
        </w:tc>
      </w:tr>
      <w:tr w14:paraId="675F476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65F09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50CCA91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7F2946">
            <w:pPr>
              <w:spacing w:line="240" w:lineRule="exact"/>
              <w:jc w:val="right"/>
              <w:rPr>
                <w:rFonts w:ascii="宋体" w:hAnsi="宋体" w:eastAsia="宋体" w:cs="宋体"/>
                <w:sz w:val="18"/>
                <w:szCs w:val="18"/>
              </w:rPr>
            </w:pPr>
          </w:p>
        </w:tc>
      </w:tr>
      <w:tr w14:paraId="5511A00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44417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E9071C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668FF2A">
            <w:pPr>
              <w:spacing w:line="240" w:lineRule="exact"/>
              <w:jc w:val="right"/>
              <w:rPr>
                <w:rFonts w:ascii="宋体" w:hAnsi="宋体" w:eastAsia="宋体" w:cs="宋体"/>
                <w:sz w:val="18"/>
                <w:szCs w:val="18"/>
              </w:rPr>
            </w:pPr>
          </w:p>
        </w:tc>
      </w:tr>
      <w:tr w14:paraId="48D8A3B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345DF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1404D20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F90F9C">
            <w:pPr>
              <w:spacing w:line="240" w:lineRule="exact"/>
              <w:jc w:val="right"/>
              <w:rPr>
                <w:rFonts w:ascii="宋体" w:hAnsi="宋体" w:eastAsia="宋体" w:cs="宋体"/>
                <w:sz w:val="18"/>
                <w:szCs w:val="18"/>
              </w:rPr>
            </w:pPr>
          </w:p>
        </w:tc>
      </w:tr>
      <w:tr w14:paraId="1C9B765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0CBD3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15C3500E">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00E2EC9A">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67F0528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168E8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6367214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759561">
            <w:pPr>
              <w:spacing w:line="240" w:lineRule="exact"/>
              <w:jc w:val="right"/>
              <w:rPr>
                <w:rFonts w:ascii="宋体" w:hAnsi="宋体" w:eastAsia="宋体" w:cs="宋体"/>
                <w:sz w:val="18"/>
                <w:szCs w:val="18"/>
              </w:rPr>
            </w:pPr>
          </w:p>
        </w:tc>
      </w:tr>
      <w:tr w14:paraId="1008182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9BBA6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364B9AD9">
            <w:pPr>
              <w:spacing w:line="240" w:lineRule="exact"/>
              <w:jc w:val="right"/>
              <w:rPr>
                <w:rFonts w:ascii="宋体" w:hAnsi="宋体" w:eastAsia="宋体" w:cs="宋体"/>
                <w:sz w:val="18"/>
                <w:szCs w:val="18"/>
              </w:rPr>
            </w:pPr>
            <w:r>
              <w:rPr>
                <w:rFonts w:ascii="宋体" w:hAnsi="宋体" w:eastAsia="宋体" w:cs="宋体"/>
                <w:sz w:val="18"/>
                <w:szCs w:val="18"/>
              </w:rPr>
              <w:t>5,500.00</w:t>
            </w:r>
          </w:p>
        </w:tc>
        <w:tc>
          <w:tcPr>
            <w:tcW w:w="3213" w:type="dxa"/>
            <w:tcBorders>
              <w:top w:val="single" w:color="auto" w:sz="2" w:space="0"/>
              <w:left w:val="single" w:color="auto" w:sz="2" w:space="0"/>
              <w:bottom w:val="single" w:color="auto" w:sz="2" w:space="0"/>
              <w:right w:val="single" w:color="auto" w:sz="2" w:space="0"/>
            </w:tcBorders>
            <w:vAlign w:val="center"/>
          </w:tcPr>
          <w:p w14:paraId="0D8059F7">
            <w:pPr>
              <w:spacing w:line="240" w:lineRule="exact"/>
              <w:jc w:val="right"/>
              <w:rPr>
                <w:rFonts w:ascii="宋体" w:hAnsi="宋体" w:eastAsia="宋体" w:cs="宋体"/>
                <w:sz w:val="18"/>
                <w:szCs w:val="18"/>
              </w:rPr>
            </w:pPr>
            <w:r>
              <w:rPr>
                <w:rFonts w:ascii="宋体" w:hAnsi="宋体" w:eastAsia="宋体" w:cs="宋体"/>
                <w:sz w:val="18"/>
                <w:szCs w:val="18"/>
              </w:rPr>
              <w:t>282,922.00</w:t>
            </w:r>
          </w:p>
        </w:tc>
      </w:tr>
      <w:tr w14:paraId="2AD55CB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922A5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7F700819">
            <w:pPr>
              <w:spacing w:line="240" w:lineRule="exact"/>
              <w:jc w:val="right"/>
              <w:rPr>
                <w:rFonts w:ascii="宋体" w:hAnsi="宋体" w:eastAsia="宋体" w:cs="宋体"/>
                <w:sz w:val="18"/>
                <w:szCs w:val="18"/>
              </w:rPr>
            </w:pPr>
            <w:r>
              <w:rPr>
                <w:rFonts w:ascii="宋体" w:hAnsi="宋体" w:eastAsia="宋体" w:cs="宋体"/>
                <w:sz w:val="18"/>
                <w:szCs w:val="18"/>
              </w:rPr>
              <w:t>362,137.70</w:t>
            </w:r>
          </w:p>
        </w:tc>
        <w:tc>
          <w:tcPr>
            <w:tcW w:w="3213" w:type="dxa"/>
            <w:tcBorders>
              <w:top w:val="single" w:color="auto" w:sz="2" w:space="0"/>
              <w:left w:val="single" w:color="auto" w:sz="2" w:space="0"/>
              <w:bottom w:val="single" w:color="auto" w:sz="2" w:space="0"/>
              <w:right w:val="single" w:color="auto" w:sz="2" w:space="0"/>
            </w:tcBorders>
            <w:vAlign w:val="center"/>
          </w:tcPr>
          <w:p w14:paraId="07F3B0E1">
            <w:pPr>
              <w:spacing w:line="240" w:lineRule="exact"/>
              <w:jc w:val="right"/>
              <w:rPr>
                <w:rFonts w:ascii="宋体" w:hAnsi="宋体" w:eastAsia="宋体" w:cs="宋体"/>
                <w:sz w:val="18"/>
                <w:szCs w:val="18"/>
              </w:rPr>
            </w:pPr>
            <w:r>
              <w:rPr>
                <w:rFonts w:ascii="宋体" w:hAnsi="宋体" w:eastAsia="宋体" w:cs="宋体"/>
                <w:sz w:val="18"/>
                <w:szCs w:val="18"/>
              </w:rPr>
              <w:t>246,071.12</w:t>
            </w:r>
          </w:p>
        </w:tc>
      </w:tr>
      <w:tr w14:paraId="1F27BAF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529C11">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3A3A0BD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E63FBA">
            <w:pPr>
              <w:spacing w:line="240" w:lineRule="exact"/>
              <w:jc w:val="right"/>
              <w:rPr>
                <w:rFonts w:ascii="宋体" w:hAnsi="宋体" w:eastAsia="宋体" w:cs="宋体"/>
                <w:sz w:val="18"/>
                <w:szCs w:val="18"/>
              </w:rPr>
            </w:pPr>
          </w:p>
        </w:tc>
      </w:tr>
      <w:tr w14:paraId="29907DF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3D050D">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09F7A3B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C502460">
            <w:pPr>
              <w:spacing w:line="240" w:lineRule="exact"/>
              <w:jc w:val="right"/>
              <w:rPr>
                <w:rFonts w:ascii="宋体" w:hAnsi="宋体" w:eastAsia="宋体" w:cs="宋体"/>
                <w:sz w:val="18"/>
                <w:szCs w:val="18"/>
              </w:rPr>
            </w:pPr>
          </w:p>
        </w:tc>
      </w:tr>
      <w:tr w14:paraId="60C8484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D801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7D68BD6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366B89">
            <w:pPr>
              <w:spacing w:line="240" w:lineRule="exact"/>
              <w:jc w:val="right"/>
              <w:rPr>
                <w:rFonts w:ascii="宋体" w:hAnsi="宋体" w:eastAsia="宋体" w:cs="宋体"/>
                <w:sz w:val="18"/>
                <w:szCs w:val="18"/>
              </w:rPr>
            </w:pPr>
          </w:p>
        </w:tc>
      </w:tr>
      <w:tr w14:paraId="5B68819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88A52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5B34A43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D8C5368">
            <w:pPr>
              <w:spacing w:line="240" w:lineRule="exact"/>
              <w:jc w:val="right"/>
              <w:rPr>
                <w:rFonts w:ascii="宋体" w:hAnsi="宋体" w:eastAsia="宋体" w:cs="宋体"/>
                <w:sz w:val="18"/>
                <w:szCs w:val="18"/>
              </w:rPr>
            </w:pPr>
          </w:p>
        </w:tc>
      </w:tr>
      <w:tr w14:paraId="1A24D8D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3F67C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427CF77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2D5BBA">
            <w:pPr>
              <w:spacing w:line="240" w:lineRule="exact"/>
              <w:jc w:val="right"/>
              <w:rPr>
                <w:rFonts w:ascii="宋体" w:hAnsi="宋体" w:eastAsia="宋体" w:cs="宋体"/>
                <w:sz w:val="18"/>
                <w:szCs w:val="18"/>
              </w:rPr>
            </w:pPr>
          </w:p>
        </w:tc>
      </w:tr>
      <w:tr w14:paraId="0A36694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9EB97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6E3F025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4ACA10">
            <w:pPr>
              <w:spacing w:line="240" w:lineRule="exact"/>
              <w:jc w:val="right"/>
              <w:rPr>
                <w:rFonts w:ascii="宋体" w:hAnsi="宋体" w:eastAsia="宋体" w:cs="宋体"/>
                <w:sz w:val="18"/>
                <w:szCs w:val="18"/>
              </w:rPr>
            </w:pPr>
          </w:p>
        </w:tc>
      </w:tr>
      <w:tr w14:paraId="5A86EEC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72B69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1FD3CD3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745FAB">
            <w:pPr>
              <w:spacing w:line="240" w:lineRule="exact"/>
              <w:jc w:val="right"/>
              <w:rPr>
                <w:rFonts w:ascii="宋体" w:hAnsi="宋体" w:eastAsia="宋体" w:cs="宋体"/>
                <w:sz w:val="18"/>
                <w:szCs w:val="18"/>
              </w:rPr>
            </w:pPr>
          </w:p>
        </w:tc>
      </w:tr>
      <w:tr w14:paraId="1D50CCC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83F37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32209AB0">
            <w:pPr>
              <w:spacing w:line="240" w:lineRule="exact"/>
              <w:jc w:val="right"/>
              <w:rPr>
                <w:rFonts w:ascii="宋体" w:hAnsi="宋体" w:eastAsia="宋体" w:cs="宋体"/>
                <w:sz w:val="18"/>
                <w:szCs w:val="18"/>
              </w:rPr>
            </w:pPr>
            <w:r>
              <w:rPr>
                <w:rFonts w:ascii="宋体" w:hAnsi="宋体" w:eastAsia="宋体" w:cs="宋体"/>
                <w:sz w:val="18"/>
                <w:szCs w:val="18"/>
              </w:rPr>
              <w:t>89,347.46</w:t>
            </w:r>
          </w:p>
        </w:tc>
        <w:tc>
          <w:tcPr>
            <w:tcW w:w="3213" w:type="dxa"/>
            <w:tcBorders>
              <w:top w:val="single" w:color="auto" w:sz="2" w:space="0"/>
              <w:left w:val="single" w:color="auto" w:sz="2" w:space="0"/>
              <w:bottom w:val="single" w:color="auto" w:sz="2" w:space="0"/>
              <w:right w:val="single" w:color="auto" w:sz="2" w:space="0"/>
            </w:tcBorders>
            <w:vAlign w:val="center"/>
          </w:tcPr>
          <w:p w14:paraId="27DB2615">
            <w:pPr>
              <w:spacing w:line="240" w:lineRule="exact"/>
              <w:jc w:val="right"/>
              <w:rPr>
                <w:rFonts w:ascii="宋体" w:hAnsi="宋体" w:eastAsia="宋体" w:cs="宋体"/>
                <w:sz w:val="18"/>
                <w:szCs w:val="18"/>
              </w:rPr>
            </w:pPr>
            <w:r>
              <w:rPr>
                <w:rFonts w:ascii="宋体" w:hAnsi="宋体" w:eastAsia="宋体" w:cs="宋体"/>
                <w:sz w:val="18"/>
                <w:szCs w:val="18"/>
              </w:rPr>
              <w:t>68,298.25</w:t>
            </w:r>
          </w:p>
        </w:tc>
      </w:tr>
      <w:tr w14:paraId="014FC35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CD676E">
            <w:pPr>
              <w:spacing w:before="40" w:after="40" w:line="240" w:lineRule="exact"/>
              <w:rPr>
                <w:rFonts w:ascii="宋体" w:hAnsi="宋体" w:eastAsia="宋体" w:cs="宋体"/>
                <w:sz w:val="18"/>
                <w:szCs w:val="18"/>
              </w:rPr>
            </w:pPr>
            <w:r>
              <w:rPr>
                <w:rFonts w:ascii="宋体" w:hAnsi="宋体" w:eastAsia="宋体" w:cs="宋体"/>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4605BF14">
            <w:pPr>
              <w:spacing w:line="240" w:lineRule="exact"/>
              <w:jc w:val="right"/>
              <w:rPr>
                <w:rFonts w:ascii="宋体" w:hAnsi="宋体" w:eastAsia="宋体" w:cs="宋体"/>
                <w:sz w:val="18"/>
                <w:szCs w:val="18"/>
              </w:rPr>
            </w:pPr>
            <w:r>
              <w:rPr>
                <w:rFonts w:ascii="宋体" w:hAnsi="宋体" w:eastAsia="宋体" w:cs="宋体"/>
                <w:sz w:val="18"/>
                <w:szCs w:val="18"/>
              </w:rPr>
              <w:t>57,519</w:t>
            </w:r>
          </w:p>
        </w:tc>
        <w:tc>
          <w:tcPr>
            <w:tcW w:w="3213" w:type="dxa"/>
            <w:tcBorders>
              <w:top w:val="single" w:color="auto" w:sz="2" w:space="0"/>
              <w:left w:val="single" w:color="auto" w:sz="2" w:space="0"/>
              <w:bottom w:val="single" w:color="auto" w:sz="2" w:space="0"/>
              <w:right w:val="single" w:color="auto" w:sz="2" w:space="0"/>
            </w:tcBorders>
            <w:vAlign w:val="center"/>
          </w:tcPr>
          <w:p w14:paraId="65802D1E">
            <w:pPr>
              <w:spacing w:line="240" w:lineRule="exact"/>
              <w:jc w:val="right"/>
              <w:rPr>
                <w:rFonts w:ascii="宋体" w:hAnsi="宋体" w:eastAsia="宋体" w:cs="宋体"/>
                <w:sz w:val="18"/>
                <w:szCs w:val="18"/>
              </w:rPr>
            </w:pPr>
            <w:r>
              <w:rPr>
                <w:rFonts w:ascii="宋体" w:hAnsi="宋体" w:eastAsia="宋体" w:cs="宋体"/>
                <w:sz w:val="18"/>
                <w:szCs w:val="18"/>
              </w:rPr>
              <w:t>718,064.18</w:t>
            </w:r>
          </w:p>
        </w:tc>
      </w:tr>
      <w:tr w14:paraId="2867D4C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05F2F0">
            <w:pPr>
              <w:spacing w:before="40" w:after="40" w:line="240" w:lineRule="exac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45D793"/>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C077C"/>
        </w:tc>
      </w:tr>
      <w:tr w14:paraId="36D9B4B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5B6B2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782AA2B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6B19CD1">
            <w:pPr>
              <w:spacing w:line="240" w:lineRule="exact"/>
              <w:jc w:val="right"/>
              <w:rPr>
                <w:rFonts w:ascii="宋体" w:hAnsi="宋体" w:eastAsia="宋体" w:cs="宋体"/>
                <w:sz w:val="18"/>
                <w:szCs w:val="18"/>
              </w:rPr>
            </w:pPr>
          </w:p>
        </w:tc>
      </w:tr>
      <w:tr w14:paraId="2A73990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F6086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71AD14E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08F389">
            <w:pPr>
              <w:spacing w:line="240" w:lineRule="exact"/>
              <w:jc w:val="right"/>
              <w:rPr>
                <w:rFonts w:ascii="宋体" w:hAnsi="宋体" w:eastAsia="宋体" w:cs="宋体"/>
                <w:sz w:val="18"/>
                <w:szCs w:val="18"/>
              </w:rPr>
            </w:pPr>
          </w:p>
        </w:tc>
      </w:tr>
      <w:tr w14:paraId="7068BD4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C2553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4D4D121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0BC3C79">
            <w:pPr>
              <w:spacing w:line="240" w:lineRule="exact"/>
              <w:jc w:val="right"/>
              <w:rPr>
                <w:rFonts w:ascii="宋体" w:hAnsi="宋体" w:eastAsia="宋体" w:cs="宋体"/>
                <w:sz w:val="18"/>
                <w:szCs w:val="18"/>
              </w:rPr>
            </w:pPr>
          </w:p>
        </w:tc>
      </w:tr>
      <w:tr w14:paraId="4A5C6C3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3340E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324D1F81">
            <w:pPr>
              <w:spacing w:line="240" w:lineRule="exact"/>
              <w:jc w:val="right"/>
              <w:rPr>
                <w:rFonts w:ascii="宋体" w:hAnsi="宋体" w:eastAsia="宋体" w:cs="宋体"/>
                <w:sz w:val="18"/>
                <w:szCs w:val="18"/>
              </w:rPr>
            </w:pPr>
            <w:r>
              <w:rPr>
                <w:rFonts w:ascii="宋体" w:hAnsi="宋体" w:eastAsia="宋体" w:cs="宋体"/>
                <w:sz w:val="18"/>
                <w:szCs w:val="18"/>
              </w:rPr>
              <w:t>407,834,524.54</w:t>
            </w:r>
          </w:p>
        </w:tc>
        <w:tc>
          <w:tcPr>
            <w:tcW w:w="3213" w:type="dxa"/>
            <w:tcBorders>
              <w:top w:val="single" w:color="auto" w:sz="2" w:space="0"/>
              <w:left w:val="single" w:color="auto" w:sz="2" w:space="0"/>
              <w:bottom w:val="single" w:color="auto" w:sz="2" w:space="0"/>
              <w:right w:val="single" w:color="auto" w:sz="2" w:space="0"/>
            </w:tcBorders>
            <w:vAlign w:val="center"/>
          </w:tcPr>
          <w:p w14:paraId="53BE6603">
            <w:pPr>
              <w:spacing w:line="240" w:lineRule="exact"/>
              <w:jc w:val="right"/>
              <w:rPr>
                <w:rFonts w:ascii="宋体" w:hAnsi="宋体" w:eastAsia="宋体" w:cs="宋体"/>
                <w:sz w:val="18"/>
                <w:szCs w:val="18"/>
              </w:rPr>
            </w:pPr>
            <w:r>
              <w:rPr>
                <w:rFonts w:ascii="宋体" w:hAnsi="宋体" w:eastAsia="宋体" w:cs="宋体"/>
                <w:sz w:val="18"/>
                <w:szCs w:val="18"/>
              </w:rPr>
              <w:t>411,080,375.21</w:t>
            </w:r>
          </w:p>
        </w:tc>
      </w:tr>
      <w:tr w14:paraId="1E32A33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B1304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6695347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0B5117">
            <w:pPr>
              <w:spacing w:line="240" w:lineRule="exact"/>
              <w:jc w:val="right"/>
              <w:rPr>
                <w:rFonts w:ascii="宋体" w:hAnsi="宋体" w:eastAsia="宋体" w:cs="宋体"/>
                <w:sz w:val="18"/>
                <w:szCs w:val="18"/>
              </w:rPr>
            </w:pPr>
          </w:p>
        </w:tc>
      </w:tr>
      <w:tr w14:paraId="096A1F7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AD4AB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E18AD2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3B81E2B">
            <w:pPr>
              <w:spacing w:line="240" w:lineRule="exact"/>
              <w:jc w:val="right"/>
              <w:rPr>
                <w:rFonts w:ascii="宋体" w:hAnsi="宋体" w:eastAsia="宋体" w:cs="宋体"/>
                <w:sz w:val="18"/>
                <w:szCs w:val="18"/>
              </w:rPr>
            </w:pPr>
          </w:p>
        </w:tc>
      </w:tr>
      <w:tr w14:paraId="4CE3417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466C9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73C03AC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9B323E">
            <w:pPr>
              <w:spacing w:line="240" w:lineRule="exact"/>
              <w:jc w:val="right"/>
              <w:rPr>
                <w:rFonts w:ascii="宋体" w:hAnsi="宋体" w:eastAsia="宋体" w:cs="宋体"/>
                <w:sz w:val="18"/>
                <w:szCs w:val="18"/>
              </w:rPr>
            </w:pPr>
          </w:p>
        </w:tc>
      </w:tr>
      <w:tr w14:paraId="187E002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53ADB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363B97B3">
            <w:pPr>
              <w:spacing w:line="240" w:lineRule="exact"/>
              <w:jc w:val="right"/>
              <w:rPr>
                <w:rFonts w:ascii="宋体" w:hAnsi="宋体" w:eastAsia="宋体" w:cs="宋体"/>
                <w:sz w:val="18"/>
                <w:szCs w:val="18"/>
              </w:rPr>
            </w:pPr>
            <w:r>
              <w:rPr>
                <w:rFonts w:ascii="宋体" w:hAnsi="宋体" w:eastAsia="宋体" w:cs="宋体"/>
                <w:sz w:val="18"/>
                <w:szCs w:val="18"/>
              </w:rPr>
              <w:t>50,385.79</w:t>
            </w:r>
          </w:p>
        </w:tc>
        <w:tc>
          <w:tcPr>
            <w:tcW w:w="3213" w:type="dxa"/>
            <w:tcBorders>
              <w:top w:val="single" w:color="auto" w:sz="2" w:space="0"/>
              <w:left w:val="single" w:color="auto" w:sz="2" w:space="0"/>
              <w:bottom w:val="single" w:color="auto" w:sz="2" w:space="0"/>
              <w:right w:val="single" w:color="auto" w:sz="2" w:space="0"/>
            </w:tcBorders>
            <w:vAlign w:val="center"/>
          </w:tcPr>
          <w:p w14:paraId="2737888B">
            <w:pPr>
              <w:spacing w:line="240" w:lineRule="exact"/>
              <w:jc w:val="right"/>
              <w:rPr>
                <w:rFonts w:ascii="宋体" w:hAnsi="宋体" w:eastAsia="宋体" w:cs="宋体"/>
                <w:sz w:val="18"/>
                <w:szCs w:val="18"/>
              </w:rPr>
            </w:pPr>
            <w:r>
              <w:rPr>
                <w:rFonts w:ascii="宋体" w:hAnsi="宋体" w:eastAsia="宋体" w:cs="宋体"/>
                <w:sz w:val="18"/>
                <w:szCs w:val="18"/>
              </w:rPr>
              <w:t>33,854.73</w:t>
            </w:r>
          </w:p>
        </w:tc>
      </w:tr>
      <w:tr w14:paraId="36081FB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D8D93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7E1124C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BC1F42">
            <w:pPr>
              <w:spacing w:line="240" w:lineRule="exact"/>
              <w:jc w:val="right"/>
              <w:rPr>
                <w:rFonts w:ascii="宋体" w:hAnsi="宋体" w:eastAsia="宋体" w:cs="宋体"/>
                <w:sz w:val="18"/>
                <w:szCs w:val="18"/>
              </w:rPr>
            </w:pPr>
          </w:p>
        </w:tc>
      </w:tr>
      <w:tr w14:paraId="3DFDBC4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B46E6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54FBC8C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530543">
            <w:pPr>
              <w:spacing w:line="240" w:lineRule="exact"/>
              <w:jc w:val="right"/>
              <w:rPr>
                <w:rFonts w:ascii="宋体" w:hAnsi="宋体" w:eastAsia="宋体" w:cs="宋体"/>
                <w:sz w:val="18"/>
                <w:szCs w:val="18"/>
              </w:rPr>
            </w:pPr>
          </w:p>
        </w:tc>
      </w:tr>
      <w:tr w14:paraId="52CAA74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2D8B1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503E0F9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E978C2">
            <w:pPr>
              <w:spacing w:line="240" w:lineRule="exact"/>
              <w:jc w:val="right"/>
              <w:rPr>
                <w:rFonts w:ascii="宋体" w:hAnsi="宋体" w:eastAsia="宋体" w:cs="宋体"/>
                <w:sz w:val="18"/>
                <w:szCs w:val="18"/>
              </w:rPr>
            </w:pPr>
          </w:p>
        </w:tc>
      </w:tr>
      <w:tr w14:paraId="1B886D8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814CD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526E282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073BA7">
            <w:pPr>
              <w:spacing w:line="240" w:lineRule="exact"/>
              <w:jc w:val="right"/>
              <w:rPr>
                <w:rFonts w:ascii="宋体" w:hAnsi="宋体" w:eastAsia="宋体" w:cs="宋体"/>
                <w:sz w:val="18"/>
                <w:szCs w:val="18"/>
              </w:rPr>
            </w:pPr>
          </w:p>
        </w:tc>
      </w:tr>
      <w:tr w14:paraId="35CBE0C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DFAC0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2ED7D21A">
            <w:pPr>
              <w:spacing w:line="240" w:lineRule="exact"/>
              <w:jc w:val="right"/>
              <w:rPr>
                <w:rFonts w:ascii="宋体" w:hAnsi="宋体" w:eastAsia="宋体" w:cs="宋体"/>
                <w:sz w:val="18"/>
                <w:szCs w:val="18"/>
              </w:rPr>
            </w:pPr>
            <w:r>
              <w:rPr>
                <w:rFonts w:ascii="宋体" w:hAnsi="宋体" w:eastAsia="宋体" w:cs="宋体"/>
                <w:sz w:val="18"/>
                <w:szCs w:val="18"/>
              </w:rPr>
              <w:t>29,975.60</w:t>
            </w:r>
          </w:p>
        </w:tc>
        <w:tc>
          <w:tcPr>
            <w:tcW w:w="3213" w:type="dxa"/>
            <w:tcBorders>
              <w:top w:val="single" w:color="auto" w:sz="2" w:space="0"/>
              <w:left w:val="single" w:color="auto" w:sz="2" w:space="0"/>
              <w:bottom w:val="single" w:color="auto" w:sz="2" w:space="0"/>
              <w:right w:val="single" w:color="auto" w:sz="2" w:space="0"/>
            </w:tcBorders>
            <w:vAlign w:val="center"/>
          </w:tcPr>
          <w:p w14:paraId="28A3FA73">
            <w:pPr>
              <w:spacing w:line="240" w:lineRule="exact"/>
              <w:jc w:val="right"/>
              <w:rPr>
                <w:rFonts w:ascii="宋体" w:hAnsi="宋体" w:eastAsia="宋体" w:cs="宋体"/>
                <w:sz w:val="18"/>
                <w:szCs w:val="18"/>
              </w:rPr>
            </w:pPr>
            <w:r>
              <w:rPr>
                <w:rFonts w:ascii="宋体" w:hAnsi="宋体" w:eastAsia="宋体" w:cs="宋体"/>
                <w:sz w:val="18"/>
                <w:szCs w:val="18"/>
              </w:rPr>
              <w:t>34,587.26</w:t>
            </w:r>
          </w:p>
        </w:tc>
      </w:tr>
      <w:tr w14:paraId="4D906A1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7BD5D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4EC769E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35AF3C">
            <w:pPr>
              <w:spacing w:line="240" w:lineRule="exact"/>
              <w:jc w:val="right"/>
              <w:rPr>
                <w:rFonts w:ascii="宋体" w:hAnsi="宋体" w:eastAsia="宋体" w:cs="宋体"/>
                <w:sz w:val="18"/>
                <w:szCs w:val="18"/>
              </w:rPr>
            </w:pPr>
          </w:p>
        </w:tc>
      </w:tr>
      <w:tr w14:paraId="4D9D0F3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43A1C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15A2B89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91775E">
            <w:pPr>
              <w:spacing w:line="240" w:lineRule="exact"/>
              <w:jc w:val="right"/>
              <w:rPr>
                <w:rFonts w:ascii="宋体" w:hAnsi="宋体" w:eastAsia="宋体" w:cs="宋体"/>
                <w:sz w:val="18"/>
                <w:szCs w:val="18"/>
              </w:rPr>
            </w:pPr>
          </w:p>
        </w:tc>
      </w:tr>
      <w:tr w14:paraId="34F8145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5C8D90">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02AFA11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C37F51">
            <w:pPr>
              <w:spacing w:line="240" w:lineRule="exact"/>
              <w:jc w:val="right"/>
              <w:rPr>
                <w:rFonts w:ascii="宋体" w:hAnsi="宋体" w:eastAsia="宋体" w:cs="宋体"/>
                <w:sz w:val="18"/>
                <w:szCs w:val="18"/>
              </w:rPr>
            </w:pPr>
          </w:p>
        </w:tc>
      </w:tr>
      <w:tr w14:paraId="15006CC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31ADF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08EAC9F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522920">
            <w:pPr>
              <w:spacing w:line="240" w:lineRule="exact"/>
              <w:jc w:val="right"/>
              <w:rPr>
                <w:rFonts w:ascii="宋体" w:hAnsi="宋体" w:eastAsia="宋体" w:cs="宋体"/>
                <w:sz w:val="18"/>
                <w:szCs w:val="18"/>
              </w:rPr>
            </w:pPr>
          </w:p>
        </w:tc>
      </w:tr>
      <w:tr w14:paraId="6F0E14B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5A7C1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4658529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65D7A1">
            <w:pPr>
              <w:spacing w:line="240" w:lineRule="exact"/>
              <w:jc w:val="right"/>
              <w:rPr>
                <w:rFonts w:ascii="宋体" w:hAnsi="宋体" w:eastAsia="宋体" w:cs="宋体"/>
                <w:sz w:val="18"/>
                <w:szCs w:val="18"/>
              </w:rPr>
            </w:pPr>
          </w:p>
        </w:tc>
      </w:tr>
      <w:tr w14:paraId="516E9D1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3E0A3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091B00D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FC845C">
            <w:pPr>
              <w:spacing w:line="240" w:lineRule="exact"/>
              <w:jc w:val="right"/>
              <w:rPr>
                <w:rFonts w:ascii="宋体" w:hAnsi="宋体" w:eastAsia="宋体" w:cs="宋体"/>
                <w:sz w:val="18"/>
                <w:szCs w:val="18"/>
              </w:rPr>
            </w:pPr>
          </w:p>
        </w:tc>
      </w:tr>
      <w:tr w14:paraId="74A7B06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DED0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2EC9EAD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42619E">
            <w:pPr>
              <w:spacing w:line="240" w:lineRule="exact"/>
              <w:jc w:val="right"/>
              <w:rPr>
                <w:rFonts w:ascii="宋体" w:hAnsi="宋体" w:eastAsia="宋体" w:cs="宋体"/>
                <w:sz w:val="18"/>
                <w:szCs w:val="18"/>
              </w:rPr>
            </w:pPr>
          </w:p>
        </w:tc>
      </w:tr>
      <w:tr w14:paraId="4D27889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266C1A">
            <w:pPr>
              <w:spacing w:before="40" w:after="40" w:line="240" w:lineRule="exact"/>
              <w:rPr>
                <w:rFonts w:ascii="宋体" w:hAnsi="宋体" w:eastAsia="宋体" w:cs="宋体"/>
                <w:sz w:val="18"/>
                <w:szCs w:val="18"/>
              </w:rPr>
            </w:pPr>
            <w:r>
              <w:rPr>
                <w:rFonts w:ascii="宋体" w:hAnsi="宋体" w:eastAsia="宋体" w:cs="宋体"/>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3D0E0CD1">
            <w:pPr>
              <w:spacing w:line="240" w:lineRule="exact"/>
              <w:jc w:val="right"/>
              <w:rPr>
                <w:rFonts w:ascii="宋体" w:hAnsi="宋体" w:eastAsia="宋体" w:cs="宋体"/>
                <w:sz w:val="18"/>
                <w:szCs w:val="18"/>
              </w:rPr>
            </w:pPr>
            <w:r>
              <w:rPr>
                <w:rFonts w:ascii="宋体" w:hAnsi="宋体" w:eastAsia="宋体" w:cs="宋体"/>
                <w:sz w:val="18"/>
                <w:szCs w:val="18"/>
              </w:rPr>
              <w:t>407,914,885.93</w:t>
            </w:r>
          </w:p>
        </w:tc>
        <w:tc>
          <w:tcPr>
            <w:tcW w:w="3213" w:type="dxa"/>
            <w:tcBorders>
              <w:top w:val="single" w:color="auto" w:sz="2" w:space="0"/>
              <w:left w:val="single" w:color="auto" w:sz="2" w:space="0"/>
              <w:bottom w:val="single" w:color="auto" w:sz="2" w:space="0"/>
              <w:right w:val="single" w:color="auto" w:sz="2" w:space="0"/>
            </w:tcBorders>
            <w:vAlign w:val="center"/>
          </w:tcPr>
          <w:p w14:paraId="5F0E92ED">
            <w:pPr>
              <w:spacing w:line="240" w:lineRule="exact"/>
              <w:jc w:val="right"/>
              <w:rPr>
                <w:rFonts w:ascii="宋体" w:hAnsi="宋体" w:eastAsia="宋体" w:cs="宋体"/>
                <w:sz w:val="18"/>
                <w:szCs w:val="18"/>
              </w:rPr>
            </w:pPr>
            <w:r>
              <w:rPr>
                <w:rFonts w:ascii="宋体" w:hAnsi="宋体" w:eastAsia="宋体" w:cs="宋体"/>
                <w:sz w:val="18"/>
                <w:szCs w:val="18"/>
              </w:rPr>
              <w:t>411,148,817.20</w:t>
            </w:r>
          </w:p>
        </w:tc>
      </w:tr>
      <w:tr w14:paraId="3840920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B07B7A">
            <w:pPr>
              <w:spacing w:before="40" w:after="40" w:line="240" w:lineRule="exact"/>
              <w:rPr>
                <w:rFonts w:ascii="宋体" w:hAnsi="宋体" w:eastAsia="宋体" w:cs="宋体"/>
                <w:sz w:val="18"/>
                <w:szCs w:val="18"/>
              </w:rPr>
            </w:pPr>
            <w:r>
              <w:rPr>
                <w:rFonts w:ascii="宋体" w:hAnsi="宋体" w:eastAsia="宋体" w:cs="宋体"/>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0D7DB0A5">
            <w:pPr>
              <w:spacing w:line="240" w:lineRule="exact"/>
              <w:jc w:val="right"/>
              <w:rPr>
                <w:rFonts w:ascii="宋体" w:hAnsi="宋体" w:eastAsia="宋体" w:cs="宋体"/>
                <w:sz w:val="18"/>
                <w:szCs w:val="18"/>
              </w:rPr>
            </w:pPr>
            <w:r>
              <w:rPr>
                <w:rFonts w:ascii="宋体" w:hAnsi="宋体" w:eastAsia="宋体" w:cs="宋体"/>
                <w:sz w:val="18"/>
                <w:szCs w:val="18"/>
              </w:rPr>
              <w:t>408,372,405.20</w:t>
            </w:r>
          </w:p>
        </w:tc>
        <w:tc>
          <w:tcPr>
            <w:tcW w:w="3213" w:type="dxa"/>
            <w:tcBorders>
              <w:top w:val="single" w:color="auto" w:sz="2" w:space="0"/>
              <w:left w:val="single" w:color="auto" w:sz="2" w:space="0"/>
              <w:bottom w:val="single" w:color="auto" w:sz="2" w:space="0"/>
              <w:right w:val="single" w:color="auto" w:sz="2" w:space="0"/>
            </w:tcBorders>
            <w:vAlign w:val="center"/>
          </w:tcPr>
          <w:p w14:paraId="29EE5BB2">
            <w:pPr>
              <w:spacing w:line="240" w:lineRule="exact"/>
              <w:jc w:val="right"/>
              <w:rPr>
                <w:rFonts w:ascii="宋体" w:hAnsi="宋体" w:eastAsia="宋体" w:cs="宋体"/>
                <w:sz w:val="18"/>
                <w:szCs w:val="18"/>
              </w:rPr>
            </w:pPr>
            <w:r>
              <w:rPr>
                <w:rFonts w:ascii="宋体" w:hAnsi="宋体" w:eastAsia="宋体" w:cs="宋体"/>
                <w:sz w:val="18"/>
                <w:szCs w:val="18"/>
              </w:rPr>
              <w:t>411,866,881.38</w:t>
            </w:r>
          </w:p>
        </w:tc>
      </w:tr>
      <w:tr w14:paraId="267AF06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2E9D8D">
            <w:pPr>
              <w:spacing w:before="40" w:after="40" w:line="240" w:lineRule="exac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5EF03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31EDC1"/>
        </w:tc>
      </w:tr>
      <w:tr w14:paraId="3B3C84E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65CA2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3D0A1EF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853359C">
            <w:pPr>
              <w:spacing w:line="240" w:lineRule="exact"/>
              <w:jc w:val="right"/>
              <w:rPr>
                <w:rFonts w:ascii="宋体" w:hAnsi="宋体" w:eastAsia="宋体" w:cs="宋体"/>
                <w:sz w:val="18"/>
                <w:szCs w:val="18"/>
              </w:rPr>
            </w:pPr>
          </w:p>
        </w:tc>
      </w:tr>
      <w:tr w14:paraId="08D002C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C2721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0D9FF21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162681">
            <w:pPr>
              <w:spacing w:line="240" w:lineRule="exact"/>
              <w:jc w:val="right"/>
              <w:rPr>
                <w:rFonts w:ascii="宋体" w:hAnsi="宋体" w:eastAsia="宋体" w:cs="宋体"/>
                <w:sz w:val="18"/>
                <w:szCs w:val="18"/>
              </w:rPr>
            </w:pPr>
          </w:p>
        </w:tc>
      </w:tr>
      <w:tr w14:paraId="6A322E8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072C9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41465B5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32B2B8A">
            <w:pPr>
              <w:spacing w:line="240" w:lineRule="exact"/>
              <w:jc w:val="right"/>
              <w:rPr>
                <w:rFonts w:ascii="宋体" w:hAnsi="宋体" w:eastAsia="宋体" w:cs="宋体"/>
                <w:sz w:val="18"/>
                <w:szCs w:val="18"/>
              </w:rPr>
            </w:pPr>
          </w:p>
        </w:tc>
      </w:tr>
      <w:tr w14:paraId="5209474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30431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3089C25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F12AF2">
            <w:pPr>
              <w:spacing w:line="240" w:lineRule="exact"/>
              <w:jc w:val="right"/>
              <w:rPr>
                <w:rFonts w:ascii="宋体" w:hAnsi="宋体" w:eastAsia="宋体" w:cs="宋体"/>
                <w:sz w:val="18"/>
                <w:szCs w:val="18"/>
              </w:rPr>
            </w:pPr>
          </w:p>
        </w:tc>
      </w:tr>
      <w:tr w14:paraId="58AF089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FF4B1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04EFF62B">
            <w:pPr>
              <w:spacing w:line="240" w:lineRule="exact"/>
              <w:jc w:val="right"/>
              <w:rPr>
                <w:rFonts w:ascii="宋体" w:hAnsi="宋体" w:eastAsia="宋体" w:cs="宋体"/>
                <w:sz w:val="18"/>
                <w:szCs w:val="18"/>
              </w:rPr>
            </w:pPr>
            <w:r>
              <w:rPr>
                <w:rFonts w:ascii="宋体" w:hAnsi="宋体" w:eastAsia="宋体" w:cs="宋体"/>
                <w:sz w:val="18"/>
                <w:szCs w:val="18"/>
              </w:rPr>
              <w:t>9,306,438.50</w:t>
            </w:r>
          </w:p>
        </w:tc>
        <w:tc>
          <w:tcPr>
            <w:tcW w:w="3213" w:type="dxa"/>
            <w:tcBorders>
              <w:top w:val="single" w:color="auto" w:sz="2" w:space="0"/>
              <w:left w:val="single" w:color="auto" w:sz="2" w:space="0"/>
              <w:bottom w:val="single" w:color="auto" w:sz="2" w:space="0"/>
              <w:right w:val="single" w:color="auto" w:sz="2" w:space="0"/>
            </w:tcBorders>
            <w:vAlign w:val="center"/>
          </w:tcPr>
          <w:p w14:paraId="04C37012">
            <w:pPr>
              <w:spacing w:line="240" w:lineRule="exact"/>
              <w:jc w:val="right"/>
              <w:rPr>
                <w:rFonts w:ascii="宋体" w:hAnsi="宋体" w:eastAsia="宋体" w:cs="宋体"/>
                <w:sz w:val="18"/>
                <w:szCs w:val="18"/>
              </w:rPr>
            </w:pPr>
            <w:r>
              <w:rPr>
                <w:rFonts w:ascii="宋体" w:hAnsi="宋体" w:eastAsia="宋体" w:cs="宋体"/>
                <w:sz w:val="18"/>
                <w:szCs w:val="18"/>
              </w:rPr>
              <w:t>416,438.50</w:t>
            </w:r>
          </w:p>
        </w:tc>
      </w:tr>
      <w:tr w14:paraId="792A4CE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E9E04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204DBF9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BBB562">
            <w:pPr>
              <w:spacing w:line="240" w:lineRule="exact"/>
              <w:jc w:val="right"/>
              <w:rPr>
                <w:rFonts w:ascii="宋体" w:hAnsi="宋体" w:eastAsia="宋体" w:cs="宋体"/>
                <w:sz w:val="18"/>
                <w:szCs w:val="18"/>
              </w:rPr>
            </w:pPr>
          </w:p>
        </w:tc>
      </w:tr>
      <w:tr w14:paraId="7770B90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D57E7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2761131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2252E5E">
            <w:pPr>
              <w:spacing w:line="240" w:lineRule="exact"/>
              <w:jc w:val="right"/>
              <w:rPr>
                <w:rFonts w:ascii="宋体" w:hAnsi="宋体" w:eastAsia="宋体" w:cs="宋体"/>
                <w:sz w:val="18"/>
                <w:szCs w:val="18"/>
              </w:rPr>
            </w:pPr>
          </w:p>
        </w:tc>
      </w:tr>
      <w:tr w14:paraId="7FCA4D1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76CBB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7A72B9BE">
            <w:pPr>
              <w:spacing w:line="240" w:lineRule="exact"/>
              <w:jc w:val="right"/>
              <w:rPr>
                <w:rFonts w:ascii="宋体" w:hAnsi="宋体" w:eastAsia="宋体" w:cs="宋体"/>
                <w:sz w:val="18"/>
                <w:szCs w:val="18"/>
              </w:rPr>
            </w:pPr>
            <w:r>
              <w:rPr>
                <w:rFonts w:ascii="宋体" w:hAnsi="宋体" w:eastAsia="宋体" w:cs="宋体"/>
                <w:sz w:val="18"/>
                <w:szCs w:val="18"/>
              </w:rPr>
              <w:t>1,342,976.11</w:t>
            </w:r>
          </w:p>
        </w:tc>
        <w:tc>
          <w:tcPr>
            <w:tcW w:w="3213" w:type="dxa"/>
            <w:tcBorders>
              <w:top w:val="single" w:color="auto" w:sz="2" w:space="0"/>
              <w:left w:val="single" w:color="auto" w:sz="2" w:space="0"/>
              <w:bottom w:val="single" w:color="auto" w:sz="2" w:space="0"/>
              <w:right w:val="single" w:color="auto" w:sz="2" w:space="0"/>
            </w:tcBorders>
            <w:vAlign w:val="center"/>
          </w:tcPr>
          <w:p w14:paraId="1E4CB50C">
            <w:pPr>
              <w:spacing w:line="240" w:lineRule="exact"/>
              <w:jc w:val="right"/>
              <w:rPr>
                <w:rFonts w:ascii="宋体" w:hAnsi="宋体" w:eastAsia="宋体" w:cs="宋体"/>
                <w:sz w:val="18"/>
                <w:szCs w:val="18"/>
              </w:rPr>
            </w:pPr>
            <w:r>
              <w:rPr>
                <w:rFonts w:ascii="宋体" w:hAnsi="宋体" w:eastAsia="宋体" w:cs="宋体"/>
                <w:sz w:val="18"/>
                <w:szCs w:val="18"/>
              </w:rPr>
              <w:t>1,309,220.56</w:t>
            </w:r>
          </w:p>
        </w:tc>
      </w:tr>
      <w:tr w14:paraId="05E023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FD8E3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3045491E">
            <w:pPr>
              <w:spacing w:line="240" w:lineRule="exact"/>
              <w:jc w:val="right"/>
              <w:rPr>
                <w:rFonts w:ascii="宋体" w:hAnsi="宋体" w:eastAsia="宋体" w:cs="宋体"/>
                <w:sz w:val="18"/>
                <w:szCs w:val="18"/>
              </w:rPr>
            </w:pPr>
            <w:r>
              <w:rPr>
                <w:rFonts w:ascii="宋体" w:hAnsi="宋体" w:eastAsia="宋体" w:cs="宋体"/>
                <w:sz w:val="18"/>
                <w:szCs w:val="18"/>
              </w:rPr>
              <w:t>3,404,386.12</w:t>
            </w:r>
          </w:p>
        </w:tc>
        <w:tc>
          <w:tcPr>
            <w:tcW w:w="3213" w:type="dxa"/>
            <w:tcBorders>
              <w:top w:val="single" w:color="auto" w:sz="2" w:space="0"/>
              <w:left w:val="single" w:color="auto" w:sz="2" w:space="0"/>
              <w:bottom w:val="single" w:color="auto" w:sz="2" w:space="0"/>
              <w:right w:val="single" w:color="auto" w:sz="2" w:space="0"/>
            </w:tcBorders>
            <w:vAlign w:val="center"/>
          </w:tcPr>
          <w:p w14:paraId="6D12D0C6">
            <w:pPr>
              <w:spacing w:line="240" w:lineRule="exact"/>
              <w:jc w:val="right"/>
              <w:rPr>
                <w:rFonts w:ascii="宋体" w:hAnsi="宋体" w:eastAsia="宋体" w:cs="宋体"/>
                <w:sz w:val="18"/>
                <w:szCs w:val="18"/>
              </w:rPr>
            </w:pPr>
            <w:r>
              <w:rPr>
                <w:rFonts w:ascii="宋体" w:hAnsi="宋体" w:eastAsia="宋体" w:cs="宋体"/>
                <w:sz w:val="18"/>
                <w:szCs w:val="18"/>
              </w:rPr>
              <w:t>3,388,386.12</w:t>
            </w:r>
          </w:p>
        </w:tc>
      </w:tr>
      <w:tr w14:paraId="7C51395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C6A04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18FEE516">
            <w:pPr>
              <w:spacing w:line="240" w:lineRule="exact"/>
              <w:jc w:val="right"/>
              <w:rPr>
                <w:rFonts w:ascii="宋体" w:hAnsi="宋体" w:eastAsia="宋体" w:cs="宋体"/>
                <w:sz w:val="18"/>
                <w:szCs w:val="18"/>
              </w:rPr>
            </w:pPr>
            <w:r>
              <w:rPr>
                <w:rFonts w:ascii="宋体" w:hAnsi="宋体" w:eastAsia="宋体" w:cs="宋体"/>
                <w:sz w:val="18"/>
                <w:szCs w:val="18"/>
              </w:rPr>
              <w:t>513,730,388.88</w:t>
            </w:r>
          </w:p>
        </w:tc>
        <w:tc>
          <w:tcPr>
            <w:tcW w:w="3213" w:type="dxa"/>
            <w:tcBorders>
              <w:top w:val="single" w:color="auto" w:sz="2" w:space="0"/>
              <w:left w:val="single" w:color="auto" w:sz="2" w:space="0"/>
              <w:bottom w:val="single" w:color="auto" w:sz="2" w:space="0"/>
              <w:right w:val="single" w:color="auto" w:sz="2" w:space="0"/>
            </w:tcBorders>
            <w:vAlign w:val="center"/>
          </w:tcPr>
          <w:p w14:paraId="05A7400F">
            <w:pPr>
              <w:spacing w:line="240" w:lineRule="exact"/>
              <w:jc w:val="right"/>
              <w:rPr>
                <w:rFonts w:ascii="宋体" w:hAnsi="宋体" w:eastAsia="宋体" w:cs="宋体"/>
                <w:sz w:val="18"/>
                <w:szCs w:val="18"/>
              </w:rPr>
            </w:pPr>
            <w:r>
              <w:rPr>
                <w:rFonts w:ascii="宋体" w:hAnsi="宋体" w:eastAsia="宋体" w:cs="宋体"/>
                <w:sz w:val="18"/>
                <w:szCs w:val="18"/>
              </w:rPr>
              <w:t>506,406,685.51</w:t>
            </w:r>
          </w:p>
        </w:tc>
      </w:tr>
      <w:tr w14:paraId="104496E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12B4A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0FA9148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8653AA">
            <w:pPr>
              <w:spacing w:line="240" w:lineRule="exact"/>
              <w:jc w:val="right"/>
              <w:rPr>
                <w:rFonts w:ascii="宋体" w:hAnsi="宋体" w:eastAsia="宋体" w:cs="宋体"/>
                <w:sz w:val="18"/>
                <w:szCs w:val="18"/>
              </w:rPr>
            </w:pPr>
          </w:p>
        </w:tc>
      </w:tr>
      <w:tr w14:paraId="36ADF63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5EA05F">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733B1EAC">
            <w:pPr>
              <w:spacing w:line="240" w:lineRule="exact"/>
              <w:jc w:val="right"/>
              <w:rPr>
                <w:rFonts w:ascii="宋体" w:hAnsi="宋体" w:eastAsia="宋体" w:cs="宋体"/>
                <w:sz w:val="18"/>
                <w:szCs w:val="18"/>
              </w:rPr>
            </w:pPr>
            <w:r>
              <w:rPr>
                <w:rFonts w:ascii="宋体" w:hAnsi="宋体" w:eastAsia="宋体" w:cs="宋体"/>
                <w:sz w:val="18"/>
                <w:szCs w:val="18"/>
              </w:rPr>
              <w:t>856.39</w:t>
            </w:r>
          </w:p>
        </w:tc>
        <w:tc>
          <w:tcPr>
            <w:tcW w:w="3213" w:type="dxa"/>
            <w:tcBorders>
              <w:top w:val="single" w:color="auto" w:sz="2" w:space="0"/>
              <w:left w:val="single" w:color="auto" w:sz="2" w:space="0"/>
              <w:bottom w:val="single" w:color="auto" w:sz="2" w:space="0"/>
              <w:right w:val="single" w:color="auto" w:sz="2" w:space="0"/>
            </w:tcBorders>
            <w:vAlign w:val="center"/>
          </w:tcPr>
          <w:p w14:paraId="3E14953C">
            <w:pPr>
              <w:spacing w:line="240" w:lineRule="exact"/>
              <w:jc w:val="right"/>
              <w:rPr>
                <w:rFonts w:ascii="宋体" w:hAnsi="宋体" w:eastAsia="宋体" w:cs="宋体"/>
                <w:sz w:val="18"/>
                <w:szCs w:val="18"/>
              </w:rPr>
            </w:pPr>
            <w:r>
              <w:rPr>
                <w:rFonts w:ascii="宋体" w:hAnsi="宋体" w:eastAsia="宋体" w:cs="宋体"/>
                <w:sz w:val="18"/>
                <w:szCs w:val="18"/>
              </w:rPr>
              <w:t>856.39</w:t>
            </w:r>
          </w:p>
        </w:tc>
      </w:tr>
      <w:tr w14:paraId="1D2AF4F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CC5B0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1CCCDF5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A1684B">
            <w:pPr>
              <w:spacing w:line="240" w:lineRule="exact"/>
              <w:jc w:val="right"/>
              <w:rPr>
                <w:rFonts w:ascii="宋体" w:hAnsi="宋体" w:eastAsia="宋体" w:cs="宋体"/>
                <w:sz w:val="18"/>
                <w:szCs w:val="18"/>
              </w:rPr>
            </w:pPr>
          </w:p>
        </w:tc>
      </w:tr>
      <w:tr w14:paraId="4098419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047AF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0AEE9B1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C0AC20">
            <w:pPr>
              <w:spacing w:line="240" w:lineRule="exact"/>
              <w:jc w:val="right"/>
              <w:rPr>
                <w:rFonts w:ascii="宋体" w:hAnsi="宋体" w:eastAsia="宋体" w:cs="宋体"/>
                <w:sz w:val="18"/>
                <w:szCs w:val="18"/>
              </w:rPr>
            </w:pPr>
          </w:p>
        </w:tc>
      </w:tr>
      <w:tr w14:paraId="3FE76B3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19CC6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74C4216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4241EA">
            <w:pPr>
              <w:spacing w:line="240" w:lineRule="exact"/>
              <w:jc w:val="right"/>
              <w:rPr>
                <w:rFonts w:ascii="宋体" w:hAnsi="宋体" w:eastAsia="宋体" w:cs="宋体"/>
                <w:sz w:val="18"/>
                <w:szCs w:val="18"/>
              </w:rPr>
            </w:pPr>
          </w:p>
        </w:tc>
      </w:tr>
      <w:tr w14:paraId="4FA1270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0952E8">
            <w:pPr>
              <w:spacing w:before="40" w:after="40" w:line="240" w:lineRule="exact"/>
              <w:rPr>
                <w:rFonts w:ascii="宋体" w:hAnsi="宋体" w:eastAsia="宋体" w:cs="宋体"/>
                <w:sz w:val="18"/>
                <w:szCs w:val="18"/>
              </w:rPr>
            </w:pPr>
            <w:r>
              <w:rPr>
                <w:rFonts w:ascii="宋体" w:hAnsi="宋体" w:eastAsia="宋体" w:cs="宋体"/>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CBE6904">
            <w:pPr>
              <w:spacing w:line="240" w:lineRule="exact"/>
              <w:jc w:val="right"/>
              <w:rPr>
                <w:rFonts w:ascii="宋体" w:hAnsi="宋体" w:eastAsia="宋体" w:cs="宋体"/>
                <w:sz w:val="18"/>
                <w:szCs w:val="18"/>
              </w:rPr>
            </w:pPr>
            <w:r>
              <w:rPr>
                <w:rFonts w:ascii="宋体" w:hAnsi="宋体" w:eastAsia="宋体" w:cs="宋体"/>
                <w:sz w:val="18"/>
                <w:szCs w:val="18"/>
              </w:rPr>
              <w:t>527,784,189.61</w:t>
            </w:r>
          </w:p>
        </w:tc>
        <w:tc>
          <w:tcPr>
            <w:tcW w:w="3213" w:type="dxa"/>
            <w:tcBorders>
              <w:top w:val="single" w:color="auto" w:sz="2" w:space="0"/>
              <w:left w:val="single" w:color="auto" w:sz="2" w:space="0"/>
              <w:bottom w:val="single" w:color="auto" w:sz="2" w:space="0"/>
              <w:right w:val="single" w:color="auto" w:sz="2" w:space="0"/>
            </w:tcBorders>
            <w:vAlign w:val="center"/>
          </w:tcPr>
          <w:p w14:paraId="2FCFBD62">
            <w:pPr>
              <w:spacing w:line="240" w:lineRule="exact"/>
              <w:jc w:val="right"/>
              <w:rPr>
                <w:rFonts w:ascii="宋体" w:hAnsi="宋体" w:eastAsia="宋体" w:cs="宋体"/>
                <w:sz w:val="18"/>
                <w:szCs w:val="18"/>
              </w:rPr>
            </w:pPr>
            <w:r>
              <w:rPr>
                <w:rFonts w:ascii="宋体" w:hAnsi="宋体" w:eastAsia="宋体" w:cs="宋体"/>
                <w:sz w:val="18"/>
                <w:szCs w:val="18"/>
              </w:rPr>
              <w:t>511,520,730.69</w:t>
            </w:r>
          </w:p>
        </w:tc>
      </w:tr>
      <w:tr w14:paraId="2D5CF3B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63FE61">
            <w:pPr>
              <w:spacing w:before="40" w:after="40" w:line="240" w:lineRule="exac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22B537"/>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8EE110"/>
        </w:tc>
      </w:tr>
      <w:tr w14:paraId="0E81A72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FF53B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1B3BFE02">
            <w:pPr>
              <w:spacing w:line="240" w:lineRule="exact"/>
              <w:jc w:val="right"/>
              <w:rPr>
                <w:rFonts w:ascii="宋体" w:hAnsi="宋体" w:eastAsia="宋体" w:cs="宋体"/>
                <w:sz w:val="18"/>
                <w:szCs w:val="18"/>
              </w:rPr>
            </w:pPr>
            <w:r>
              <w:rPr>
                <w:rFonts w:ascii="宋体" w:hAnsi="宋体" w:eastAsia="宋体" w:cs="宋体"/>
                <w:sz w:val="18"/>
                <w:szCs w:val="18"/>
              </w:rPr>
              <w:t>4,300,000.00</w:t>
            </w:r>
          </w:p>
        </w:tc>
        <w:tc>
          <w:tcPr>
            <w:tcW w:w="3213" w:type="dxa"/>
            <w:tcBorders>
              <w:top w:val="single" w:color="auto" w:sz="2" w:space="0"/>
              <w:left w:val="single" w:color="auto" w:sz="2" w:space="0"/>
              <w:bottom w:val="single" w:color="auto" w:sz="2" w:space="0"/>
              <w:right w:val="single" w:color="auto" w:sz="2" w:space="0"/>
            </w:tcBorders>
            <w:vAlign w:val="center"/>
          </w:tcPr>
          <w:p w14:paraId="678C5ABB">
            <w:pPr>
              <w:spacing w:line="240" w:lineRule="exact"/>
              <w:jc w:val="right"/>
              <w:rPr>
                <w:rFonts w:ascii="宋体" w:hAnsi="宋体" w:eastAsia="宋体" w:cs="宋体"/>
                <w:sz w:val="18"/>
                <w:szCs w:val="18"/>
              </w:rPr>
            </w:pPr>
            <w:r>
              <w:rPr>
                <w:rFonts w:ascii="宋体" w:hAnsi="宋体" w:eastAsia="宋体" w:cs="宋体"/>
                <w:sz w:val="18"/>
                <w:szCs w:val="18"/>
              </w:rPr>
              <w:t>4,300,000.00</w:t>
            </w:r>
          </w:p>
        </w:tc>
      </w:tr>
      <w:tr w14:paraId="2692BF8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F565B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474D122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BF0E41">
            <w:pPr>
              <w:spacing w:line="240" w:lineRule="exact"/>
              <w:jc w:val="right"/>
              <w:rPr>
                <w:rFonts w:ascii="宋体" w:hAnsi="宋体" w:eastAsia="宋体" w:cs="宋体"/>
                <w:sz w:val="18"/>
                <w:szCs w:val="18"/>
              </w:rPr>
            </w:pPr>
          </w:p>
        </w:tc>
      </w:tr>
      <w:tr w14:paraId="27C8565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C9CDA5">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66E3109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00BFBC">
            <w:pPr>
              <w:spacing w:line="240" w:lineRule="exact"/>
              <w:jc w:val="right"/>
              <w:rPr>
                <w:rFonts w:ascii="宋体" w:hAnsi="宋体" w:eastAsia="宋体" w:cs="宋体"/>
                <w:sz w:val="18"/>
                <w:szCs w:val="18"/>
              </w:rPr>
            </w:pPr>
          </w:p>
        </w:tc>
      </w:tr>
      <w:tr w14:paraId="3B6C0FA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A4B5D9">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08E11DC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40FE64">
            <w:pPr>
              <w:spacing w:line="240" w:lineRule="exact"/>
              <w:jc w:val="right"/>
              <w:rPr>
                <w:rFonts w:ascii="宋体" w:hAnsi="宋体" w:eastAsia="宋体" w:cs="宋体"/>
                <w:sz w:val="18"/>
                <w:szCs w:val="18"/>
              </w:rPr>
            </w:pPr>
          </w:p>
        </w:tc>
      </w:tr>
      <w:tr w14:paraId="72E01C2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A164E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39A855E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F40E95">
            <w:pPr>
              <w:spacing w:line="240" w:lineRule="exact"/>
              <w:jc w:val="right"/>
              <w:rPr>
                <w:rFonts w:ascii="宋体" w:hAnsi="宋体" w:eastAsia="宋体" w:cs="宋体"/>
                <w:sz w:val="18"/>
                <w:szCs w:val="18"/>
              </w:rPr>
            </w:pPr>
          </w:p>
        </w:tc>
      </w:tr>
      <w:tr w14:paraId="0E6C454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A5F77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6C125EB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C8D3A6">
            <w:pPr>
              <w:spacing w:line="240" w:lineRule="exact"/>
              <w:jc w:val="right"/>
              <w:rPr>
                <w:rFonts w:ascii="宋体" w:hAnsi="宋体" w:eastAsia="宋体" w:cs="宋体"/>
                <w:sz w:val="18"/>
                <w:szCs w:val="18"/>
              </w:rPr>
            </w:pPr>
          </w:p>
        </w:tc>
      </w:tr>
      <w:tr w14:paraId="0F4C8BA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AA4A3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21EE449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CA7DE5">
            <w:pPr>
              <w:spacing w:line="240" w:lineRule="exact"/>
              <w:jc w:val="right"/>
              <w:rPr>
                <w:rFonts w:ascii="宋体" w:hAnsi="宋体" w:eastAsia="宋体" w:cs="宋体"/>
                <w:sz w:val="18"/>
                <w:szCs w:val="18"/>
              </w:rPr>
            </w:pPr>
          </w:p>
        </w:tc>
      </w:tr>
      <w:tr w14:paraId="4C0A27E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95D71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3D685B67">
            <w:pPr>
              <w:spacing w:line="240" w:lineRule="exact"/>
              <w:jc w:val="right"/>
              <w:rPr>
                <w:rFonts w:ascii="宋体" w:hAnsi="宋体" w:eastAsia="宋体" w:cs="宋体"/>
                <w:sz w:val="18"/>
                <w:szCs w:val="18"/>
              </w:rPr>
            </w:pPr>
            <w:r>
              <w:rPr>
                <w:rFonts w:ascii="宋体" w:hAnsi="宋体" w:eastAsia="宋体" w:cs="宋体"/>
                <w:sz w:val="18"/>
                <w:szCs w:val="18"/>
              </w:rPr>
              <w:t>25,122,712.00</w:t>
            </w:r>
          </w:p>
        </w:tc>
        <w:tc>
          <w:tcPr>
            <w:tcW w:w="3213" w:type="dxa"/>
            <w:tcBorders>
              <w:top w:val="single" w:color="auto" w:sz="2" w:space="0"/>
              <w:left w:val="single" w:color="auto" w:sz="2" w:space="0"/>
              <w:bottom w:val="single" w:color="auto" w:sz="2" w:space="0"/>
              <w:right w:val="single" w:color="auto" w:sz="2" w:space="0"/>
            </w:tcBorders>
            <w:vAlign w:val="center"/>
          </w:tcPr>
          <w:p w14:paraId="6787490B">
            <w:pPr>
              <w:spacing w:line="240" w:lineRule="exact"/>
              <w:jc w:val="right"/>
              <w:rPr>
                <w:rFonts w:ascii="宋体" w:hAnsi="宋体" w:eastAsia="宋体" w:cs="宋体"/>
                <w:sz w:val="18"/>
                <w:szCs w:val="18"/>
              </w:rPr>
            </w:pPr>
            <w:r>
              <w:rPr>
                <w:rFonts w:ascii="宋体" w:hAnsi="宋体" w:eastAsia="宋体" w:cs="宋体"/>
                <w:sz w:val="18"/>
                <w:szCs w:val="18"/>
              </w:rPr>
              <w:t>25,122,712.00</w:t>
            </w:r>
          </w:p>
        </w:tc>
      </w:tr>
      <w:tr w14:paraId="703E141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A99AE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51A7EBBA">
            <w:pPr>
              <w:spacing w:line="240" w:lineRule="exact"/>
              <w:jc w:val="right"/>
              <w:rPr>
                <w:rFonts w:ascii="宋体" w:hAnsi="宋体" w:eastAsia="宋体" w:cs="宋体"/>
                <w:sz w:val="18"/>
                <w:szCs w:val="18"/>
              </w:rPr>
            </w:pPr>
            <w:r>
              <w:rPr>
                <w:rFonts w:ascii="宋体" w:hAnsi="宋体" w:eastAsia="宋体" w:cs="宋体"/>
                <w:sz w:val="18"/>
                <w:szCs w:val="18"/>
              </w:rPr>
              <w:t>789,041.41</w:t>
            </w:r>
          </w:p>
        </w:tc>
        <w:tc>
          <w:tcPr>
            <w:tcW w:w="3213" w:type="dxa"/>
            <w:tcBorders>
              <w:top w:val="single" w:color="auto" w:sz="2" w:space="0"/>
              <w:left w:val="single" w:color="auto" w:sz="2" w:space="0"/>
              <w:bottom w:val="single" w:color="auto" w:sz="2" w:space="0"/>
              <w:right w:val="single" w:color="auto" w:sz="2" w:space="0"/>
            </w:tcBorders>
            <w:vAlign w:val="center"/>
          </w:tcPr>
          <w:p w14:paraId="320B22AD">
            <w:pPr>
              <w:spacing w:line="240" w:lineRule="exact"/>
              <w:jc w:val="right"/>
              <w:rPr>
                <w:rFonts w:ascii="宋体" w:hAnsi="宋体" w:eastAsia="宋体" w:cs="宋体"/>
                <w:sz w:val="18"/>
                <w:szCs w:val="18"/>
              </w:rPr>
            </w:pPr>
            <w:r>
              <w:rPr>
                <w:rFonts w:ascii="宋体" w:hAnsi="宋体" w:eastAsia="宋体" w:cs="宋体"/>
                <w:sz w:val="18"/>
                <w:szCs w:val="18"/>
              </w:rPr>
              <w:t>789,041.41</w:t>
            </w:r>
          </w:p>
        </w:tc>
      </w:tr>
      <w:tr w14:paraId="33334C2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95E75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49D8A99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EE7CB8">
            <w:pPr>
              <w:spacing w:line="240" w:lineRule="exact"/>
              <w:jc w:val="right"/>
              <w:rPr>
                <w:rFonts w:ascii="宋体" w:hAnsi="宋体" w:eastAsia="宋体" w:cs="宋体"/>
                <w:sz w:val="18"/>
                <w:szCs w:val="18"/>
              </w:rPr>
            </w:pPr>
          </w:p>
        </w:tc>
      </w:tr>
      <w:tr w14:paraId="1714856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FE301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1F86CE3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1A23694">
            <w:pPr>
              <w:spacing w:line="240" w:lineRule="exact"/>
              <w:jc w:val="right"/>
              <w:rPr>
                <w:rFonts w:ascii="宋体" w:hAnsi="宋体" w:eastAsia="宋体" w:cs="宋体"/>
                <w:sz w:val="18"/>
                <w:szCs w:val="18"/>
              </w:rPr>
            </w:pPr>
          </w:p>
        </w:tc>
      </w:tr>
      <w:tr w14:paraId="2D871E9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4DF498">
            <w:pPr>
              <w:spacing w:before="40" w:after="40" w:line="240" w:lineRule="exact"/>
              <w:rPr>
                <w:rFonts w:ascii="宋体" w:hAnsi="宋体" w:eastAsia="宋体" w:cs="宋体"/>
                <w:sz w:val="18"/>
                <w:szCs w:val="18"/>
              </w:rPr>
            </w:pPr>
            <w:r>
              <w:rPr>
                <w:rFonts w:ascii="宋体" w:hAnsi="宋体" w:eastAsia="宋体" w:cs="宋体"/>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EAD2597">
            <w:pPr>
              <w:spacing w:line="240" w:lineRule="exact"/>
              <w:jc w:val="right"/>
              <w:rPr>
                <w:rFonts w:ascii="宋体" w:hAnsi="宋体" w:eastAsia="宋体" w:cs="宋体"/>
                <w:sz w:val="18"/>
                <w:szCs w:val="18"/>
              </w:rPr>
            </w:pPr>
            <w:r>
              <w:rPr>
                <w:rFonts w:ascii="宋体" w:hAnsi="宋体" w:eastAsia="宋体" w:cs="宋体"/>
                <w:sz w:val="18"/>
                <w:szCs w:val="18"/>
              </w:rPr>
              <w:t>30,211,753.41</w:t>
            </w:r>
          </w:p>
        </w:tc>
        <w:tc>
          <w:tcPr>
            <w:tcW w:w="3213" w:type="dxa"/>
            <w:tcBorders>
              <w:top w:val="single" w:color="auto" w:sz="2" w:space="0"/>
              <w:left w:val="single" w:color="auto" w:sz="2" w:space="0"/>
              <w:bottom w:val="single" w:color="auto" w:sz="2" w:space="0"/>
              <w:right w:val="single" w:color="auto" w:sz="2" w:space="0"/>
            </w:tcBorders>
            <w:vAlign w:val="center"/>
          </w:tcPr>
          <w:p w14:paraId="2387D871">
            <w:pPr>
              <w:spacing w:line="240" w:lineRule="exact"/>
              <w:jc w:val="right"/>
              <w:rPr>
                <w:rFonts w:ascii="宋体" w:hAnsi="宋体" w:eastAsia="宋体" w:cs="宋体"/>
                <w:sz w:val="18"/>
                <w:szCs w:val="18"/>
              </w:rPr>
            </w:pPr>
            <w:r>
              <w:rPr>
                <w:rFonts w:ascii="宋体" w:hAnsi="宋体" w:eastAsia="宋体" w:cs="宋体"/>
                <w:sz w:val="18"/>
                <w:szCs w:val="18"/>
              </w:rPr>
              <w:t>30,211,753.41</w:t>
            </w:r>
          </w:p>
        </w:tc>
      </w:tr>
      <w:tr w14:paraId="499AB5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ACB7BB">
            <w:pPr>
              <w:spacing w:before="40" w:after="40" w:line="240" w:lineRule="exac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41161F8">
            <w:pPr>
              <w:spacing w:line="240" w:lineRule="exact"/>
              <w:jc w:val="right"/>
              <w:rPr>
                <w:rFonts w:ascii="宋体" w:hAnsi="宋体" w:eastAsia="宋体" w:cs="宋体"/>
                <w:sz w:val="18"/>
                <w:szCs w:val="18"/>
              </w:rPr>
            </w:pPr>
            <w:r>
              <w:rPr>
                <w:rFonts w:ascii="宋体" w:hAnsi="宋体" w:eastAsia="宋体" w:cs="宋体"/>
                <w:sz w:val="18"/>
                <w:szCs w:val="18"/>
              </w:rPr>
              <w:t>557,995,943.02</w:t>
            </w:r>
          </w:p>
        </w:tc>
        <w:tc>
          <w:tcPr>
            <w:tcW w:w="3213" w:type="dxa"/>
            <w:tcBorders>
              <w:top w:val="single" w:color="auto" w:sz="2" w:space="0"/>
              <w:left w:val="single" w:color="auto" w:sz="2" w:space="0"/>
              <w:bottom w:val="single" w:color="auto" w:sz="2" w:space="0"/>
              <w:right w:val="single" w:color="auto" w:sz="2" w:space="0"/>
            </w:tcBorders>
            <w:vAlign w:val="center"/>
          </w:tcPr>
          <w:p w14:paraId="29E82330">
            <w:pPr>
              <w:spacing w:line="240" w:lineRule="exact"/>
              <w:jc w:val="right"/>
              <w:rPr>
                <w:rFonts w:ascii="宋体" w:hAnsi="宋体" w:eastAsia="宋体" w:cs="宋体"/>
                <w:sz w:val="18"/>
                <w:szCs w:val="18"/>
              </w:rPr>
            </w:pPr>
            <w:r>
              <w:rPr>
                <w:rFonts w:ascii="宋体" w:hAnsi="宋体" w:eastAsia="宋体" w:cs="宋体"/>
                <w:sz w:val="18"/>
                <w:szCs w:val="18"/>
              </w:rPr>
              <w:t>541,732,484.10</w:t>
            </w:r>
          </w:p>
        </w:tc>
      </w:tr>
      <w:tr w14:paraId="43EBD46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3EC4EF">
            <w:pPr>
              <w:spacing w:line="240" w:lineRule="exact"/>
              <w:rPr>
                <w:rFonts w:ascii="宋体" w:hAnsi="宋体" w:eastAsia="宋体" w:cs="宋体"/>
                <w:sz w:val="18"/>
                <w:szCs w:val="18"/>
              </w:rPr>
            </w:pPr>
            <w:r>
              <w:rPr>
                <w:rFonts w:ascii="宋体" w:hAnsi="宋体" w:eastAsia="宋体" w:cs="宋体"/>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15D7C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037D53"/>
        </w:tc>
      </w:tr>
      <w:tr w14:paraId="270928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409257">
            <w:pPr>
              <w:spacing w:line="240" w:lineRule="exact"/>
              <w:ind w:firstLine="180" w:firstLineChars="100"/>
              <w:rPr>
                <w:rFonts w:ascii="宋体" w:hAnsi="宋体" w:eastAsia="宋体" w:cs="宋体"/>
                <w:sz w:val="18"/>
                <w:szCs w:val="18"/>
              </w:rPr>
            </w:pPr>
            <w:r>
              <w:rPr>
                <w:rFonts w:ascii="宋体" w:hAnsi="宋体" w:eastAsia="宋体" w:cs="宋体"/>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4D3AF769">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3213" w:type="dxa"/>
            <w:tcBorders>
              <w:top w:val="single" w:color="auto" w:sz="2" w:space="0"/>
              <w:left w:val="single" w:color="auto" w:sz="2" w:space="0"/>
              <w:bottom w:val="single" w:color="auto" w:sz="2" w:space="0"/>
              <w:right w:val="single" w:color="auto" w:sz="2" w:space="0"/>
            </w:tcBorders>
            <w:vAlign w:val="center"/>
          </w:tcPr>
          <w:p w14:paraId="6A324EE2">
            <w:pPr>
              <w:spacing w:line="240" w:lineRule="exact"/>
              <w:jc w:val="right"/>
              <w:rPr>
                <w:rFonts w:ascii="宋体" w:hAnsi="宋体" w:eastAsia="宋体" w:cs="宋体"/>
                <w:sz w:val="18"/>
                <w:szCs w:val="18"/>
              </w:rPr>
            </w:pPr>
            <w:r>
              <w:rPr>
                <w:rFonts w:ascii="宋体" w:hAnsi="宋体" w:eastAsia="宋体" w:cs="宋体"/>
                <w:sz w:val="18"/>
                <w:szCs w:val="18"/>
              </w:rPr>
              <w:t>263,758,491.00</w:t>
            </w:r>
          </w:p>
        </w:tc>
      </w:tr>
      <w:tr w14:paraId="3D82ACF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7099CC">
            <w:pPr>
              <w:spacing w:line="240" w:lineRule="exact"/>
              <w:ind w:firstLine="180" w:firstLineChars="100"/>
              <w:rPr>
                <w:rFonts w:ascii="宋体" w:hAnsi="宋体" w:eastAsia="宋体" w:cs="宋体"/>
                <w:sz w:val="18"/>
                <w:szCs w:val="18"/>
              </w:rPr>
            </w:pPr>
            <w:r>
              <w:rPr>
                <w:rFonts w:ascii="宋体" w:hAnsi="宋体" w:eastAsia="宋体" w:cs="宋体"/>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6BC8EAD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E6421A">
            <w:pPr>
              <w:spacing w:line="240" w:lineRule="exact"/>
              <w:jc w:val="right"/>
              <w:rPr>
                <w:rFonts w:ascii="宋体" w:hAnsi="宋体" w:eastAsia="宋体" w:cs="宋体"/>
                <w:sz w:val="18"/>
                <w:szCs w:val="18"/>
              </w:rPr>
            </w:pPr>
          </w:p>
        </w:tc>
      </w:tr>
      <w:tr w14:paraId="572FF9C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338C66">
            <w:pPr>
              <w:spacing w:line="240" w:lineRule="exact"/>
              <w:ind w:firstLine="360" w:firstLineChars="200"/>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299E162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C380C6">
            <w:pPr>
              <w:spacing w:line="240" w:lineRule="exact"/>
              <w:jc w:val="right"/>
              <w:rPr>
                <w:rFonts w:ascii="宋体" w:hAnsi="宋体" w:eastAsia="宋体" w:cs="宋体"/>
                <w:sz w:val="18"/>
                <w:szCs w:val="18"/>
              </w:rPr>
            </w:pPr>
          </w:p>
        </w:tc>
      </w:tr>
      <w:tr w14:paraId="0F74AC7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8E3CEE">
            <w:pPr>
              <w:spacing w:line="240" w:lineRule="exact"/>
              <w:ind w:firstLine="900" w:firstLineChars="500"/>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79C4570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C4C2000">
            <w:pPr>
              <w:spacing w:line="240" w:lineRule="exact"/>
              <w:jc w:val="right"/>
              <w:rPr>
                <w:rFonts w:ascii="宋体" w:hAnsi="宋体" w:eastAsia="宋体" w:cs="宋体"/>
                <w:sz w:val="18"/>
                <w:szCs w:val="18"/>
              </w:rPr>
            </w:pPr>
          </w:p>
        </w:tc>
      </w:tr>
      <w:tr w14:paraId="6DD64DD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0A276E">
            <w:pPr>
              <w:spacing w:line="240" w:lineRule="exact"/>
              <w:ind w:firstLine="180" w:firstLineChars="100"/>
              <w:rPr>
                <w:rFonts w:ascii="宋体" w:hAnsi="宋体" w:eastAsia="宋体" w:cs="宋体"/>
                <w:sz w:val="18"/>
                <w:szCs w:val="18"/>
              </w:rPr>
            </w:pPr>
            <w:r>
              <w:rPr>
                <w:rFonts w:ascii="宋体" w:hAnsi="宋体" w:eastAsia="宋体" w:cs="宋体"/>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42976FA4">
            <w:pPr>
              <w:spacing w:line="240" w:lineRule="exact"/>
              <w:jc w:val="right"/>
              <w:rPr>
                <w:rFonts w:ascii="宋体" w:hAnsi="宋体" w:eastAsia="宋体" w:cs="宋体"/>
                <w:sz w:val="18"/>
                <w:szCs w:val="18"/>
              </w:rPr>
            </w:pPr>
            <w:r>
              <w:rPr>
                <w:rFonts w:ascii="宋体" w:hAnsi="宋体" w:eastAsia="宋体" w:cs="宋体"/>
                <w:sz w:val="18"/>
                <w:szCs w:val="18"/>
              </w:rPr>
              <w:t>213,593,040.34</w:t>
            </w:r>
          </w:p>
        </w:tc>
        <w:tc>
          <w:tcPr>
            <w:tcW w:w="3213" w:type="dxa"/>
            <w:tcBorders>
              <w:top w:val="single" w:color="auto" w:sz="2" w:space="0"/>
              <w:left w:val="single" w:color="auto" w:sz="2" w:space="0"/>
              <w:bottom w:val="single" w:color="auto" w:sz="2" w:space="0"/>
              <w:right w:val="single" w:color="auto" w:sz="2" w:space="0"/>
            </w:tcBorders>
            <w:vAlign w:val="center"/>
          </w:tcPr>
          <w:p w14:paraId="46A2C7C3">
            <w:pPr>
              <w:spacing w:line="240" w:lineRule="exact"/>
              <w:jc w:val="right"/>
              <w:rPr>
                <w:rFonts w:ascii="宋体" w:hAnsi="宋体" w:eastAsia="宋体" w:cs="宋体"/>
                <w:sz w:val="18"/>
                <w:szCs w:val="18"/>
              </w:rPr>
            </w:pPr>
            <w:r>
              <w:rPr>
                <w:rFonts w:ascii="宋体" w:hAnsi="宋体" w:eastAsia="宋体" w:cs="宋体"/>
                <w:sz w:val="18"/>
                <w:szCs w:val="18"/>
              </w:rPr>
              <w:t>213,593,040.34</w:t>
            </w:r>
          </w:p>
        </w:tc>
      </w:tr>
      <w:tr w14:paraId="607CB2C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76292B">
            <w:pPr>
              <w:spacing w:line="240" w:lineRule="exact"/>
              <w:ind w:firstLine="180" w:firstLineChars="100"/>
              <w:rPr>
                <w:rFonts w:ascii="宋体" w:hAnsi="宋体" w:eastAsia="宋体" w:cs="宋体"/>
                <w:sz w:val="18"/>
                <w:szCs w:val="18"/>
              </w:rPr>
            </w:pPr>
            <w:r>
              <w:rPr>
                <w:rFonts w:ascii="宋体" w:hAnsi="宋体" w:eastAsia="宋体" w:cs="宋体"/>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3D1649A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13C517">
            <w:pPr>
              <w:spacing w:line="240" w:lineRule="exact"/>
              <w:jc w:val="right"/>
              <w:rPr>
                <w:rFonts w:ascii="宋体" w:hAnsi="宋体" w:eastAsia="宋体" w:cs="宋体"/>
                <w:sz w:val="18"/>
                <w:szCs w:val="18"/>
              </w:rPr>
            </w:pPr>
          </w:p>
        </w:tc>
      </w:tr>
      <w:tr w14:paraId="6AE7D7D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E3A209">
            <w:pPr>
              <w:spacing w:line="240" w:lineRule="exact"/>
              <w:ind w:firstLine="180" w:firstLineChars="100"/>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79CC050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E94AD0">
            <w:pPr>
              <w:spacing w:line="240" w:lineRule="exact"/>
              <w:jc w:val="right"/>
              <w:rPr>
                <w:rFonts w:ascii="宋体" w:hAnsi="宋体" w:eastAsia="宋体" w:cs="宋体"/>
                <w:sz w:val="18"/>
                <w:szCs w:val="18"/>
              </w:rPr>
            </w:pPr>
          </w:p>
        </w:tc>
      </w:tr>
      <w:tr w14:paraId="780081D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4F46F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0B633EA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66CE2D">
            <w:pPr>
              <w:spacing w:line="240" w:lineRule="exact"/>
              <w:jc w:val="right"/>
              <w:rPr>
                <w:rFonts w:ascii="宋体" w:hAnsi="宋体" w:eastAsia="宋体" w:cs="宋体"/>
                <w:sz w:val="18"/>
                <w:szCs w:val="18"/>
              </w:rPr>
            </w:pPr>
          </w:p>
        </w:tc>
      </w:tr>
      <w:tr w14:paraId="5D32B8A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81174D">
            <w:pPr>
              <w:spacing w:line="240" w:lineRule="exact"/>
              <w:ind w:firstLine="180" w:firstLineChars="100"/>
              <w:rPr>
                <w:rFonts w:ascii="宋体" w:hAnsi="宋体" w:eastAsia="宋体" w:cs="宋体"/>
                <w:sz w:val="18"/>
                <w:szCs w:val="18"/>
              </w:rPr>
            </w:pPr>
            <w:r>
              <w:rPr>
                <w:rFonts w:ascii="宋体" w:hAnsi="宋体" w:eastAsia="宋体" w:cs="宋体"/>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6167BFDC">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3213" w:type="dxa"/>
            <w:tcBorders>
              <w:top w:val="single" w:color="auto" w:sz="2" w:space="0"/>
              <w:left w:val="single" w:color="auto" w:sz="2" w:space="0"/>
              <w:bottom w:val="single" w:color="auto" w:sz="2" w:space="0"/>
              <w:right w:val="single" w:color="auto" w:sz="2" w:space="0"/>
            </w:tcBorders>
            <w:vAlign w:val="center"/>
          </w:tcPr>
          <w:p w14:paraId="6438416C">
            <w:pPr>
              <w:spacing w:line="240" w:lineRule="exact"/>
              <w:jc w:val="right"/>
              <w:rPr>
                <w:rFonts w:ascii="宋体" w:hAnsi="宋体" w:eastAsia="宋体" w:cs="宋体"/>
                <w:sz w:val="18"/>
                <w:szCs w:val="18"/>
              </w:rPr>
            </w:pPr>
            <w:r>
              <w:rPr>
                <w:rFonts w:ascii="宋体" w:hAnsi="宋体" w:eastAsia="宋体" w:cs="宋体"/>
                <w:sz w:val="18"/>
                <w:szCs w:val="18"/>
              </w:rPr>
              <w:t>69,225,086.27</w:t>
            </w:r>
          </w:p>
        </w:tc>
      </w:tr>
      <w:tr w14:paraId="17330C9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E2D87F">
            <w:pPr>
              <w:spacing w:line="240" w:lineRule="exact"/>
              <w:ind w:firstLine="180" w:firstLineChars="100"/>
              <w:rPr>
                <w:rFonts w:ascii="宋体" w:hAnsi="宋体" w:eastAsia="宋体" w:cs="宋体"/>
                <w:sz w:val="18"/>
                <w:szCs w:val="18"/>
              </w:rPr>
            </w:pPr>
            <w:r>
              <w:rPr>
                <w:rFonts w:ascii="宋体" w:hAnsi="宋体" w:eastAsia="宋体" w:cs="宋体"/>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02988DAE">
            <w:pPr>
              <w:spacing w:line="240" w:lineRule="exact"/>
              <w:jc w:val="right"/>
              <w:rPr>
                <w:rFonts w:ascii="宋体" w:hAnsi="宋体" w:eastAsia="宋体" w:cs="宋体"/>
                <w:sz w:val="18"/>
                <w:szCs w:val="18"/>
              </w:rPr>
            </w:pPr>
            <w:r>
              <w:rPr>
                <w:rFonts w:ascii="宋体" w:hAnsi="宋体" w:eastAsia="宋体" w:cs="宋体"/>
                <w:sz w:val="18"/>
                <w:szCs w:val="18"/>
              </w:rPr>
              <w:t>-696,200,155.43</w:t>
            </w:r>
          </w:p>
        </w:tc>
        <w:tc>
          <w:tcPr>
            <w:tcW w:w="3213" w:type="dxa"/>
            <w:tcBorders>
              <w:top w:val="single" w:color="auto" w:sz="2" w:space="0"/>
              <w:left w:val="single" w:color="auto" w:sz="2" w:space="0"/>
              <w:bottom w:val="single" w:color="auto" w:sz="2" w:space="0"/>
              <w:right w:val="single" w:color="auto" w:sz="2" w:space="0"/>
            </w:tcBorders>
            <w:vAlign w:val="center"/>
          </w:tcPr>
          <w:p w14:paraId="31800455">
            <w:pPr>
              <w:spacing w:line="240" w:lineRule="exact"/>
              <w:jc w:val="right"/>
              <w:rPr>
                <w:rFonts w:ascii="宋体" w:hAnsi="宋体" w:eastAsia="宋体" w:cs="宋体"/>
                <w:sz w:val="18"/>
                <w:szCs w:val="18"/>
              </w:rPr>
            </w:pPr>
            <w:r>
              <w:rPr>
                <w:rFonts w:ascii="宋体" w:hAnsi="宋体" w:eastAsia="宋体" w:cs="宋体"/>
                <w:sz w:val="18"/>
                <w:szCs w:val="18"/>
              </w:rPr>
              <w:t>-676,442,220.33</w:t>
            </w:r>
          </w:p>
        </w:tc>
      </w:tr>
      <w:tr w14:paraId="27894D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76FA4A">
            <w:pPr>
              <w:spacing w:line="240" w:lineRule="exact"/>
              <w:rPr>
                <w:rFonts w:ascii="宋体" w:hAnsi="宋体" w:eastAsia="宋体" w:cs="宋体"/>
                <w:sz w:val="18"/>
                <w:szCs w:val="18"/>
              </w:rPr>
            </w:pPr>
            <w:r>
              <w:rPr>
                <w:rFonts w:ascii="宋体" w:hAnsi="宋体" w:eastAsia="宋体" w:cs="宋体"/>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1B6C9EE9">
            <w:pPr>
              <w:spacing w:line="240" w:lineRule="exact"/>
              <w:jc w:val="right"/>
              <w:rPr>
                <w:rFonts w:ascii="宋体" w:hAnsi="宋体" w:eastAsia="宋体" w:cs="宋体"/>
                <w:sz w:val="18"/>
                <w:szCs w:val="18"/>
              </w:rPr>
            </w:pPr>
            <w:r>
              <w:rPr>
                <w:rFonts w:ascii="宋体" w:hAnsi="宋体" w:eastAsia="宋体" w:cs="宋体"/>
                <w:sz w:val="18"/>
                <w:szCs w:val="18"/>
              </w:rPr>
              <w:t>-149,623,537.82</w:t>
            </w:r>
          </w:p>
        </w:tc>
        <w:tc>
          <w:tcPr>
            <w:tcW w:w="3213" w:type="dxa"/>
            <w:tcBorders>
              <w:top w:val="single" w:color="auto" w:sz="2" w:space="0"/>
              <w:left w:val="single" w:color="auto" w:sz="2" w:space="0"/>
              <w:bottom w:val="single" w:color="auto" w:sz="2" w:space="0"/>
              <w:right w:val="single" w:color="auto" w:sz="2" w:space="0"/>
            </w:tcBorders>
            <w:vAlign w:val="center"/>
          </w:tcPr>
          <w:p w14:paraId="311902B3">
            <w:pPr>
              <w:spacing w:line="240" w:lineRule="exact"/>
              <w:jc w:val="right"/>
              <w:rPr>
                <w:rFonts w:ascii="宋体" w:hAnsi="宋体" w:eastAsia="宋体" w:cs="宋体"/>
                <w:sz w:val="18"/>
                <w:szCs w:val="18"/>
              </w:rPr>
            </w:pPr>
            <w:r>
              <w:rPr>
                <w:rFonts w:ascii="宋体" w:hAnsi="宋体" w:eastAsia="宋体" w:cs="宋体"/>
                <w:sz w:val="18"/>
                <w:szCs w:val="18"/>
              </w:rPr>
              <w:t>-129,865,602.72</w:t>
            </w:r>
          </w:p>
        </w:tc>
      </w:tr>
      <w:tr w14:paraId="7D06927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6AD04A">
            <w:pPr>
              <w:spacing w:line="240" w:lineRule="exact"/>
              <w:rPr>
                <w:rFonts w:ascii="宋体" w:hAnsi="宋体" w:eastAsia="宋体" w:cs="宋体"/>
                <w:sz w:val="18"/>
                <w:szCs w:val="18"/>
              </w:rPr>
            </w:pPr>
            <w:r>
              <w:rPr>
                <w:rFonts w:ascii="宋体" w:hAnsi="宋体" w:eastAsia="宋体" w:cs="宋体"/>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71C5945A">
            <w:pPr>
              <w:spacing w:line="240" w:lineRule="exact"/>
              <w:jc w:val="right"/>
              <w:rPr>
                <w:rFonts w:ascii="宋体" w:hAnsi="宋体" w:eastAsia="宋体" w:cs="宋体"/>
                <w:sz w:val="18"/>
                <w:szCs w:val="18"/>
              </w:rPr>
            </w:pPr>
            <w:r>
              <w:rPr>
                <w:rFonts w:ascii="宋体" w:hAnsi="宋体" w:eastAsia="宋体" w:cs="宋体"/>
                <w:sz w:val="18"/>
                <w:szCs w:val="18"/>
              </w:rPr>
              <w:t>408,372,405.20</w:t>
            </w:r>
          </w:p>
        </w:tc>
        <w:tc>
          <w:tcPr>
            <w:tcW w:w="3213" w:type="dxa"/>
            <w:tcBorders>
              <w:top w:val="single" w:color="auto" w:sz="2" w:space="0"/>
              <w:left w:val="single" w:color="auto" w:sz="2" w:space="0"/>
              <w:bottom w:val="single" w:color="auto" w:sz="2" w:space="0"/>
              <w:right w:val="single" w:color="auto" w:sz="2" w:space="0"/>
            </w:tcBorders>
            <w:vAlign w:val="center"/>
          </w:tcPr>
          <w:p w14:paraId="43D928FF">
            <w:pPr>
              <w:spacing w:line="240" w:lineRule="exact"/>
              <w:jc w:val="right"/>
              <w:rPr>
                <w:rFonts w:ascii="宋体" w:hAnsi="宋体" w:eastAsia="宋体" w:cs="宋体"/>
                <w:sz w:val="18"/>
                <w:szCs w:val="18"/>
              </w:rPr>
            </w:pPr>
            <w:r>
              <w:rPr>
                <w:rFonts w:ascii="宋体" w:hAnsi="宋体" w:eastAsia="宋体" w:cs="宋体"/>
                <w:sz w:val="18"/>
                <w:szCs w:val="18"/>
              </w:rPr>
              <w:t>411,866,881.38</w:t>
            </w:r>
          </w:p>
        </w:tc>
      </w:tr>
    </w:tbl>
    <w:p w14:paraId="002E5C58">
      <w:pPr>
        <w:pStyle w:val="3"/>
        <w:spacing w:line="280" w:lineRule="exact"/>
        <w:jc w:val="left"/>
        <w:rPr>
          <w:rFonts w:ascii="宋体" w:hAnsi="宋体" w:cs="宋体"/>
          <w:b/>
          <w:bCs/>
        </w:rPr>
      </w:pPr>
      <w:bookmarkStart w:id="92" w:name="_Toc988981"/>
      <w:r>
        <w:rPr>
          <w:rFonts w:ascii="宋体" w:hAnsi="宋体" w:cs="宋体"/>
          <w:b/>
          <w:bCs/>
        </w:rPr>
        <w:t>3、合并利润表</w:t>
      </w:r>
      <w:bookmarkEnd w:id="92"/>
    </w:p>
    <w:p w14:paraId="0D993F9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C1370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28358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9974ED">
            <w:pPr>
              <w:spacing w:before="40" w:after="40" w:line="240" w:lineRule="exact"/>
              <w:jc w:val="center"/>
              <w:rPr>
                <w:rFonts w:ascii="宋体" w:hAnsi="宋体" w:eastAsia="宋体" w:cs="宋体"/>
                <w:sz w:val="18"/>
                <w:szCs w:val="18"/>
              </w:rPr>
            </w:pPr>
            <w:r>
              <w:rPr>
                <w:rFonts w:ascii="宋体" w:hAnsi="宋体" w:eastAsia="宋体" w:cs="宋体"/>
                <w:sz w:val="18"/>
                <w:szCs w:val="18"/>
              </w:rPr>
              <w:t>2024年半年度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279D0F">
            <w:pPr>
              <w:spacing w:before="40" w:after="40" w:line="240" w:lineRule="exact"/>
              <w:jc w:val="center"/>
              <w:rPr>
                <w:rFonts w:ascii="宋体" w:hAnsi="宋体" w:eastAsia="宋体" w:cs="宋体"/>
                <w:sz w:val="18"/>
                <w:szCs w:val="18"/>
              </w:rPr>
            </w:pPr>
            <w:r>
              <w:rPr>
                <w:rFonts w:ascii="宋体" w:hAnsi="宋体" w:eastAsia="宋体" w:cs="宋体"/>
                <w:sz w:val="18"/>
                <w:szCs w:val="18"/>
              </w:rPr>
              <w:t>2023年半年度</w:t>
            </w:r>
          </w:p>
        </w:tc>
      </w:tr>
      <w:tr w14:paraId="191BDC1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697EBA">
            <w:pPr>
              <w:spacing w:before="40" w:after="40" w:line="240" w:lineRule="exact"/>
              <w:rPr>
                <w:rFonts w:ascii="宋体" w:hAnsi="宋体" w:eastAsia="宋体" w:cs="宋体"/>
                <w:sz w:val="18"/>
                <w:szCs w:val="18"/>
              </w:rPr>
            </w:pPr>
            <w:r>
              <w:rPr>
                <w:rFonts w:ascii="宋体" w:hAnsi="宋体" w:eastAsia="宋体" w:cs="宋体"/>
                <w:sz w:val="18"/>
                <w:szCs w:val="18"/>
              </w:rPr>
              <w:t>一、营业总收入</w:t>
            </w:r>
          </w:p>
        </w:tc>
        <w:tc>
          <w:tcPr>
            <w:tcW w:w="3213" w:type="dxa"/>
            <w:tcBorders>
              <w:top w:val="single" w:color="auto" w:sz="2" w:space="0"/>
              <w:left w:val="single" w:color="auto" w:sz="2" w:space="0"/>
              <w:bottom w:val="single" w:color="auto" w:sz="2" w:space="0"/>
              <w:right w:val="single" w:color="auto" w:sz="2" w:space="0"/>
            </w:tcBorders>
            <w:vAlign w:val="center"/>
          </w:tcPr>
          <w:p w14:paraId="192FAEB1">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3213" w:type="dxa"/>
            <w:tcBorders>
              <w:top w:val="single" w:color="auto" w:sz="2" w:space="0"/>
              <w:left w:val="single" w:color="auto" w:sz="2" w:space="0"/>
              <w:bottom w:val="single" w:color="auto" w:sz="2" w:space="0"/>
              <w:right w:val="single" w:color="auto" w:sz="2" w:space="0"/>
            </w:tcBorders>
            <w:vAlign w:val="center"/>
          </w:tcPr>
          <w:p w14:paraId="554D7F5C">
            <w:pPr>
              <w:spacing w:line="240" w:lineRule="exact"/>
              <w:jc w:val="right"/>
              <w:rPr>
                <w:rFonts w:ascii="宋体" w:hAnsi="宋体" w:eastAsia="宋体" w:cs="宋体"/>
                <w:sz w:val="18"/>
                <w:szCs w:val="18"/>
              </w:rPr>
            </w:pPr>
            <w:r>
              <w:rPr>
                <w:rFonts w:ascii="宋体" w:hAnsi="宋体" w:eastAsia="宋体" w:cs="宋体"/>
                <w:sz w:val="18"/>
                <w:szCs w:val="18"/>
              </w:rPr>
              <w:t>147,414,128.78</w:t>
            </w:r>
          </w:p>
        </w:tc>
      </w:tr>
      <w:tr w14:paraId="077AF0C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D6446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230A0CAA">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3213" w:type="dxa"/>
            <w:tcBorders>
              <w:top w:val="single" w:color="auto" w:sz="2" w:space="0"/>
              <w:left w:val="single" w:color="auto" w:sz="2" w:space="0"/>
              <w:bottom w:val="single" w:color="auto" w:sz="2" w:space="0"/>
              <w:right w:val="single" w:color="auto" w:sz="2" w:space="0"/>
            </w:tcBorders>
            <w:vAlign w:val="center"/>
          </w:tcPr>
          <w:p w14:paraId="53949DEA">
            <w:pPr>
              <w:spacing w:line="240" w:lineRule="exact"/>
              <w:jc w:val="right"/>
              <w:rPr>
                <w:rFonts w:ascii="宋体" w:hAnsi="宋体" w:eastAsia="宋体" w:cs="宋体"/>
                <w:sz w:val="18"/>
                <w:szCs w:val="18"/>
              </w:rPr>
            </w:pPr>
            <w:r>
              <w:rPr>
                <w:rFonts w:ascii="宋体" w:hAnsi="宋体" w:eastAsia="宋体" w:cs="宋体"/>
                <w:sz w:val="18"/>
                <w:szCs w:val="18"/>
              </w:rPr>
              <w:t>147,414,128.78</w:t>
            </w:r>
          </w:p>
        </w:tc>
      </w:tr>
      <w:tr w14:paraId="63AF33C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73C2CF">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E0541B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B7AE87">
            <w:pPr>
              <w:spacing w:line="240" w:lineRule="exact"/>
              <w:jc w:val="right"/>
              <w:rPr>
                <w:rFonts w:ascii="宋体" w:hAnsi="宋体" w:eastAsia="宋体" w:cs="宋体"/>
                <w:sz w:val="18"/>
                <w:szCs w:val="18"/>
              </w:rPr>
            </w:pPr>
          </w:p>
        </w:tc>
      </w:tr>
      <w:tr w14:paraId="0D4E418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63399B">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已赚保费</w:t>
            </w:r>
          </w:p>
        </w:tc>
        <w:tc>
          <w:tcPr>
            <w:tcW w:w="3213" w:type="dxa"/>
            <w:tcBorders>
              <w:top w:val="single" w:color="auto" w:sz="2" w:space="0"/>
              <w:left w:val="single" w:color="auto" w:sz="2" w:space="0"/>
              <w:bottom w:val="single" w:color="auto" w:sz="2" w:space="0"/>
              <w:right w:val="single" w:color="auto" w:sz="2" w:space="0"/>
            </w:tcBorders>
            <w:vAlign w:val="center"/>
          </w:tcPr>
          <w:p w14:paraId="20A5CBF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8FC391">
            <w:pPr>
              <w:spacing w:line="240" w:lineRule="exact"/>
              <w:jc w:val="right"/>
              <w:rPr>
                <w:rFonts w:ascii="宋体" w:hAnsi="宋体" w:eastAsia="宋体" w:cs="宋体"/>
                <w:sz w:val="18"/>
                <w:szCs w:val="18"/>
              </w:rPr>
            </w:pPr>
          </w:p>
        </w:tc>
      </w:tr>
      <w:tr w14:paraId="1D4512D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35C10D">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手续费及佣金收入</w:t>
            </w:r>
          </w:p>
        </w:tc>
        <w:tc>
          <w:tcPr>
            <w:tcW w:w="3213" w:type="dxa"/>
            <w:tcBorders>
              <w:top w:val="single" w:color="auto" w:sz="2" w:space="0"/>
              <w:left w:val="single" w:color="auto" w:sz="2" w:space="0"/>
              <w:bottom w:val="single" w:color="auto" w:sz="2" w:space="0"/>
              <w:right w:val="single" w:color="auto" w:sz="2" w:space="0"/>
            </w:tcBorders>
            <w:vAlign w:val="center"/>
          </w:tcPr>
          <w:p w14:paraId="3F3BC8B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9103A0">
            <w:pPr>
              <w:spacing w:line="240" w:lineRule="exact"/>
              <w:jc w:val="right"/>
              <w:rPr>
                <w:rFonts w:ascii="宋体" w:hAnsi="宋体" w:eastAsia="宋体" w:cs="宋体"/>
                <w:sz w:val="18"/>
                <w:szCs w:val="18"/>
              </w:rPr>
            </w:pPr>
          </w:p>
        </w:tc>
      </w:tr>
      <w:tr w14:paraId="0C1323A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F012AC">
            <w:pPr>
              <w:spacing w:before="40" w:after="40" w:line="240" w:lineRule="exact"/>
              <w:rPr>
                <w:rFonts w:ascii="宋体" w:hAnsi="宋体" w:eastAsia="宋体" w:cs="宋体"/>
                <w:sz w:val="18"/>
                <w:szCs w:val="18"/>
              </w:rPr>
            </w:pPr>
            <w:r>
              <w:rPr>
                <w:rFonts w:ascii="宋体" w:hAnsi="宋体" w:eastAsia="宋体" w:cs="宋体"/>
                <w:sz w:val="18"/>
                <w:szCs w:val="18"/>
              </w:rPr>
              <w:t>二、营业总成本</w:t>
            </w:r>
          </w:p>
        </w:tc>
        <w:tc>
          <w:tcPr>
            <w:tcW w:w="3213" w:type="dxa"/>
            <w:tcBorders>
              <w:top w:val="single" w:color="auto" w:sz="2" w:space="0"/>
              <w:left w:val="single" w:color="auto" w:sz="2" w:space="0"/>
              <w:bottom w:val="single" w:color="auto" w:sz="2" w:space="0"/>
              <w:right w:val="single" w:color="auto" w:sz="2" w:space="0"/>
            </w:tcBorders>
            <w:vAlign w:val="center"/>
          </w:tcPr>
          <w:p w14:paraId="7E095182">
            <w:pPr>
              <w:spacing w:line="240" w:lineRule="exact"/>
              <w:jc w:val="right"/>
              <w:rPr>
                <w:rFonts w:ascii="宋体" w:hAnsi="宋体" w:eastAsia="宋体" w:cs="宋体"/>
                <w:sz w:val="18"/>
                <w:szCs w:val="18"/>
              </w:rPr>
            </w:pPr>
            <w:r>
              <w:rPr>
                <w:rFonts w:ascii="宋体" w:hAnsi="宋体" w:eastAsia="宋体" w:cs="宋体"/>
                <w:sz w:val="18"/>
                <w:szCs w:val="18"/>
              </w:rPr>
              <w:t>160,034,145.07</w:t>
            </w:r>
          </w:p>
        </w:tc>
        <w:tc>
          <w:tcPr>
            <w:tcW w:w="3213" w:type="dxa"/>
            <w:tcBorders>
              <w:top w:val="single" w:color="auto" w:sz="2" w:space="0"/>
              <w:left w:val="single" w:color="auto" w:sz="2" w:space="0"/>
              <w:bottom w:val="single" w:color="auto" w:sz="2" w:space="0"/>
              <w:right w:val="single" w:color="auto" w:sz="2" w:space="0"/>
            </w:tcBorders>
            <w:vAlign w:val="center"/>
          </w:tcPr>
          <w:p w14:paraId="4688E056">
            <w:pPr>
              <w:spacing w:line="240" w:lineRule="exact"/>
              <w:jc w:val="right"/>
              <w:rPr>
                <w:rFonts w:ascii="宋体" w:hAnsi="宋体" w:eastAsia="宋体" w:cs="宋体"/>
                <w:sz w:val="18"/>
                <w:szCs w:val="18"/>
              </w:rPr>
            </w:pPr>
            <w:r>
              <w:rPr>
                <w:rFonts w:ascii="宋体" w:hAnsi="宋体" w:eastAsia="宋体" w:cs="宋体"/>
                <w:sz w:val="18"/>
                <w:szCs w:val="18"/>
              </w:rPr>
              <w:t>139,830,785.56</w:t>
            </w:r>
          </w:p>
        </w:tc>
      </w:tr>
      <w:tr w14:paraId="190C885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4C74E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712E49BD">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3213" w:type="dxa"/>
            <w:tcBorders>
              <w:top w:val="single" w:color="auto" w:sz="2" w:space="0"/>
              <w:left w:val="single" w:color="auto" w:sz="2" w:space="0"/>
              <w:bottom w:val="single" w:color="auto" w:sz="2" w:space="0"/>
              <w:right w:val="single" w:color="auto" w:sz="2" w:space="0"/>
            </w:tcBorders>
            <w:vAlign w:val="center"/>
          </w:tcPr>
          <w:p w14:paraId="17CFC6DB">
            <w:pPr>
              <w:spacing w:line="240" w:lineRule="exact"/>
              <w:jc w:val="right"/>
              <w:rPr>
                <w:rFonts w:ascii="宋体" w:hAnsi="宋体" w:eastAsia="宋体" w:cs="宋体"/>
                <w:sz w:val="18"/>
                <w:szCs w:val="18"/>
              </w:rPr>
            </w:pPr>
            <w:r>
              <w:rPr>
                <w:rFonts w:ascii="宋体" w:hAnsi="宋体" w:eastAsia="宋体" w:cs="宋体"/>
                <w:sz w:val="18"/>
                <w:szCs w:val="18"/>
              </w:rPr>
              <w:t>103,318,485.78</w:t>
            </w:r>
          </w:p>
        </w:tc>
      </w:tr>
      <w:tr w14:paraId="2DD5C4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D64D37">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085CFCE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5E7C5C">
            <w:pPr>
              <w:spacing w:line="240" w:lineRule="exact"/>
              <w:jc w:val="right"/>
              <w:rPr>
                <w:rFonts w:ascii="宋体" w:hAnsi="宋体" w:eastAsia="宋体" w:cs="宋体"/>
                <w:sz w:val="18"/>
                <w:szCs w:val="18"/>
              </w:rPr>
            </w:pPr>
          </w:p>
        </w:tc>
      </w:tr>
      <w:tr w14:paraId="4F70B39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ED49D6">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手续费及佣金支出</w:t>
            </w:r>
          </w:p>
        </w:tc>
        <w:tc>
          <w:tcPr>
            <w:tcW w:w="3213" w:type="dxa"/>
            <w:tcBorders>
              <w:top w:val="single" w:color="auto" w:sz="2" w:space="0"/>
              <w:left w:val="single" w:color="auto" w:sz="2" w:space="0"/>
              <w:bottom w:val="single" w:color="auto" w:sz="2" w:space="0"/>
              <w:right w:val="single" w:color="auto" w:sz="2" w:space="0"/>
            </w:tcBorders>
            <w:vAlign w:val="center"/>
          </w:tcPr>
          <w:p w14:paraId="36369FD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9FA458">
            <w:pPr>
              <w:spacing w:line="240" w:lineRule="exact"/>
              <w:jc w:val="right"/>
              <w:rPr>
                <w:rFonts w:ascii="宋体" w:hAnsi="宋体" w:eastAsia="宋体" w:cs="宋体"/>
                <w:sz w:val="18"/>
                <w:szCs w:val="18"/>
              </w:rPr>
            </w:pPr>
          </w:p>
        </w:tc>
      </w:tr>
      <w:tr w14:paraId="5CF83E2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A75A3D">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退保金</w:t>
            </w:r>
          </w:p>
        </w:tc>
        <w:tc>
          <w:tcPr>
            <w:tcW w:w="3213" w:type="dxa"/>
            <w:tcBorders>
              <w:top w:val="single" w:color="auto" w:sz="2" w:space="0"/>
              <w:left w:val="single" w:color="auto" w:sz="2" w:space="0"/>
              <w:bottom w:val="single" w:color="auto" w:sz="2" w:space="0"/>
              <w:right w:val="single" w:color="auto" w:sz="2" w:space="0"/>
            </w:tcBorders>
            <w:vAlign w:val="center"/>
          </w:tcPr>
          <w:p w14:paraId="7C3DA59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0633A5">
            <w:pPr>
              <w:spacing w:line="240" w:lineRule="exact"/>
              <w:jc w:val="right"/>
              <w:rPr>
                <w:rFonts w:ascii="宋体" w:hAnsi="宋体" w:eastAsia="宋体" w:cs="宋体"/>
                <w:sz w:val="18"/>
                <w:szCs w:val="18"/>
              </w:rPr>
            </w:pPr>
          </w:p>
        </w:tc>
      </w:tr>
      <w:tr w14:paraId="0F35BA2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74FF49">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赔付支出净额</w:t>
            </w:r>
          </w:p>
        </w:tc>
        <w:tc>
          <w:tcPr>
            <w:tcW w:w="3213" w:type="dxa"/>
            <w:tcBorders>
              <w:top w:val="single" w:color="auto" w:sz="2" w:space="0"/>
              <w:left w:val="single" w:color="auto" w:sz="2" w:space="0"/>
              <w:bottom w:val="single" w:color="auto" w:sz="2" w:space="0"/>
              <w:right w:val="single" w:color="auto" w:sz="2" w:space="0"/>
            </w:tcBorders>
            <w:vAlign w:val="center"/>
          </w:tcPr>
          <w:p w14:paraId="3572784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7DE137">
            <w:pPr>
              <w:spacing w:line="240" w:lineRule="exact"/>
              <w:jc w:val="right"/>
              <w:rPr>
                <w:rFonts w:ascii="宋体" w:hAnsi="宋体" w:eastAsia="宋体" w:cs="宋体"/>
                <w:sz w:val="18"/>
                <w:szCs w:val="18"/>
              </w:rPr>
            </w:pPr>
          </w:p>
        </w:tc>
      </w:tr>
      <w:tr w14:paraId="2F7C0CC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32FC01">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提取保险责任准备金净额</w:t>
            </w:r>
          </w:p>
        </w:tc>
        <w:tc>
          <w:tcPr>
            <w:tcW w:w="3213" w:type="dxa"/>
            <w:tcBorders>
              <w:top w:val="single" w:color="auto" w:sz="2" w:space="0"/>
              <w:left w:val="single" w:color="auto" w:sz="2" w:space="0"/>
              <w:bottom w:val="single" w:color="auto" w:sz="2" w:space="0"/>
              <w:right w:val="single" w:color="auto" w:sz="2" w:space="0"/>
            </w:tcBorders>
            <w:vAlign w:val="center"/>
          </w:tcPr>
          <w:p w14:paraId="0DFA6EA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74EB84">
            <w:pPr>
              <w:spacing w:line="240" w:lineRule="exact"/>
              <w:jc w:val="right"/>
              <w:rPr>
                <w:rFonts w:ascii="宋体" w:hAnsi="宋体" w:eastAsia="宋体" w:cs="宋体"/>
                <w:sz w:val="18"/>
                <w:szCs w:val="18"/>
              </w:rPr>
            </w:pPr>
          </w:p>
        </w:tc>
      </w:tr>
      <w:tr w14:paraId="74493C7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0328BA">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保单红利支出</w:t>
            </w:r>
          </w:p>
        </w:tc>
        <w:tc>
          <w:tcPr>
            <w:tcW w:w="3213" w:type="dxa"/>
            <w:tcBorders>
              <w:top w:val="single" w:color="auto" w:sz="2" w:space="0"/>
              <w:left w:val="single" w:color="auto" w:sz="2" w:space="0"/>
              <w:bottom w:val="single" w:color="auto" w:sz="2" w:space="0"/>
              <w:right w:val="single" w:color="auto" w:sz="2" w:space="0"/>
            </w:tcBorders>
            <w:vAlign w:val="center"/>
          </w:tcPr>
          <w:p w14:paraId="253E39C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3AF802">
            <w:pPr>
              <w:spacing w:line="240" w:lineRule="exact"/>
              <w:jc w:val="right"/>
              <w:rPr>
                <w:rFonts w:ascii="宋体" w:hAnsi="宋体" w:eastAsia="宋体" w:cs="宋体"/>
                <w:sz w:val="18"/>
                <w:szCs w:val="18"/>
              </w:rPr>
            </w:pPr>
          </w:p>
        </w:tc>
      </w:tr>
      <w:tr w14:paraId="5DE1FF8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A195F8">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分保费用</w:t>
            </w:r>
          </w:p>
        </w:tc>
        <w:tc>
          <w:tcPr>
            <w:tcW w:w="3213" w:type="dxa"/>
            <w:tcBorders>
              <w:top w:val="single" w:color="auto" w:sz="2" w:space="0"/>
              <w:left w:val="single" w:color="auto" w:sz="2" w:space="0"/>
              <w:bottom w:val="single" w:color="auto" w:sz="2" w:space="0"/>
              <w:right w:val="single" w:color="auto" w:sz="2" w:space="0"/>
            </w:tcBorders>
            <w:vAlign w:val="center"/>
          </w:tcPr>
          <w:p w14:paraId="2A0324E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ACB67F">
            <w:pPr>
              <w:spacing w:line="240" w:lineRule="exact"/>
              <w:jc w:val="right"/>
              <w:rPr>
                <w:rFonts w:ascii="宋体" w:hAnsi="宋体" w:eastAsia="宋体" w:cs="宋体"/>
                <w:sz w:val="18"/>
                <w:szCs w:val="18"/>
              </w:rPr>
            </w:pPr>
          </w:p>
        </w:tc>
      </w:tr>
      <w:tr w14:paraId="784ED39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14AC45">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2E219ED2">
            <w:pPr>
              <w:spacing w:line="240" w:lineRule="exact"/>
              <w:jc w:val="right"/>
              <w:rPr>
                <w:rFonts w:ascii="宋体" w:hAnsi="宋体" w:eastAsia="宋体" w:cs="宋体"/>
                <w:sz w:val="18"/>
                <w:szCs w:val="18"/>
              </w:rPr>
            </w:pPr>
            <w:r>
              <w:rPr>
                <w:rFonts w:ascii="宋体" w:hAnsi="宋体" w:eastAsia="宋体" w:cs="宋体"/>
                <w:sz w:val="18"/>
                <w:szCs w:val="18"/>
              </w:rPr>
              <w:t>1,638,305.02</w:t>
            </w:r>
          </w:p>
        </w:tc>
        <w:tc>
          <w:tcPr>
            <w:tcW w:w="3213" w:type="dxa"/>
            <w:tcBorders>
              <w:top w:val="single" w:color="auto" w:sz="2" w:space="0"/>
              <w:left w:val="single" w:color="auto" w:sz="2" w:space="0"/>
              <w:bottom w:val="single" w:color="auto" w:sz="2" w:space="0"/>
              <w:right w:val="single" w:color="auto" w:sz="2" w:space="0"/>
            </w:tcBorders>
            <w:vAlign w:val="center"/>
          </w:tcPr>
          <w:p w14:paraId="5AD6AA44">
            <w:pPr>
              <w:spacing w:line="240" w:lineRule="exact"/>
              <w:jc w:val="right"/>
              <w:rPr>
                <w:rFonts w:ascii="宋体" w:hAnsi="宋体" w:eastAsia="宋体" w:cs="宋体"/>
                <w:sz w:val="18"/>
                <w:szCs w:val="18"/>
              </w:rPr>
            </w:pPr>
            <w:r>
              <w:rPr>
                <w:rFonts w:ascii="宋体" w:hAnsi="宋体" w:eastAsia="宋体" w:cs="宋体"/>
                <w:sz w:val="18"/>
                <w:szCs w:val="18"/>
              </w:rPr>
              <w:t>578,769.32</w:t>
            </w:r>
          </w:p>
        </w:tc>
      </w:tr>
      <w:tr w14:paraId="5AE464D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17F604">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4945A6BC">
            <w:pPr>
              <w:spacing w:line="240" w:lineRule="exact"/>
              <w:jc w:val="right"/>
              <w:rPr>
                <w:rFonts w:ascii="宋体" w:hAnsi="宋体" w:eastAsia="宋体" w:cs="宋体"/>
                <w:sz w:val="18"/>
                <w:szCs w:val="18"/>
              </w:rPr>
            </w:pPr>
            <w:r>
              <w:rPr>
                <w:rFonts w:ascii="宋体" w:hAnsi="宋体" w:eastAsia="宋体" w:cs="宋体"/>
                <w:sz w:val="18"/>
                <w:szCs w:val="18"/>
              </w:rPr>
              <w:t>5,597,947.89</w:t>
            </w:r>
          </w:p>
        </w:tc>
        <w:tc>
          <w:tcPr>
            <w:tcW w:w="3213" w:type="dxa"/>
            <w:tcBorders>
              <w:top w:val="single" w:color="auto" w:sz="2" w:space="0"/>
              <w:left w:val="single" w:color="auto" w:sz="2" w:space="0"/>
              <w:bottom w:val="single" w:color="auto" w:sz="2" w:space="0"/>
              <w:right w:val="single" w:color="auto" w:sz="2" w:space="0"/>
            </w:tcBorders>
            <w:vAlign w:val="center"/>
          </w:tcPr>
          <w:p w14:paraId="101A4561">
            <w:pPr>
              <w:spacing w:line="240" w:lineRule="exact"/>
              <w:jc w:val="right"/>
              <w:rPr>
                <w:rFonts w:ascii="宋体" w:hAnsi="宋体" w:eastAsia="宋体" w:cs="宋体"/>
                <w:sz w:val="18"/>
                <w:szCs w:val="18"/>
              </w:rPr>
            </w:pPr>
            <w:r>
              <w:rPr>
                <w:rFonts w:ascii="宋体" w:hAnsi="宋体" w:eastAsia="宋体" w:cs="宋体"/>
                <w:sz w:val="18"/>
                <w:szCs w:val="18"/>
              </w:rPr>
              <w:t>4,040,559.61</w:t>
            </w:r>
          </w:p>
        </w:tc>
      </w:tr>
      <w:tr w14:paraId="6A8057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FE6F32">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69FC7CC5">
            <w:pPr>
              <w:spacing w:line="240" w:lineRule="exact"/>
              <w:jc w:val="right"/>
              <w:rPr>
                <w:rFonts w:ascii="宋体" w:hAnsi="宋体" w:eastAsia="宋体" w:cs="宋体"/>
                <w:sz w:val="18"/>
                <w:szCs w:val="18"/>
              </w:rPr>
            </w:pPr>
            <w:r>
              <w:rPr>
                <w:rFonts w:ascii="宋体" w:hAnsi="宋体" w:eastAsia="宋体" w:cs="宋体"/>
                <w:sz w:val="18"/>
                <w:szCs w:val="18"/>
              </w:rPr>
              <w:t>30,408,031.46</w:t>
            </w:r>
          </w:p>
        </w:tc>
        <w:tc>
          <w:tcPr>
            <w:tcW w:w="3213" w:type="dxa"/>
            <w:tcBorders>
              <w:top w:val="single" w:color="auto" w:sz="2" w:space="0"/>
              <w:left w:val="single" w:color="auto" w:sz="2" w:space="0"/>
              <w:bottom w:val="single" w:color="auto" w:sz="2" w:space="0"/>
              <w:right w:val="single" w:color="auto" w:sz="2" w:space="0"/>
            </w:tcBorders>
            <w:vAlign w:val="center"/>
          </w:tcPr>
          <w:p w14:paraId="164B86D5">
            <w:pPr>
              <w:spacing w:line="240" w:lineRule="exact"/>
              <w:jc w:val="right"/>
              <w:rPr>
                <w:rFonts w:ascii="宋体" w:hAnsi="宋体" w:eastAsia="宋体" w:cs="宋体"/>
                <w:sz w:val="18"/>
                <w:szCs w:val="18"/>
              </w:rPr>
            </w:pPr>
            <w:r>
              <w:rPr>
                <w:rFonts w:ascii="宋体" w:hAnsi="宋体" w:eastAsia="宋体" w:cs="宋体"/>
                <w:sz w:val="18"/>
                <w:szCs w:val="18"/>
              </w:rPr>
              <w:t>13,907,678.82</w:t>
            </w:r>
          </w:p>
        </w:tc>
      </w:tr>
      <w:tr w14:paraId="4EF26C0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9B0D83">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4F623ED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11BFA9">
            <w:pPr>
              <w:spacing w:line="240" w:lineRule="exact"/>
              <w:jc w:val="right"/>
              <w:rPr>
                <w:rFonts w:ascii="宋体" w:hAnsi="宋体" w:eastAsia="宋体" w:cs="宋体"/>
                <w:sz w:val="18"/>
                <w:szCs w:val="18"/>
              </w:rPr>
            </w:pPr>
          </w:p>
        </w:tc>
      </w:tr>
      <w:tr w14:paraId="706DDC7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27BDEF">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20AE4ECC">
            <w:pPr>
              <w:spacing w:line="240" w:lineRule="exact"/>
              <w:jc w:val="right"/>
              <w:rPr>
                <w:rFonts w:ascii="宋体" w:hAnsi="宋体" w:eastAsia="宋体" w:cs="宋体"/>
                <w:sz w:val="18"/>
                <w:szCs w:val="18"/>
              </w:rPr>
            </w:pPr>
            <w:r>
              <w:rPr>
                <w:rFonts w:ascii="宋体" w:hAnsi="宋体" w:eastAsia="宋体" w:cs="宋体"/>
                <w:sz w:val="18"/>
                <w:szCs w:val="18"/>
              </w:rPr>
              <w:t>-250,875.29</w:t>
            </w:r>
          </w:p>
        </w:tc>
        <w:tc>
          <w:tcPr>
            <w:tcW w:w="3213" w:type="dxa"/>
            <w:tcBorders>
              <w:top w:val="single" w:color="auto" w:sz="2" w:space="0"/>
              <w:left w:val="single" w:color="auto" w:sz="2" w:space="0"/>
              <w:bottom w:val="single" w:color="auto" w:sz="2" w:space="0"/>
              <w:right w:val="single" w:color="auto" w:sz="2" w:space="0"/>
            </w:tcBorders>
            <w:vAlign w:val="center"/>
          </w:tcPr>
          <w:p w14:paraId="5A119AD6">
            <w:pPr>
              <w:spacing w:line="240" w:lineRule="exact"/>
              <w:jc w:val="right"/>
              <w:rPr>
                <w:rFonts w:ascii="宋体" w:hAnsi="宋体" w:eastAsia="宋体" w:cs="宋体"/>
                <w:sz w:val="18"/>
                <w:szCs w:val="18"/>
              </w:rPr>
            </w:pPr>
            <w:r>
              <w:rPr>
                <w:rFonts w:ascii="宋体" w:hAnsi="宋体" w:eastAsia="宋体" w:cs="宋体"/>
                <w:sz w:val="18"/>
                <w:szCs w:val="18"/>
              </w:rPr>
              <w:t>17,985,292.03</w:t>
            </w:r>
          </w:p>
        </w:tc>
      </w:tr>
      <w:tr w14:paraId="1E26F3D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AF50BE">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7DB9539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9C82457">
            <w:pPr>
              <w:spacing w:line="240" w:lineRule="exact"/>
              <w:jc w:val="right"/>
              <w:rPr>
                <w:rFonts w:ascii="宋体" w:hAnsi="宋体" w:eastAsia="宋体" w:cs="宋体"/>
                <w:sz w:val="18"/>
                <w:szCs w:val="18"/>
              </w:rPr>
            </w:pPr>
          </w:p>
        </w:tc>
      </w:tr>
      <w:tr w14:paraId="04CACF0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65A84B">
            <w:pPr>
              <w:spacing w:before="40" w:after="40" w:line="240" w:lineRule="exact"/>
              <w:ind w:firstLine="1440" w:firstLineChars="800"/>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1F624A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E81719">
            <w:pPr>
              <w:spacing w:line="240" w:lineRule="exact"/>
              <w:jc w:val="right"/>
              <w:rPr>
                <w:rFonts w:ascii="宋体" w:hAnsi="宋体" w:eastAsia="宋体" w:cs="宋体"/>
                <w:sz w:val="18"/>
                <w:szCs w:val="18"/>
              </w:rPr>
            </w:pPr>
          </w:p>
        </w:tc>
      </w:tr>
      <w:tr w14:paraId="088E5CB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763608">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1903CAF8">
            <w:pPr>
              <w:spacing w:line="240" w:lineRule="exact"/>
              <w:jc w:val="right"/>
              <w:rPr>
                <w:rFonts w:ascii="宋体" w:hAnsi="宋体" w:eastAsia="宋体" w:cs="宋体"/>
                <w:sz w:val="18"/>
                <w:szCs w:val="18"/>
              </w:rPr>
            </w:pPr>
            <w:r>
              <w:rPr>
                <w:rFonts w:ascii="宋体" w:hAnsi="宋体" w:eastAsia="宋体" w:cs="宋体"/>
                <w:sz w:val="18"/>
                <w:szCs w:val="18"/>
              </w:rPr>
              <w:t>15,755.47</w:t>
            </w:r>
          </w:p>
        </w:tc>
        <w:tc>
          <w:tcPr>
            <w:tcW w:w="3213" w:type="dxa"/>
            <w:tcBorders>
              <w:top w:val="single" w:color="auto" w:sz="2" w:space="0"/>
              <w:left w:val="single" w:color="auto" w:sz="2" w:space="0"/>
              <w:bottom w:val="single" w:color="auto" w:sz="2" w:space="0"/>
              <w:right w:val="single" w:color="auto" w:sz="2" w:space="0"/>
            </w:tcBorders>
            <w:vAlign w:val="center"/>
          </w:tcPr>
          <w:p w14:paraId="418E3B86">
            <w:pPr>
              <w:spacing w:line="240" w:lineRule="exact"/>
              <w:jc w:val="right"/>
              <w:rPr>
                <w:rFonts w:ascii="宋体" w:hAnsi="宋体" w:eastAsia="宋体" w:cs="宋体"/>
                <w:sz w:val="18"/>
                <w:szCs w:val="18"/>
              </w:rPr>
            </w:pPr>
            <w:r>
              <w:rPr>
                <w:rFonts w:ascii="宋体" w:hAnsi="宋体" w:eastAsia="宋体" w:cs="宋体"/>
                <w:sz w:val="18"/>
                <w:szCs w:val="18"/>
              </w:rPr>
              <w:t>166,749.03</w:t>
            </w:r>
          </w:p>
        </w:tc>
      </w:tr>
      <w:tr w14:paraId="0665EA3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86EA69">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ADB9E81">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665C84F7">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00BAED5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D7552B">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75EAF888">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524D7629">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3E66283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310D43">
            <w:pPr>
              <w:spacing w:before="40" w:after="40" w:line="240" w:lineRule="exact"/>
              <w:ind w:firstLine="1440" w:firstLineChars="800"/>
              <w:rPr>
                <w:rFonts w:ascii="宋体" w:hAnsi="宋体" w:eastAsia="宋体" w:cs="宋体"/>
                <w:sz w:val="18"/>
                <w:szCs w:val="18"/>
              </w:rPr>
            </w:pPr>
            <w:r>
              <w:rPr>
                <w:rFonts w:ascii="宋体" w:hAnsi="宋体" w:eastAsia="宋体" w:cs="宋体"/>
                <w:sz w:val="18"/>
                <w:szCs w:val="18"/>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14:paraId="5AD67C3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6803C9">
            <w:pPr>
              <w:spacing w:line="240" w:lineRule="exact"/>
              <w:jc w:val="right"/>
              <w:rPr>
                <w:rFonts w:ascii="宋体" w:hAnsi="宋体" w:eastAsia="宋体" w:cs="宋体"/>
                <w:sz w:val="18"/>
                <w:szCs w:val="18"/>
              </w:rPr>
            </w:pPr>
          </w:p>
        </w:tc>
      </w:tr>
      <w:tr w14:paraId="15BFEFF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21728F">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汇兑收益（损失以“—”号填列）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E34DB1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C53CF2">
            <w:pPr>
              <w:spacing w:line="240" w:lineRule="exact"/>
              <w:jc w:val="right"/>
              <w:rPr>
                <w:rFonts w:ascii="宋体" w:hAnsi="宋体" w:eastAsia="宋体" w:cs="宋体"/>
                <w:sz w:val="18"/>
                <w:szCs w:val="18"/>
              </w:rPr>
            </w:pPr>
          </w:p>
        </w:tc>
      </w:tr>
      <w:tr w14:paraId="6FD49FE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65F80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5E9E75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5C9532">
            <w:pPr>
              <w:spacing w:line="240" w:lineRule="exact"/>
              <w:jc w:val="right"/>
              <w:rPr>
                <w:rFonts w:ascii="宋体" w:hAnsi="宋体" w:eastAsia="宋体" w:cs="宋体"/>
                <w:sz w:val="18"/>
                <w:szCs w:val="18"/>
              </w:rPr>
            </w:pPr>
          </w:p>
        </w:tc>
      </w:tr>
      <w:tr w14:paraId="070E2A5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06CA11">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E82B8B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F5AD82">
            <w:pPr>
              <w:spacing w:line="240" w:lineRule="exact"/>
              <w:jc w:val="right"/>
              <w:rPr>
                <w:rFonts w:ascii="宋体" w:hAnsi="宋体" w:eastAsia="宋体" w:cs="宋体"/>
                <w:sz w:val="18"/>
                <w:szCs w:val="18"/>
              </w:rPr>
            </w:pPr>
          </w:p>
        </w:tc>
      </w:tr>
      <w:tr w14:paraId="2EA6B12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7A5A50">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1E796B1">
            <w:pPr>
              <w:spacing w:line="240" w:lineRule="exact"/>
              <w:jc w:val="right"/>
              <w:rPr>
                <w:rFonts w:ascii="宋体" w:hAnsi="宋体" w:eastAsia="宋体" w:cs="宋体"/>
                <w:sz w:val="18"/>
                <w:szCs w:val="18"/>
              </w:rPr>
            </w:pPr>
            <w:r>
              <w:rPr>
                <w:rFonts w:ascii="宋体" w:hAnsi="宋体" w:eastAsia="宋体" w:cs="宋体"/>
                <w:sz w:val="18"/>
                <w:szCs w:val="18"/>
              </w:rPr>
              <w:t>-25,758.36</w:t>
            </w:r>
          </w:p>
        </w:tc>
        <w:tc>
          <w:tcPr>
            <w:tcW w:w="3213" w:type="dxa"/>
            <w:tcBorders>
              <w:top w:val="single" w:color="auto" w:sz="2" w:space="0"/>
              <w:left w:val="single" w:color="auto" w:sz="2" w:space="0"/>
              <w:bottom w:val="single" w:color="auto" w:sz="2" w:space="0"/>
              <w:right w:val="single" w:color="auto" w:sz="2" w:space="0"/>
            </w:tcBorders>
            <w:vAlign w:val="center"/>
          </w:tcPr>
          <w:p w14:paraId="2C8CBFCC">
            <w:pPr>
              <w:spacing w:line="240" w:lineRule="exact"/>
              <w:jc w:val="right"/>
              <w:rPr>
                <w:rFonts w:ascii="宋体" w:hAnsi="宋体" w:eastAsia="宋体" w:cs="宋体"/>
                <w:sz w:val="18"/>
                <w:szCs w:val="18"/>
              </w:rPr>
            </w:pPr>
            <w:r>
              <w:rPr>
                <w:rFonts w:ascii="宋体" w:hAnsi="宋体" w:eastAsia="宋体" w:cs="宋体"/>
                <w:sz w:val="18"/>
                <w:szCs w:val="18"/>
              </w:rPr>
              <w:t>-48,407,422.91</w:t>
            </w:r>
          </w:p>
        </w:tc>
      </w:tr>
      <w:tr w14:paraId="1A1C617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E61C6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5DD487B">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3213" w:type="dxa"/>
            <w:tcBorders>
              <w:top w:val="single" w:color="auto" w:sz="2" w:space="0"/>
              <w:left w:val="single" w:color="auto" w:sz="2" w:space="0"/>
              <w:bottom w:val="single" w:color="auto" w:sz="2" w:space="0"/>
              <w:right w:val="single" w:color="auto" w:sz="2" w:space="0"/>
            </w:tcBorders>
            <w:vAlign w:val="center"/>
          </w:tcPr>
          <w:p w14:paraId="25326A15">
            <w:pPr>
              <w:spacing w:line="240" w:lineRule="exact"/>
              <w:jc w:val="right"/>
              <w:rPr>
                <w:rFonts w:ascii="宋体" w:hAnsi="宋体" w:eastAsia="宋体" w:cs="宋体"/>
                <w:sz w:val="18"/>
                <w:szCs w:val="18"/>
              </w:rPr>
            </w:pPr>
          </w:p>
        </w:tc>
      </w:tr>
      <w:tr w14:paraId="066A0F1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D4417D">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2E12CC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7FBC5C">
            <w:pPr>
              <w:spacing w:line="240" w:lineRule="exact"/>
              <w:jc w:val="right"/>
              <w:rPr>
                <w:rFonts w:ascii="宋体" w:hAnsi="宋体" w:eastAsia="宋体" w:cs="宋体"/>
                <w:sz w:val="18"/>
                <w:szCs w:val="18"/>
              </w:rPr>
            </w:pPr>
          </w:p>
        </w:tc>
      </w:tr>
      <w:tr w14:paraId="4EFA254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D2580D">
            <w:pPr>
              <w:spacing w:before="40" w:after="40" w:line="240" w:lineRule="exact"/>
              <w:rPr>
                <w:rFonts w:ascii="宋体" w:hAnsi="宋体" w:eastAsia="宋体" w:cs="宋体"/>
                <w:sz w:val="18"/>
                <w:szCs w:val="18"/>
              </w:rPr>
            </w:pPr>
            <w:r>
              <w:rPr>
                <w:rFonts w:ascii="宋体" w:hAnsi="宋体" w:eastAsia="宋体" w:cs="宋体"/>
                <w:sz w:val="18"/>
                <w:szCs w:val="18"/>
              </w:rPr>
              <w:t>三、营业利润（亏损以“—”号填列）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988AB02">
            <w:pPr>
              <w:spacing w:line="240" w:lineRule="exact"/>
              <w:jc w:val="right"/>
              <w:rPr>
                <w:rFonts w:ascii="宋体" w:hAnsi="宋体" w:eastAsia="宋体" w:cs="宋体"/>
                <w:sz w:val="18"/>
                <w:szCs w:val="18"/>
              </w:rPr>
            </w:pPr>
            <w:r>
              <w:rPr>
                <w:rFonts w:ascii="宋体" w:hAnsi="宋体" w:eastAsia="宋体" w:cs="宋体"/>
                <w:sz w:val="18"/>
                <w:szCs w:val="18"/>
              </w:rPr>
              <w:t>29,833,074.31</w:t>
            </w:r>
          </w:p>
        </w:tc>
        <w:tc>
          <w:tcPr>
            <w:tcW w:w="3213" w:type="dxa"/>
            <w:tcBorders>
              <w:top w:val="single" w:color="auto" w:sz="2" w:space="0"/>
              <w:left w:val="single" w:color="auto" w:sz="2" w:space="0"/>
              <w:bottom w:val="single" w:color="auto" w:sz="2" w:space="0"/>
              <w:right w:val="single" w:color="auto" w:sz="2" w:space="0"/>
            </w:tcBorders>
            <w:vAlign w:val="center"/>
          </w:tcPr>
          <w:p w14:paraId="0B156617">
            <w:pPr>
              <w:spacing w:line="240" w:lineRule="exact"/>
              <w:jc w:val="right"/>
              <w:rPr>
                <w:rFonts w:ascii="宋体" w:hAnsi="宋体" w:eastAsia="宋体" w:cs="宋体"/>
                <w:sz w:val="18"/>
                <w:szCs w:val="18"/>
              </w:rPr>
            </w:pPr>
            <w:r>
              <w:rPr>
                <w:rFonts w:ascii="宋体" w:hAnsi="宋体" w:eastAsia="宋体" w:cs="宋体"/>
                <w:sz w:val="18"/>
                <w:szCs w:val="18"/>
              </w:rPr>
              <w:t>-44,691,703.83</w:t>
            </w:r>
          </w:p>
        </w:tc>
      </w:tr>
      <w:tr w14:paraId="1CB2FCE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759D2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541A4153">
            <w:pPr>
              <w:spacing w:line="240" w:lineRule="exact"/>
              <w:jc w:val="right"/>
              <w:rPr>
                <w:rFonts w:ascii="宋体" w:hAnsi="宋体" w:eastAsia="宋体" w:cs="宋体"/>
                <w:sz w:val="18"/>
                <w:szCs w:val="18"/>
              </w:rPr>
            </w:pPr>
            <w:r>
              <w:rPr>
                <w:rFonts w:ascii="宋体" w:hAnsi="宋体" w:eastAsia="宋体" w:cs="宋体"/>
                <w:sz w:val="18"/>
                <w:szCs w:val="18"/>
              </w:rPr>
              <w:t>7,378,607.18</w:t>
            </w:r>
          </w:p>
        </w:tc>
        <w:tc>
          <w:tcPr>
            <w:tcW w:w="3213" w:type="dxa"/>
            <w:tcBorders>
              <w:top w:val="single" w:color="auto" w:sz="2" w:space="0"/>
              <w:left w:val="single" w:color="auto" w:sz="2" w:space="0"/>
              <w:bottom w:val="single" w:color="auto" w:sz="2" w:space="0"/>
              <w:right w:val="single" w:color="auto" w:sz="2" w:space="0"/>
            </w:tcBorders>
            <w:vAlign w:val="center"/>
          </w:tcPr>
          <w:p w14:paraId="0E48DF80">
            <w:pPr>
              <w:spacing w:line="240" w:lineRule="exact"/>
              <w:jc w:val="right"/>
              <w:rPr>
                <w:rFonts w:ascii="宋体" w:hAnsi="宋体" w:eastAsia="宋体" w:cs="宋体"/>
                <w:sz w:val="18"/>
                <w:szCs w:val="18"/>
              </w:rPr>
            </w:pPr>
            <w:r>
              <w:rPr>
                <w:rFonts w:ascii="宋体" w:hAnsi="宋体" w:eastAsia="宋体" w:cs="宋体"/>
                <w:sz w:val="18"/>
                <w:szCs w:val="18"/>
              </w:rPr>
              <w:t>78,861.32</w:t>
            </w:r>
          </w:p>
        </w:tc>
      </w:tr>
      <w:tr w14:paraId="572E338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9C133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139ADA4A">
            <w:pPr>
              <w:spacing w:line="240" w:lineRule="exact"/>
              <w:jc w:val="right"/>
              <w:rPr>
                <w:rFonts w:ascii="宋体" w:hAnsi="宋体" w:eastAsia="宋体" w:cs="宋体"/>
                <w:sz w:val="18"/>
                <w:szCs w:val="18"/>
              </w:rPr>
            </w:pPr>
            <w:r>
              <w:rPr>
                <w:rFonts w:ascii="宋体" w:hAnsi="宋体" w:eastAsia="宋体" w:cs="宋体"/>
                <w:sz w:val="18"/>
                <w:szCs w:val="18"/>
              </w:rPr>
              <w:t>412,777.96</w:t>
            </w:r>
          </w:p>
        </w:tc>
        <w:tc>
          <w:tcPr>
            <w:tcW w:w="3213" w:type="dxa"/>
            <w:tcBorders>
              <w:top w:val="single" w:color="auto" w:sz="2" w:space="0"/>
              <w:left w:val="single" w:color="auto" w:sz="2" w:space="0"/>
              <w:bottom w:val="single" w:color="auto" w:sz="2" w:space="0"/>
              <w:right w:val="single" w:color="auto" w:sz="2" w:space="0"/>
            </w:tcBorders>
            <w:vAlign w:val="center"/>
          </w:tcPr>
          <w:p w14:paraId="36B4F52B">
            <w:pPr>
              <w:spacing w:line="240" w:lineRule="exact"/>
              <w:jc w:val="right"/>
              <w:rPr>
                <w:rFonts w:ascii="宋体" w:hAnsi="宋体" w:eastAsia="宋体" w:cs="宋体"/>
                <w:sz w:val="18"/>
                <w:szCs w:val="18"/>
              </w:rPr>
            </w:pPr>
            <w:r>
              <w:rPr>
                <w:rFonts w:ascii="宋体" w:hAnsi="宋体" w:eastAsia="宋体" w:cs="宋体"/>
                <w:sz w:val="18"/>
                <w:szCs w:val="18"/>
              </w:rPr>
              <w:t>5,887,717.74</w:t>
            </w:r>
          </w:p>
        </w:tc>
      </w:tr>
      <w:tr w14:paraId="286C0F2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7AE79B">
            <w:pPr>
              <w:spacing w:before="40" w:after="40" w:line="240" w:lineRule="exact"/>
              <w:rPr>
                <w:rFonts w:ascii="宋体" w:hAnsi="宋体" w:eastAsia="宋体" w:cs="宋体"/>
                <w:sz w:val="18"/>
                <w:szCs w:val="18"/>
              </w:rPr>
            </w:pPr>
            <w:r>
              <w:rPr>
                <w:rFonts w:ascii="宋体" w:hAnsi="宋体" w:eastAsia="宋体" w:cs="宋体"/>
                <w:sz w:val="18"/>
                <w:szCs w:val="18"/>
              </w:rPr>
              <w:t>四、利润总额（亏损总额以“—”号填列）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013F5EE">
            <w:pPr>
              <w:spacing w:line="240" w:lineRule="exact"/>
              <w:jc w:val="right"/>
              <w:rPr>
                <w:rFonts w:ascii="宋体" w:hAnsi="宋体" w:eastAsia="宋体" w:cs="宋体"/>
                <w:sz w:val="18"/>
                <w:szCs w:val="18"/>
              </w:rPr>
            </w:pPr>
            <w:r>
              <w:rPr>
                <w:rFonts w:ascii="宋体" w:hAnsi="宋体" w:eastAsia="宋体" w:cs="宋体"/>
                <w:sz w:val="18"/>
                <w:szCs w:val="18"/>
              </w:rPr>
              <w:t>36,798,903.53</w:t>
            </w:r>
          </w:p>
        </w:tc>
        <w:tc>
          <w:tcPr>
            <w:tcW w:w="3213" w:type="dxa"/>
            <w:tcBorders>
              <w:top w:val="single" w:color="auto" w:sz="2" w:space="0"/>
              <w:left w:val="single" w:color="auto" w:sz="2" w:space="0"/>
              <w:bottom w:val="single" w:color="auto" w:sz="2" w:space="0"/>
              <w:right w:val="single" w:color="auto" w:sz="2" w:space="0"/>
            </w:tcBorders>
            <w:vAlign w:val="center"/>
          </w:tcPr>
          <w:p w14:paraId="78CE9661">
            <w:pPr>
              <w:spacing w:line="240" w:lineRule="exact"/>
              <w:jc w:val="right"/>
              <w:rPr>
                <w:rFonts w:ascii="宋体" w:hAnsi="宋体" w:eastAsia="宋体" w:cs="宋体"/>
                <w:sz w:val="18"/>
                <w:szCs w:val="18"/>
              </w:rPr>
            </w:pPr>
            <w:r>
              <w:rPr>
                <w:rFonts w:ascii="宋体" w:hAnsi="宋体" w:eastAsia="宋体" w:cs="宋体"/>
                <w:sz w:val="18"/>
                <w:szCs w:val="18"/>
              </w:rPr>
              <w:t>-50,500,560.25</w:t>
            </w:r>
          </w:p>
        </w:tc>
      </w:tr>
      <w:tr w14:paraId="0774207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8E5E8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74CE2C13">
            <w:pPr>
              <w:spacing w:line="240" w:lineRule="exact"/>
              <w:jc w:val="right"/>
              <w:rPr>
                <w:rFonts w:ascii="宋体" w:hAnsi="宋体" w:eastAsia="宋体" w:cs="宋体"/>
                <w:sz w:val="18"/>
                <w:szCs w:val="18"/>
              </w:rPr>
            </w:pPr>
            <w:r>
              <w:rPr>
                <w:rFonts w:ascii="宋体" w:hAnsi="宋体" w:eastAsia="宋体" w:cs="宋体"/>
                <w:sz w:val="18"/>
                <w:szCs w:val="18"/>
              </w:rPr>
              <w:t>5,608,925.15</w:t>
            </w:r>
          </w:p>
        </w:tc>
        <w:tc>
          <w:tcPr>
            <w:tcW w:w="3213" w:type="dxa"/>
            <w:tcBorders>
              <w:top w:val="single" w:color="auto" w:sz="2" w:space="0"/>
              <w:left w:val="single" w:color="auto" w:sz="2" w:space="0"/>
              <w:bottom w:val="single" w:color="auto" w:sz="2" w:space="0"/>
              <w:right w:val="single" w:color="auto" w:sz="2" w:space="0"/>
            </w:tcBorders>
            <w:vAlign w:val="center"/>
          </w:tcPr>
          <w:p w14:paraId="247DC17A">
            <w:pPr>
              <w:spacing w:line="240" w:lineRule="exact"/>
              <w:jc w:val="right"/>
              <w:rPr>
                <w:rFonts w:ascii="宋体" w:hAnsi="宋体" w:eastAsia="宋体" w:cs="宋体"/>
                <w:sz w:val="18"/>
                <w:szCs w:val="18"/>
              </w:rPr>
            </w:pPr>
            <w:r>
              <w:rPr>
                <w:rFonts w:ascii="宋体" w:hAnsi="宋体" w:eastAsia="宋体" w:cs="宋体"/>
                <w:sz w:val="18"/>
                <w:szCs w:val="18"/>
              </w:rPr>
              <w:t>-1,521,262.68</w:t>
            </w:r>
          </w:p>
        </w:tc>
      </w:tr>
      <w:tr w14:paraId="2FAC70E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0D4E98">
            <w:pPr>
              <w:spacing w:line="240" w:lineRule="exact"/>
              <w:rPr>
                <w:rFonts w:ascii="宋体" w:hAnsi="宋体" w:eastAsia="宋体" w:cs="宋体"/>
                <w:sz w:val="18"/>
                <w:szCs w:val="18"/>
              </w:rPr>
            </w:pPr>
            <w:r>
              <w:rPr>
                <w:rFonts w:ascii="宋体" w:hAnsi="宋体" w:eastAsia="宋体" w:cs="宋体"/>
                <w:sz w:val="18"/>
                <w:szCs w:val="18"/>
              </w:rPr>
              <w:t>五、净利润（净亏损以“—”号填列）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28CD1E4">
            <w:pPr>
              <w:spacing w:line="240" w:lineRule="exact"/>
              <w:jc w:val="right"/>
              <w:rPr>
                <w:rFonts w:ascii="宋体" w:hAnsi="宋体" w:eastAsia="宋体" w:cs="宋体"/>
                <w:sz w:val="18"/>
                <w:szCs w:val="18"/>
              </w:rPr>
            </w:pPr>
            <w:r>
              <w:rPr>
                <w:rFonts w:ascii="宋体" w:hAnsi="宋体" w:eastAsia="宋体" w:cs="宋体"/>
                <w:sz w:val="18"/>
                <w:szCs w:val="18"/>
              </w:rPr>
              <w:t>31,189,978.38</w:t>
            </w:r>
          </w:p>
        </w:tc>
        <w:tc>
          <w:tcPr>
            <w:tcW w:w="3213" w:type="dxa"/>
            <w:tcBorders>
              <w:top w:val="single" w:color="auto" w:sz="2" w:space="0"/>
              <w:left w:val="single" w:color="auto" w:sz="2" w:space="0"/>
              <w:bottom w:val="single" w:color="auto" w:sz="2" w:space="0"/>
              <w:right w:val="single" w:color="auto" w:sz="2" w:space="0"/>
            </w:tcBorders>
            <w:vAlign w:val="center"/>
          </w:tcPr>
          <w:p w14:paraId="7F5D0C43">
            <w:pPr>
              <w:spacing w:line="240" w:lineRule="exact"/>
              <w:jc w:val="right"/>
              <w:rPr>
                <w:rFonts w:ascii="宋体" w:hAnsi="宋体" w:eastAsia="宋体" w:cs="宋体"/>
                <w:sz w:val="18"/>
                <w:szCs w:val="18"/>
              </w:rPr>
            </w:pPr>
            <w:r>
              <w:rPr>
                <w:rFonts w:ascii="宋体" w:hAnsi="宋体" w:eastAsia="宋体" w:cs="宋体"/>
                <w:sz w:val="18"/>
                <w:szCs w:val="18"/>
              </w:rPr>
              <w:t>-48,979,297.57</w:t>
            </w:r>
          </w:p>
        </w:tc>
      </w:tr>
      <w:tr w14:paraId="1E365C4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736266">
            <w:pPr>
              <w:spacing w:line="240" w:lineRule="exact"/>
              <w:ind w:firstLine="180" w:firstLineChars="100"/>
              <w:rPr>
                <w:rFonts w:ascii="宋体" w:hAnsi="宋体" w:eastAsia="宋体" w:cs="宋体"/>
                <w:sz w:val="18"/>
                <w:szCs w:val="18"/>
              </w:rPr>
            </w:pPr>
            <w:r>
              <w:rPr>
                <w:rFonts w:ascii="宋体" w:hAnsi="宋体" w:eastAsia="宋体" w:cs="宋体"/>
                <w:sz w:val="18"/>
                <w:szCs w:val="18"/>
              </w:rPr>
              <w:t>（一）按经营持续性分类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92A3CB"/>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A27A30"/>
        </w:tc>
      </w:tr>
      <w:tr w14:paraId="487316D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FE026">
            <w:pPr>
              <w:spacing w:line="240" w:lineRule="exact"/>
              <w:ind w:firstLine="360" w:firstLineChars="200"/>
              <w:rPr>
                <w:rFonts w:ascii="宋体" w:hAnsi="宋体" w:eastAsia="宋体" w:cs="宋体"/>
                <w:sz w:val="18"/>
                <w:szCs w:val="18"/>
              </w:rPr>
            </w:pPr>
            <w:r>
              <w:rPr>
                <w:rFonts w:ascii="宋体" w:hAnsi="宋体" w:eastAsia="宋体" w:cs="宋体"/>
                <w:sz w:val="18"/>
                <w:szCs w:val="18"/>
              </w:rPr>
              <w:t>1.持续经营净利润（净亏损以“—”号填列）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2C6D40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0C17359">
            <w:pPr>
              <w:spacing w:line="240" w:lineRule="exact"/>
              <w:jc w:val="right"/>
              <w:rPr>
                <w:rFonts w:ascii="宋体" w:hAnsi="宋体" w:eastAsia="宋体" w:cs="宋体"/>
                <w:sz w:val="18"/>
                <w:szCs w:val="18"/>
              </w:rPr>
            </w:pPr>
          </w:p>
        </w:tc>
      </w:tr>
      <w:tr w14:paraId="1D7F62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410E1B">
            <w:pPr>
              <w:spacing w:line="240" w:lineRule="exact"/>
              <w:ind w:firstLine="360" w:firstLineChars="200"/>
              <w:rPr>
                <w:rFonts w:ascii="宋体" w:hAnsi="宋体" w:eastAsia="宋体" w:cs="宋体"/>
                <w:sz w:val="18"/>
                <w:szCs w:val="18"/>
              </w:rPr>
            </w:pPr>
            <w:r>
              <w:rPr>
                <w:rFonts w:ascii="宋体" w:hAnsi="宋体" w:eastAsia="宋体" w:cs="宋体"/>
                <w:sz w:val="18"/>
                <w:szCs w:val="18"/>
              </w:rPr>
              <w:t>2.终止经营净利润（净亏损以“—”号填列）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4C6D1E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6FC904">
            <w:pPr>
              <w:spacing w:line="240" w:lineRule="exact"/>
              <w:jc w:val="right"/>
              <w:rPr>
                <w:rFonts w:ascii="宋体" w:hAnsi="宋体" w:eastAsia="宋体" w:cs="宋体"/>
                <w:sz w:val="18"/>
                <w:szCs w:val="18"/>
              </w:rPr>
            </w:pPr>
          </w:p>
        </w:tc>
      </w:tr>
      <w:tr w14:paraId="0BB2AB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E3CD33">
            <w:pPr>
              <w:spacing w:line="240" w:lineRule="exact"/>
              <w:ind w:firstLine="180" w:firstLineChars="100"/>
              <w:rPr>
                <w:rFonts w:ascii="宋体" w:hAnsi="宋体" w:eastAsia="宋体" w:cs="宋体"/>
                <w:sz w:val="18"/>
                <w:szCs w:val="18"/>
              </w:rPr>
            </w:pPr>
            <w:r>
              <w:rPr>
                <w:rFonts w:ascii="宋体" w:hAnsi="宋体" w:eastAsia="宋体" w:cs="宋体"/>
                <w:sz w:val="18"/>
                <w:szCs w:val="18"/>
              </w:rPr>
              <w:t>（二）按所有权归属分类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43EF2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39710B"/>
        </w:tc>
      </w:tr>
      <w:tr w14:paraId="445DFF6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720A21">
            <w:pPr>
              <w:spacing w:line="240" w:lineRule="exact"/>
              <w:ind w:firstLine="360" w:firstLineChars="200"/>
              <w:rPr>
                <w:rFonts w:ascii="宋体" w:hAnsi="宋体" w:eastAsia="宋体" w:cs="宋体"/>
                <w:sz w:val="18"/>
                <w:szCs w:val="18"/>
              </w:rPr>
            </w:pPr>
            <w:r>
              <w:rPr>
                <w:rFonts w:ascii="宋体" w:hAnsi="宋体" w:eastAsia="宋体" w:cs="宋体"/>
                <w:sz w:val="18"/>
                <w:szCs w:val="18"/>
              </w:rPr>
              <w:t>1.归属于母公司股东的净利润（净亏损以“—”号填列）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1FB89DB">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3213" w:type="dxa"/>
            <w:tcBorders>
              <w:top w:val="single" w:color="auto" w:sz="2" w:space="0"/>
              <w:left w:val="single" w:color="auto" w:sz="2" w:space="0"/>
              <w:bottom w:val="single" w:color="auto" w:sz="2" w:space="0"/>
              <w:right w:val="single" w:color="auto" w:sz="2" w:space="0"/>
            </w:tcBorders>
            <w:vAlign w:val="center"/>
          </w:tcPr>
          <w:p w14:paraId="79E43F51">
            <w:pPr>
              <w:spacing w:line="240" w:lineRule="exact"/>
              <w:jc w:val="right"/>
              <w:rPr>
                <w:rFonts w:ascii="宋体" w:hAnsi="宋体" w:eastAsia="宋体" w:cs="宋体"/>
                <w:sz w:val="18"/>
                <w:szCs w:val="18"/>
              </w:rPr>
            </w:pPr>
            <w:r>
              <w:rPr>
                <w:rFonts w:ascii="宋体" w:hAnsi="宋体" w:eastAsia="宋体" w:cs="宋体"/>
                <w:sz w:val="18"/>
                <w:szCs w:val="18"/>
              </w:rPr>
              <w:t>-39,953,574.25</w:t>
            </w:r>
          </w:p>
        </w:tc>
      </w:tr>
      <w:tr w14:paraId="095E0BE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1D2CA6">
            <w:pPr>
              <w:spacing w:line="240" w:lineRule="exact"/>
              <w:ind w:firstLine="360" w:firstLineChars="200"/>
              <w:rPr>
                <w:rFonts w:ascii="宋体" w:hAnsi="宋体" w:eastAsia="宋体" w:cs="宋体"/>
                <w:sz w:val="18"/>
                <w:szCs w:val="18"/>
              </w:rPr>
            </w:pPr>
            <w:r>
              <w:rPr>
                <w:rFonts w:ascii="宋体" w:hAnsi="宋体" w:eastAsia="宋体" w:cs="宋体"/>
                <w:sz w:val="18"/>
                <w:szCs w:val="18"/>
              </w:rPr>
              <w:t>2.少数股东损益（净亏损以“—”号填列）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B46C8A7">
            <w:pPr>
              <w:spacing w:line="240" w:lineRule="exact"/>
              <w:jc w:val="right"/>
              <w:rPr>
                <w:rFonts w:ascii="宋体" w:hAnsi="宋体" w:eastAsia="宋体" w:cs="宋体"/>
                <w:sz w:val="18"/>
                <w:szCs w:val="18"/>
              </w:rPr>
            </w:pPr>
            <w:r>
              <w:rPr>
                <w:rFonts w:ascii="宋体" w:hAnsi="宋体" w:eastAsia="宋体" w:cs="宋体"/>
                <w:sz w:val="18"/>
                <w:szCs w:val="18"/>
              </w:rPr>
              <w:t>21,116,124.93</w:t>
            </w:r>
          </w:p>
        </w:tc>
        <w:tc>
          <w:tcPr>
            <w:tcW w:w="3213" w:type="dxa"/>
            <w:tcBorders>
              <w:top w:val="single" w:color="auto" w:sz="2" w:space="0"/>
              <w:left w:val="single" w:color="auto" w:sz="2" w:space="0"/>
              <w:bottom w:val="single" w:color="auto" w:sz="2" w:space="0"/>
              <w:right w:val="single" w:color="auto" w:sz="2" w:space="0"/>
            </w:tcBorders>
            <w:vAlign w:val="center"/>
          </w:tcPr>
          <w:p w14:paraId="558C7B2B">
            <w:pPr>
              <w:spacing w:line="240" w:lineRule="exact"/>
              <w:jc w:val="right"/>
              <w:rPr>
                <w:rFonts w:ascii="宋体" w:hAnsi="宋体" w:eastAsia="宋体" w:cs="宋体"/>
                <w:sz w:val="18"/>
                <w:szCs w:val="18"/>
              </w:rPr>
            </w:pPr>
            <w:r>
              <w:rPr>
                <w:rFonts w:ascii="宋体" w:hAnsi="宋体" w:eastAsia="宋体" w:cs="宋体"/>
                <w:sz w:val="18"/>
                <w:szCs w:val="18"/>
              </w:rPr>
              <w:t>-9,025,723.32</w:t>
            </w:r>
          </w:p>
        </w:tc>
      </w:tr>
      <w:tr w14:paraId="37FD07C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FC1467">
            <w:pPr>
              <w:spacing w:line="240" w:lineRule="exact"/>
              <w:rPr>
                <w:rFonts w:ascii="宋体" w:hAnsi="宋体" w:eastAsia="宋体" w:cs="宋体"/>
                <w:sz w:val="18"/>
                <w:szCs w:val="18"/>
              </w:rPr>
            </w:pPr>
            <w:r>
              <w:rPr>
                <w:rFonts w:ascii="宋体" w:hAnsi="宋体" w:eastAsia="宋体" w:cs="宋体"/>
                <w:sz w:val="18"/>
                <w:szCs w:val="18"/>
              </w:rPr>
              <w:t>六、其他综合收益的税后净额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1CA7B20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664F4C">
            <w:pPr>
              <w:spacing w:line="240" w:lineRule="exact"/>
              <w:jc w:val="right"/>
              <w:rPr>
                <w:rFonts w:ascii="宋体" w:hAnsi="宋体" w:eastAsia="宋体" w:cs="宋体"/>
                <w:sz w:val="18"/>
                <w:szCs w:val="18"/>
              </w:rPr>
            </w:pPr>
          </w:p>
        </w:tc>
      </w:tr>
      <w:tr w14:paraId="37D890D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1F353C">
            <w:pPr>
              <w:spacing w:line="240" w:lineRule="exact"/>
              <w:ind w:firstLine="180" w:firstLineChars="100"/>
              <w:rPr>
                <w:rFonts w:ascii="宋体" w:hAnsi="宋体" w:eastAsia="宋体" w:cs="宋体"/>
                <w:sz w:val="18"/>
                <w:szCs w:val="18"/>
              </w:rPr>
            </w:pPr>
            <w:r>
              <w:rPr>
                <w:rFonts w:ascii="宋体" w:hAnsi="宋体" w:eastAsia="宋体" w:cs="宋体"/>
                <w:sz w:val="18"/>
                <w:szCs w:val="18"/>
              </w:rPr>
              <w:t>归属母公司所有者的其他综合收益的税后净额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549E22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7634E9">
            <w:pPr>
              <w:spacing w:line="240" w:lineRule="exact"/>
              <w:jc w:val="right"/>
              <w:rPr>
                <w:rFonts w:ascii="宋体" w:hAnsi="宋体" w:eastAsia="宋体" w:cs="宋体"/>
                <w:sz w:val="18"/>
                <w:szCs w:val="18"/>
              </w:rPr>
            </w:pPr>
          </w:p>
        </w:tc>
      </w:tr>
      <w:tr w14:paraId="5D6987F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398786">
            <w:pPr>
              <w:spacing w:line="240" w:lineRule="exact"/>
              <w:ind w:firstLine="360" w:firstLineChars="200"/>
              <w:rPr>
                <w:rFonts w:ascii="宋体" w:hAnsi="宋体" w:eastAsia="宋体" w:cs="宋体"/>
                <w:sz w:val="18"/>
                <w:szCs w:val="18"/>
              </w:rPr>
            </w:pPr>
            <w:r>
              <w:rPr>
                <w:rFonts w:ascii="宋体" w:hAnsi="宋体" w:eastAsia="宋体" w:cs="宋体"/>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C10E1C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B1FDFD">
            <w:pPr>
              <w:spacing w:line="240" w:lineRule="exact"/>
              <w:jc w:val="right"/>
              <w:rPr>
                <w:rFonts w:ascii="宋体" w:hAnsi="宋体" w:eastAsia="宋体" w:cs="宋体"/>
                <w:sz w:val="18"/>
                <w:szCs w:val="18"/>
              </w:rPr>
            </w:pPr>
          </w:p>
        </w:tc>
      </w:tr>
      <w:tr w14:paraId="299E854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91B2EC">
            <w:pPr>
              <w:spacing w:line="240" w:lineRule="exact"/>
              <w:ind w:firstLine="540" w:firstLineChars="300"/>
              <w:rPr>
                <w:rFonts w:ascii="宋体" w:hAnsi="宋体" w:eastAsia="宋体" w:cs="宋体"/>
                <w:sz w:val="18"/>
                <w:szCs w:val="18"/>
              </w:rPr>
            </w:pPr>
            <w:r>
              <w:rPr>
                <w:rFonts w:ascii="宋体" w:hAnsi="宋体" w:eastAsia="宋体" w:cs="宋体"/>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5489D74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15C7CB">
            <w:pPr>
              <w:spacing w:line="240" w:lineRule="exact"/>
              <w:jc w:val="right"/>
              <w:rPr>
                <w:rFonts w:ascii="宋体" w:hAnsi="宋体" w:eastAsia="宋体" w:cs="宋体"/>
                <w:sz w:val="18"/>
                <w:szCs w:val="18"/>
              </w:rPr>
            </w:pPr>
          </w:p>
        </w:tc>
      </w:tr>
      <w:tr w14:paraId="6BD5AA7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6B8FB1">
            <w:pPr>
              <w:spacing w:line="240" w:lineRule="exact"/>
              <w:ind w:firstLine="540" w:firstLineChars="300"/>
              <w:rPr>
                <w:rFonts w:ascii="宋体" w:hAnsi="宋体" w:eastAsia="宋体" w:cs="宋体"/>
                <w:sz w:val="18"/>
                <w:szCs w:val="18"/>
              </w:rPr>
            </w:pPr>
            <w:r>
              <w:rPr>
                <w:rFonts w:ascii="宋体" w:hAnsi="宋体" w:eastAsia="宋体" w:cs="宋体"/>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6745B2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8D9EFE9">
            <w:pPr>
              <w:spacing w:line="240" w:lineRule="exact"/>
              <w:jc w:val="right"/>
              <w:rPr>
                <w:rFonts w:ascii="宋体" w:hAnsi="宋体" w:eastAsia="宋体" w:cs="宋体"/>
                <w:sz w:val="18"/>
                <w:szCs w:val="18"/>
              </w:rPr>
            </w:pPr>
          </w:p>
        </w:tc>
      </w:tr>
      <w:tr w14:paraId="6266010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F880FF">
            <w:pPr>
              <w:spacing w:line="240" w:lineRule="exact"/>
              <w:ind w:firstLine="540" w:firstLineChars="300"/>
              <w:rPr>
                <w:rFonts w:ascii="宋体" w:hAnsi="宋体" w:eastAsia="宋体" w:cs="宋体"/>
                <w:sz w:val="18"/>
                <w:szCs w:val="18"/>
              </w:rPr>
            </w:pPr>
            <w:r>
              <w:rPr>
                <w:rFonts w:ascii="宋体" w:hAnsi="宋体" w:eastAsia="宋体" w:cs="宋体"/>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1E79AFA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543445">
            <w:pPr>
              <w:spacing w:line="240" w:lineRule="exact"/>
              <w:jc w:val="right"/>
              <w:rPr>
                <w:rFonts w:ascii="宋体" w:hAnsi="宋体" w:eastAsia="宋体" w:cs="宋体"/>
                <w:sz w:val="18"/>
                <w:szCs w:val="18"/>
              </w:rPr>
            </w:pPr>
          </w:p>
        </w:tc>
      </w:tr>
      <w:tr w14:paraId="7C95C7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431C39">
            <w:pPr>
              <w:spacing w:line="240" w:lineRule="exact"/>
              <w:ind w:firstLine="540" w:firstLineChars="300"/>
              <w:rPr>
                <w:rFonts w:ascii="宋体" w:hAnsi="宋体" w:eastAsia="宋体" w:cs="宋体"/>
                <w:sz w:val="18"/>
                <w:szCs w:val="18"/>
              </w:rPr>
            </w:pPr>
            <w:r>
              <w:rPr>
                <w:rFonts w:ascii="宋体" w:hAnsi="宋体" w:eastAsia="宋体" w:cs="宋体"/>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6F9EA20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B9DE66">
            <w:pPr>
              <w:spacing w:line="240" w:lineRule="exact"/>
              <w:jc w:val="right"/>
              <w:rPr>
                <w:rFonts w:ascii="宋体" w:hAnsi="宋体" w:eastAsia="宋体" w:cs="宋体"/>
                <w:sz w:val="18"/>
                <w:szCs w:val="18"/>
              </w:rPr>
            </w:pPr>
          </w:p>
        </w:tc>
      </w:tr>
      <w:tr w14:paraId="798D753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0F4D74">
            <w:pPr>
              <w:spacing w:line="240" w:lineRule="exact"/>
              <w:ind w:firstLine="540" w:firstLineChars="300"/>
              <w:rPr>
                <w:rFonts w:ascii="宋体" w:hAnsi="宋体" w:eastAsia="宋体" w:cs="宋体"/>
                <w:sz w:val="18"/>
                <w:szCs w:val="18"/>
              </w:rPr>
            </w:pPr>
            <w:r>
              <w:rPr>
                <w:rFonts w:ascii="宋体" w:hAnsi="宋体" w:eastAsia="宋体" w:cs="宋体"/>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7B1B140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8DB8BC2">
            <w:pPr>
              <w:spacing w:line="240" w:lineRule="exact"/>
              <w:jc w:val="right"/>
              <w:rPr>
                <w:rFonts w:ascii="宋体" w:hAnsi="宋体" w:eastAsia="宋体" w:cs="宋体"/>
                <w:sz w:val="18"/>
                <w:szCs w:val="18"/>
              </w:rPr>
            </w:pPr>
          </w:p>
        </w:tc>
      </w:tr>
      <w:tr w14:paraId="3512635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D64307">
            <w:pPr>
              <w:spacing w:line="240" w:lineRule="exact"/>
              <w:ind w:firstLine="360" w:firstLineChars="200"/>
              <w:rPr>
                <w:rFonts w:ascii="宋体" w:hAnsi="宋体" w:eastAsia="宋体" w:cs="宋体"/>
                <w:sz w:val="18"/>
                <w:szCs w:val="18"/>
              </w:rPr>
            </w:pPr>
            <w:r>
              <w:rPr>
                <w:rFonts w:ascii="宋体" w:hAnsi="宋体" w:eastAsia="宋体" w:cs="宋体"/>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0D6363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E9B6B1">
            <w:pPr>
              <w:spacing w:line="240" w:lineRule="exact"/>
              <w:jc w:val="right"/>
              <w:rPr>
                <w:rFonts w:ascii="宋体" w:hAnsi="宋体" w:eastAsia="宋体" w:cs="宋体"/>
                <w:sz w:val="18"/>
                <w:szCs w:val="18"/>
              </w:rPr>
            </w:pPr>
          </w:p>
        </w:tc>
      </w:tr>
      <w:tr w14:paraId="56C097F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78EB0D">
            <w:pPr>
              <w:spacing w:line="240" w:lineRule="exact"/>
              <w:ind w:firstLine="540" w:firstLineChars="300"/>
              <w:rPr>
                <w:rFonts w:ascii="宋体" w:hAnsi="宋体" w:eastAsia="宋体" w:cs="宋体"/>
                <w:sz w:val="18"/>
                <w:szCs w:val="18"/>
              </w:rPr>
            </w:pPr>
            <w:r>
              <w:rPr>
                <w:rFonts w:ascii="宋体" w:hAnsi="宋体" w:eastAsia="宋体" w:cs="宋体"/>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42DE164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09A9B6">
            <w:pPr>
              <w:spacing w:line="240" w:lineRule="exact"/>
              <w:jc w:val="right"/>
              <w:rPr>
                <w:rFonts w:ascii="宋体" w:hAnsi="宋体" w:eastAsia="宋体" w:cs="宋体"/>
                <w:sz w:val="18"/>
                <w:szCs w:val="18"/>
              </w:rPr>
            </w:pPr>
          </w:p>
        </w:tc>
      </w:tr>
      <w:tr w14:paraId="0DB51D9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939BD4">
            <w:pPr>
              <w:spacing w:line="240" w:lineRule="exact"/>
              <w:ind w:firstLine="540" w:firstLineChars="300"/>
              <w:rPr>
                <w:rFonts w:ascii="宋体" w:hAnsi="宋体" w:eastAsia="宋体" w:cs="宋体"/>
                <w:sz w:val="18"/>
                <w:szCs w:val="18"/>
              </w:rPr>
            </w:pPr>
            <w:r>
              <w:rPr>
                <w:rFonts w:ascii="宋体" w:hAnsi="宋体" w:eastAsia="宋体" w:cs="宋体"/>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7ACDE27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75CFE3">
            <w:pPr>
              <w:spacing w:line="240" w:lineRule="exact"/>
              <w:jc w:val="right"/>
              <w:rPr>
                <w:rFonts w:ascii="宋体" w:hAnsi="宋体" w:eastAsia="宋体" w:cs="宋体"/>
                <w:sz w:val="18"/>
                <w:szCs w:val="18"/>
              </w:rPr>
            </w:pPr>
          </w:p>
        </w:tc>
      </w:tr>
      <w:tr w14:paraId="0AEAA9C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3D19CC">
            <w:pPr>
              <w:spacing w:line="240" w:lineRule="exact"/>
              <w:ind w:firstLine="540" w:firstLineChars="300"/>
              <w:rPr>
                <w:rFonts w:ascii="宋体" w:hAnsi="宋体" w:eastAsia="宋体" w:cs="宋体"/>
                <w:sz w:val="18"/>
                <w:szCs w:val="18"/>
              </w:rPr>
            </w:pPr>
            <w:r>
              <w:rPr>
                <w:rFonts w:ascii="宋体" w:hAnsi="宋体" w:eastAsia="宋体" w:cs="宋体"/>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5B138F2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68E374">
            <w:pPr>
              <w:spacing w:line="240" w:lineRule="exact"/>
              <w:jc w:val="right"/>
              <w:rPr>
                <w:rFonts w:ascii="宋体" w:hAnsi="宋体" w:eastAsia="宋体" w:cs="宋体"/>
                <w:sz w:val="18"/>
                <w:szCs w:val="18"/>
              </w:rPr>
            </w:pPr>
          </w:p>
        </w:tc>
      </w:tr>
      <w:tr w14:paraId="2D8BF0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7F88C3">
            <w:pPr>
              <w:spacing w:line="240" w:lineRule="exact"/>
              <w:ind w:firstLine="540" w:firstLineChars="300"/>
              <w:rPr>
                <w:rFonts w:ascii="宋体" w:hAnsi="宋体" w:eastAsia="宋体" w:cs="宋体"/>
                <w:sz w:val="18"/>
                <w:szCs w:val="18"/>
              </w:rPr>
            </w:pPr>
            <w:r>
              <w:rPr>
                <w:rFonts w:ascii="宋体" w:hAnsi="宋体" w:eastAsia="宋体" w:cs="宋体"/>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22AE826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CD4991">
            <w:pPr>
              <w:spacing w:line="240" w:lineRule="exact"/>
              <w:jc w:val="right"/>
              <w:rPr>
                <w:rFonts w:ascii="宋体" w:hAnsi="宋体" w:eastAsia="宋体" w:cs="宋体"/>
                <w:sz w:val="18"/>
                <w:szCs w:val="18"/>
              </w:rPr>
            </w:pPr>
          </w:p>
        </w:tc>
      </w:tr>
      <w:tr w14:paraId="3C4F72E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8BD5E2">
            <w:pPr>
              <w:spacing w:line="240" w:lineRule="exact"/>
              <w:ind w:firstLine="540" w:firstLineChars="300"/>
              <w:rPr>
                <w:rFonts w:ascii="宋体" w:hAnsi="宋体" w:eastAsia="宋体" w:cs="宋体"/>
                <w:sz w:val="18"/>
                <w:szCs w:val="18"/>
              </w:rPr>
            </w:pPr>
            <w:r>
              <w:rPr>
                <w:rFonts w:ascii="宋体" w:hAnsi="宋体" w:eastAsia="宋体" w:cs="宋体"/>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4B991FC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643B9A">
            <w:pPr>
              <w:spacing w:line="240" w:lineRule="exact"/>
              <w:jc w:val="right"/>
              <w:rPr>
                <w:rFonts w:ascii="宋体" w:hAnsi="宋体" w:eastAsia="宋体" w:cs="宋体"/>
                <w:sz w:val="18"/>
                <w:szCs w:val="18"/>
              </w:rPr>
            </w:pPr>
          </w:p>
        </w:tc>
      </w:tr>
      <w:tr w14:paraId="446C1BA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F7568A">
            <w:pPr>
              <w:spacing w:line="240" w:lineRule="exact"/>
              <w:ind w:firstLine="540" w:firstLineChars="300"/>
              <w:rPr>
                <w:rFonts w:ascii="宋体" w:hAnsi="宋体" w:eastAsia="宋体" w:cs="宋体"/>
                <w:sz w:val="18"/>
                <w:szCs w:val="18"/>
              </w:rPr>
            </w:pPr>
            <w:r>
              <w:rPr>
                <w:rFonts w:ascii="宋体" w:hAnsi="宋体" w:eastAsia="宋体" w:cs="宋体"/>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01BFD17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D27F58">
            <w:pPr>
              <w:spacing w:line="240" w:lineRule="exact"/>
              <w:jc w:val="right"/>
              <w:rPr>
                <w:rFonts w:ascii="宋体" w:hAnsi="宋体" w:eastAsia="宋体" w:cs="宋体"/>
                <w:sz w:val="18"/>
                <w:szCs w:val="18"/>
              </w:rPr>
            </w:pPr>
          </w:p>
        </w:tc>
      </w:tr>
      <w:tr w14:paraId="72AFCA7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6DA77E">
            <w:pPr>
              <w:spacing w:line="240" w:lineRule="exact"/>
              <w:ind w:firstLine="540" w:firstLineChars="300"/>
              <w:rPr>
                <w:rFonts w:ascii="宋体" w:hAnsi="宋体" w:eastAsia="宋体" w:cs="宋体"/>
                <w:sz w:val="18"/>
                <w:szCs w:val="18"/>
              </w:rPr>
            </w:pPr>
            <w:r>
              <w:rPr>
                <w:rFonts w:ascii="宋体" w:hAnsi="宋体" w:eastAsia="宋体" w:cs="宋体"/>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43BF4DB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1611A6">
            <w:pPr>
              <w:spacing w:line="240" w:lineRule="exact"/>
              <w:jc w:val="right"/>
              <w:rPr>
                <w:rFonts w:ascii="宋体" w:hAnsi="宋体" w:eastAsia="宋体" w:cs="宋体"/>
                <w:sz w:val="18"/>
                <w:szCs w:val="18"/>
              </w:rPr>
            </w:pPr>
          </w:p>
        </w:tc>
      </w:tr>
      <w:tr w14:paraId="7AB41A9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F659A5">
            <w:pPr>
              <w:spacing w:line="240" w:lineRule="exact"/>
              <w:ind w:firstLine="180" w:firstLineChars="100"/>
              <w:rPr>
                <w:rFonts w:ascii="宋体" w:hAnsi="宋体" w:eastAsia="宋体" w:cs="宋体"/>
                <w:sz w:val="18"/>
                <w:szCs w:val="18"/>
              </w:rPr>
            </w:pPr>
            <w:r>
              <w:rPr>
                <w:rFonts w:ascii="宋体" w:hAnsi="宋体" w:eastAsia="宋体" w:cs="宋体"/>
                <w:sz w:val="18"/>
                <w:szCs w:val="18"/>
              </w:rPr>
              <w:t>归属于少数股东的其他综合收益的税后净额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71D9EDD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878989">
            <w:pPr>
              <w:spacing w:line="240" w:lineRule="exact"/>
              <w:jc w:val="right"/>
              <w:rPr>
                <w:rFonts w:ascii="宋体" w:hAnsi="宋体" w:eastAsia="宋体" w:cs="宋体"/>
                <w:sz w:val="18"/>
                <w:szCs w:val="18"/>
              </w:rPr>
            </w:pPr>
          </w:p>
        </w:tc>
      </w:tr>
      <w:tr w14:paraId="4276D0C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6E1509">
            <w:pPr>
              <w:spacing w:line="240" w:lineRule="exact"/>
              <w:rPr>
                <w:rFonts w:ascii="宋体" w:hAnsi="宋体" w:eastAsia="宋体" w:cs="宋体"/>
                <w:sz w:val="18"/>
                <w:szCs w:val="18"/>
              </w:rPr>
            </w:pPr>
            <w:r>
              <w:rPr>
                <w:rFonts w:ascii="宋体" w:hAnsi="宋体" w:eastAsia="宋体" w:cs="宋体"/>
                <w:sz w:val="18"/>
                <w:szCs w:val="18"/>
              </w:rPr>
              <w:t>七、综合收益总额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1C29DB01">
            <w:pPr>
              <w:spacing w:line="240" w:lineRule="exact"/>
              <w:jc w:val="right"/>
              <w:rPr>
                <w:rFonts w:ascii="宋体" w:hAnsi="宋体" w:eastAsia="宋体" w:cs="宋体"/>
                <w:sz w:val="18"/>
                <w:szCs w:val="18"/>
              </w:rPr>
            </w:pPr>
            <w:r>
              <w:rPr>
                <w:rFonts w:ascii="宋体" w:hAnsi="宋体" w:eastAsia="宋体" w:cs="宋体"/>
                <w:sz w:val="18"/>
                <w:szCs w:val="18"/>
              </w:rPr>
              <w:t>31,189,978.38</w:t>
            </w:r>
          </w:p>
        </w:tc>
        <w:tc>
          <w:tcPr>
            <w:tcW w:w="3213" w:type="dxa"/>
            <w:tcBorders>
              <w:top w:val="single" w:color="auto" w:sz="2" w:space="0"/>
              <w:left w:val="single" w:color="auto" w:sz="2" w:space="0"/>
              <w:bottom w:val="single" w:color="auto" w:sz="2" w:space="0"/>
              <w:right w:val="single" w:color="auto" w:sz="2" w:space="0"/>
            </w:tcBorders>
            <w:vAlign w:val="center"/>
          </w:tcPr>
          <w:p w14:paraId="0CC37BF3">
            <w:pPr>
              <w:spacing w:line="240" w:lineRule="exact"/>
              <w:jc w:val="right"/>
              <w:rPr>
                <w:rFonts w:ascii="宋体" w:hAnsi="宋体" w:eastAsia="宋体" w:cs="宋体"/>
                <w:sz w:val="18"/>
                <w:szCs w:val="18"/>
              </w:rPr>
            </w:pPr>
            <w:r>
              <w:rPr>
                <w:rFonts w:ascii="宋体" w:hAnsi="宋体" w:eastAsia="宋体" w:cs="宋体"/>
                <w:sz w:val="18"/>
                <w:szCs w:val="18"/>
              </w:rPr>
              <w:t>-48,979,297.57</w:t>
            </w:r>
          </w:p>
        </w:tc>
      </w:tr>
      <w:tr w14:paraId="26408D3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3512CD">
            <w:pPr>
              <w:spacing w:line="240" w:lineRule="exact"/>
              <w:ind w:firstLine="180" w:firstLineChars="100"/>
              <w:rPr>
                <w:rFonts w:ascii="宋体" w:hAnsi="宋体" w:eastAsia="宋体" w:cs="宋体"/>
                <w:sz w:val="18"/>
                <w:szCs w:val="18"/>
              </w:rPr>
            </w:pPr>
            <w:r>
              <w:rPr>
                <w:rFonts w:ascii="宋体" w:hAnsi="宋体" w:eastAsia="宋体" w:cs="宋体"/>
                <w:sz w:val="18"/>
                <w:szCs w:val="18"/>
              </w:rPr>
              <w:t>归属于母公司所有者的综合收益总额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61F2382">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3213" w:type="dxa"/>
            <w:tcBorders>
              <w:top w:val="single" w:color="auto" w:sz="2" w:space="0"/>
              <w:left w:val="single" w:color="auto" w:sz="2" w:space="0"/>
              <w:bottom w:val="single" w:color="auto" w:sz="2" w:space="0"/>
              <w:right w:val="single" w:color="auto" w:sz="2" w:space="0"/>
            </w:tcBorders>
            <w:vAlign w:val="center"/>
          </w:tcPr>
          <w:p w14:paraId="73A1EE51">
            <w:pPr>
              <w:spacing w:line="240" w:lineRule="exact"/>
              <w:jc w:val="right"/>
              <w:rPr>
                <w:rFonts w:ascii="宋体" w:hAnsi="宋体" w:eastAsia="宋体" w:cs="宋体"/>
                <w:sz w:val="18"/>
                <w:szCs w:val="18"/>
              </w:rPr>
            </w:pPr>
            <w:r>
              <w:rPr>
                <w:rFonts w:ascii="宋体" w:hAnsi="宋体" w:eastAsia="宋体" w:cs="宋体"/>
                <w:sz w:val="18"/>
                <w:szCs w:val="18"/>
              </w:rPr>
              <w:t>-39,953,574.25</w:t>
            </w:r>
          </w:p>
        </w:tc>
      </w:tr>
      <w:tr w14:paraId="2C822B1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755CB5">
            <w:pPr>
              <w:spacing w:line="240" w:lineRule="exact"/>
              <w:ind w:firstLine="180" w:firstLineChars="100"/>
              <w:rPr>
                <w:rFonts w:ascii="宋体" w:hAnsi="宋体" w:eastAsia="宋体" w:cs="宋体"/>
                <w:sz w:val="18"/>
                <w:szCs w:val="18"/>
              </w:rPr>
            </w:pPr>
            <w:r>
              <w:rPr>
                <w:rFonts w:ascii="宋体" w:hAnsi="宋体" w:eastAsia="宋体" w:cs="宋体"/>
                <w:sz w:val="18"/>
                <w:szCs w:val="18"/>
              </w:rPr>
              <w:t>归属于少数股东的综合收益总额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52723F4E">
            <w:pPr>
              <w:spacing w:line="240" w:lineRule="exact"/>
              <w:jc w:val="right"/>
              <w:rPr>
                <w:rFonts w:ascii="宋体" w:hAnsi="宋体" w:eastAsia="宋体" w:cs="宋体"/>
                <w:sz w:val="18"/>
                <w:szCs w:val="18"/>
              </w:rPr>
            </w:pPr>
            <w:r>
              <w:rPr>
                <w:rFonts w:ascii="宋体" w:hAnsi="宋体" w:eastAsia="宋体" w:cs="宋体"/>
                <w:sz w:val="18"/>
                <w:szCs w:val="18"/>
              </w:rPr>
              <w:t>21,116,124.93</w:t>
            </w:r>
          </w:p>
        </w:tc>
        <w:tc>
          <w:tcPr>
            <w:tcW w:w="3213" w:type="dxa"/>
            <w:tcBorders>
              <w:top w:val="single" w:color="auto" w:sz="2" w:space="0"/>
              <w:left w:val="single" w:color="auto" w:sz="2" w:space="0"/>
              <w:bottom w:val="single" w:color="auto" w:sz="2" w:space="0"/>
              <w:right w:val="single" w:color="auto" w:sz="2" w:space="0"/>
            </w:tcBorders>
            <w:vAlign w:val="center"/>
          </w:tcPr>
          <w:p w14:paraId="03F36BFB">
            <w:pPr>
              <w:spacing w:line="240" w:lineRule="exact"/>
              <w:jc w:val="right"/>
              <w:rPr>
                <w:rFonts w:ascii="宋体" w:hAnsi="宋体" w:eastAsia="宋体" w:cs="宋体"/>
                <w:sz w:val="18"/>
                <w:szCs w:val="18"/>
              </w:rPr>
            </w:pPr>
            <w:r>
              <w:rPr>
                <w:rFonts w:ascii="宋体" w:hAnsi="宋体" w:eastAsia="宋体" w:cs="宋体"/>
                <w:sz w:val="18"/>
                <w:szCs w:val="18"/>
              </w:rPr>
              <w:t>-9,025,723.32</w:t>
            </w:r>
          </w:p>
        </w:tc>
      </w:tr>
      <w:tr w14:paraId="6516E53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BBDFF5">
            <w:pPr>
              <w:spacing w:line="240" w:lineRule="exact"/>
              <w:rPr>
                <w:rFonts w:ascii="宋体" w:hAnsi="宋体" w:eastAsia="宋体" w:cs="宋体"/>
                <w:sz w:val="18"/>
                <w:szCs w:val="18"/>
              </w:rPr>
            </w:pPr>
            <w:r>
              <w:rPr>
                <w:rFonts w:ascii="宋体" w:hAnsi="宋体" w:eastAsia="宋体" w:cs="宋体"/>
                <w:sz w:val="18"/>
                <w:szCs w:val="18"/>
              </w:rPr>
              <w:t>八、每股收益：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8B823B"/>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101588"/>
        </w:tc>
      </w:tr>
      <w:tr w14:paraId="05606B6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651F0A">
            <w:pPr>
              <w:spacing w:line="240" w:lineRule="exact"/>
              <w:ind w:firstLine="180" w:firstLineChars="100"/>
              <w:rPr>
                <w:rFonts w:ascii="宋体" w:hAnsi="宋体" w:eastAsia="宋体" w:cs="宋体"/>
                <w:sz w:val="18"/>
                <w:szCs w:val="18"/>
              </w:rPr>
            </w:pPr>
            <w:r>
              <w:rPr>
                <w:rFonts w:ascii="宋体" w:hAnsi="宋体" w:eastAsia="宋体" w:cs="宋体"/>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5464A038">
            <w:pPr>
              <w:spacing w:line="240" w:lineRule="exact"/>
              <w:jc w:val="right"/>
              <w:rPr>
                <w:rFonts w:ascii="宋体" w:hAnsi="宋体" w:eastAsia="宋体" w:cs="宋体"/>
                <w:sz w:val="18"/>
                <w:szCs w:val="18"/>
              </w:rPr>
            </w:pPr>
            <w:r>
              <w:rPr>
                <w:rFonts w:ascii="宋体" w:hAnsi="宋体" w:eastAsia="宋体" w:cs="宋体"/>
                <w:sz w:val="18"/>
                <w:szCs w:val="18"/>
              </w:rPr>
              <w:t>0.038</w:t>
            </w:r>
          </w:p>
        </w:tc>
        <w:tc>
          <w:tcPr>
            <w:tcW w:w="3213" w:type="dxa"/>
            <w:tcBorders>
              <w:top w:val="single" w:color="auto" w:sz="2" w:space="0"/>
              <w:left w:val="single" w:color="auto" w:sz="2" w:space="0"/>
              <w:bottom w:val="single" w:color="auto" w:sz="2" w:space="0"/>
              <w:right w:val="single" w:color="auto" w:sz="2" w:space="0"/>
            </w:tcBorders>
            <w:vAlign w:val="center"/>
          </w:tcPr>
          <w:p w14:paraId="3363592A">
            <w:pPr>
              <w:spacing w:line="240" w:lineRule="exact"/>
              <w:jc w:val="right"/>
              <w:rPr>
                <w:rFonts w:ascii="宋体" w:hAnsi="宋体" w:eastAsia="宋体" w:cs="宋体"/>
                <w:sz w:val="18"/>
                <w:szCs w:val="18"/>
              </w:rPr>
            </w:pPr>
            <w:r>
              <w:rPr>
                <w:rFonts w:ascii="宋体" w:hAnsi="宋体" w:eastAsia="宋体" w:cs="宋体"/>
                <w:sz w:val="18"/>
                <w:szCs w:val="18"/>
              </w:rPr>
              <w:t>-0.15</w:t>
            </w:r>
          </w:p>
        </w:tc>
      </w:tr>
      <w:tr w14:paraId="69B327C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057C1A">
            <w:pPr>
              <w:spacing w:line="240" w:lineRule="exact"/>
              <w:ind w:firstLine="180" w:firstLineChars="100"/>
              <w:rPr>
                <w:rFonts w:ascii="宋体" w:hAnsi="宋体" w:eastAsia="宋体" w:cs="宋体"/>
                <w:sz w:val="18"/>
                <w:szCs w:val="18"/>
              </w:rPr>
            </w:pPr>
            <w:r>
              <w:rPr>
                <w:rFonts w:ascii="宋体" w:hAnsi="宋体" w:eastAsia="宋体" w:cs="宋体"/>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7076CCEE">
            <w:pPr>
              <w:spacing w:line="240" w:lineRule="exact"/>
              <w:jc w:val="right"/>
              <w:rPr>
                <w:rFonts w:ascii="宋体" w:hAnsi="宋体" w:eastAsia="宋体" w:cs="宋体"/>
                <w:sz w:val="18"/>
                <w:szCs w:val="18"/>
              </w:rPr>
            </w:pPr>
            <w:r>
              <w:rPr>
                <w:rFonts w:ascii="宋体" w:hAnsi="宋体" w:eastAsia="宋体" w:cs="宋体"/>
                <w:sz w:val="18"/>
                <w:szCs w:val="18"/>
              </w:rPr>
              <w:t>0.038</w:t>
            </w:r>
          </w:p>
        </w:tc>
        <w:tc>
          <w:tcPr>
            <w:tcW w:w="3213" w:type="dxa"/>
            <w:tcBorders>
              <w:top w:val="single" w:color="auto" w:sz="2" w:space="0"/>
              <w:left w:val="single" w:color="auto" w:sz="2" w:space="0"/>
              <w:bottom w:val="single" w:color="auto" w:sz="2" w:space="0"/>
              <w:right w:val="single" w:color="auto" w:sz="2" w:space="0"/>
            </w:tcBorders>
            <w:vAlign w:val="center"/>
          </w:tcPr>
          <w:p w14:paraId="18A0BE59">
            <w:pPr>
              <w:spacing w:line="240" w:lineRule="exact"/>
              <w:jc w:val="right"/>
              <w:rPr>
                <w:rFonts w:ascii="宋体" w:hAnsi="宋体" w:eastAsia="宋体" w:cs="宋体"/>
                <w:sz w:val="18"/>
                <w:szCs w:val="18"/>
              </w:rPr>
            </w:pPr>
            <w:r>
              <w:rPr>
                <w:rFonts w:ascii="宋体" w:hAnsi="宋体" w:eastAsia="宋体" w:cs="宋体"/>
                <w:sz w:val="18"/>
                <w:szCs w:val="18"/>
              </w:rPr>
              <w:t>-0.15</w:t>
            </w:r>
          </w:p>
        </w:tc>
      </w:tr>
    </w:tbl>
    <w:p w14:paraId="190A207D">
      <w:pPr>
        <w:spacing w:before="100" w:after="100" w:line="240" w:lineRule="exact"/>
        <w:rPr>
          <w:rFonts w:ascii="宋体" w:hAnsi="宋体" w:eastAsia="宋体" w:cs="宋体"/>
          <w:sz w:val="18"/>
          <w:szCs w:val="18"/>
        </w:rPr>
      </w:pPr>
      <w:r>
        <w:rPr>
          <w:rFonts w:ascii="宋体" w:hAnsi="宋体" w:eastAsia="宋体" w:cs="宋体"/>
          <w:sz w:val="18"/>
          <w:szCs w:val="18"/>
        </w:rPr>
        <w:t>本期发生同一控制下企业合并的，被合并方在合并前实现的净利润为：元，上期被合并方实现的净利润为：元。</w:t>
      </w:r>
    </w:p>
    <w:p w14:paraId="348D266A">
      <w:pPr>
        <w:spacing w:before="100" w:after="100" w:line="240" w:lineRule="exact"/>
        <w:rPr>
          <w:rFonts w:ascii="宋体" w:hAnsi="宋体" w:eastAsia="宋体" w:cs="宋体"/>
          <w:sz w:val="18"/>
          <w:szCs w:val="18"/>
        </w:rPr>
      </w:pPr>
      <w:r>
        <w:rPr>
          <w:rFonts w:ascii="宋体" w:hAnsi="宋体" w:eastAsia="宋体" w:cs="宋体"/>
          <w:sz w:val="18"/>
          <w:szCs w:val="18"/>
        </w:rPr>
        <w:t xml:space="preserve">法定代表人：罗希   </w:t>
      </w:r>
      <w:r>
        <w:rPr>
          <w:rFonts w:hint="eastAsia" w:ascii="宋体" w:hAnsi="宋体" w:eastAsia="宋体" w:cs="宋体"/>
          <w:sz w:val="18"/>
          <w:szCs w:val="18"/>
        </w:rPr>
        <w:t xml:space="preserve">                  </w:t>
      </w:r>
      <w:r>
        <w:rPr>
          <w:rFonts w:ascii="宋体" w:hAnsi="宋体" w:eastAsia="宋体" w:cs="宋体"/>
          <w:sz w:val="18"/>
          <w:szCs w:val="18"/>
        </w:rPr>
        <w:t xml:space="preserve"> 主管会计工作负责人：唐逸   </w:t>
      </w:r>
      <w:r>
        <w:rPr>
          <w:rFonts w:hint="eastAsia" w:ascii="宋体" w:hAnsi="宋体" w:eastAsia="宋体" w:cs="宋体"/>
          <w:sz w:val="18"/>
          <w:szCs w:val="18"/>
        </w:rPr>
        <w:t xml:space="preserve">                   </w:t>
      </w:r>
      <w:r>
        <w:rPr>
          <w:rFonts w:ascii="宋体" w:hAnsi="宋体" w:eastAsia="宋体" w:cs="宋体"/>
          <w:sz w:val="18"/>
          <w:szCs w:val="18"/>
        </w:rPr>
        <w:t xml:space="preserve"> 会计机构负责人：陈静</w:t>
      </w:r>
    </w:p>
    <w:p w14:paraId="26078388">
      <w:pPr>
        <w:pStyle w:val="3"/>
        <w:spacing w:line="280" w:lineRule="exact"/>
        <w:jc w:val="left"/>
        <w:rPr>
          <w:rFonts w:ascii="宋体" w:hAnsi="宋体" w:cs="宋体"/>
          <w:b/>
          <w:bCs/>
        </w:rPr>
      </w:pPr>
      <w:bookmarkStart w:id="93" w:name="_Toc988982"/>
      <w:r>
        <w:rPr>
          <w:rFonts w:ascii="宋体" w:hAnsi="宋体" w:cs="宋体"/>
          <w:b/>
          <w:bCs/>
        </w:rPr>
        <w:t>4、母公司利润表</w:t>
      </w:r>
      <w:bookmarkEnd w:id="93"/>
    </w:p>
    <w:p w14:paraId="094DB5C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1149CE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433DB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A2F4E2">
            <w:pPr>
              <w:spacing w:before="40" w:after="40" w:line="240" w:lineRule="exact"/>
              <w:jc w:val="center"/>
              <w:rPr>
                <w:rFonts w:ascii="宋体" w:hAnsi="宋体" w:eastAsia="宋体" w:cs="宋体"/>
                <w:sz w:val="18"/>
                <w:szCs w:val="18"/>
              </w:rPr>
            </w:pPr>
            <w:r>
              <w:rPr>
                <w:rFonts w:ascii="宋体" w:hAnsi="宋体" w:eastAsia="宋体" w:cs="宋体"/>
                <w:sz w:val="18"/>
                <w:szCs w:val="18"/>
              </w:rPr>
              <w:t>2024年半年度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9981C8">
            <w:pPr>
              <w:spacing w:before="40" w:after="40" w:line="240" w:lineRule="exact"/>
              <w:jc w:val="center"/>
              <w:rPr>
                <w:rFonts w:ascii="宋体" w:hAnsi="宋体" w:eastAsia="宋体" w:cs="宋体"/>
                <w:sz w:val="18"/>
                <w:szCs w:val="18"/>
              </w:rPr>
            </w:pPr>
            <w:r>
              <w:rPr>
                <w:rFonts w:ascii="宋体" w:hAnsi="宋体" w:eastAsia="宋体" w:cs="宋体"/>
                <w:sz w:val="18"/>
                <w:szCs w:val="18"/>
              </w:rPr>
              <w:t>2023年半年度</w:t>
            </w:r>
          </w:p>
        </w:tc>
      </w:tr>
      <w:tr w14:paraId="021C470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D48CE2">
            <w:pPr>
              <w:spacing w:before="40" w:after="40" w:line="240" w:lineRule="exact"/>
              <w:rPr>
                <w:rFonts w:ascii="宋体" w:hAnsi="宋体" w:eastAsia="宋体" w:cs="宋体"/>
                <w:sz w:val="18"/>
                <w:szCs w:val="18"/>
              </w:rPr>
            </w:pPr>
            <w:r>
              <w:rPr>
                <w:rFonts w:ascii="宋体" w:hAnsi="宋体" w:eastAsia="宋体" w:cs="宋体"/>
                <w:sz w:val="18"/>
                <w:szCs w:val="18"/>
              </w:rPr>
              <w:t>一、营业收入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0B2D85B5">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6C6F3A4B">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0BFEBC5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DD5F1D">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74969C46">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50F617E0">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0C8535E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8B8EB9">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72EF2F7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FDB7E8">
            <w:pPr>
              <w:spacing w:line="240" w:lineRule="exact"/>
              <w:jc w:val="right"/>
              <w:rPr>
                <w:rFonts w:ascii="宋体" w:hAnsi="宋体" w:eastAsia="宋体" w:cs="宋体"/>
                <w:sz w:val="18"/>
                <w:szCs w:val="18"/>
              </w:rPr>
            </w:pPr>
          </w:p>
        </w:tc>
      </w:tr>
      <w:tr w14:paraId="72BF379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715A45">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30A0FF3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6C3F25">
            <w:pPr>
              <w:spacing w:line="240" w:lineRule="exact"/>
              <w:jc w:val="right"/>
              <w:rPr>
                <w:rFonts w:ascii="宋体" w:hAnsi="宋体" w:eastAsia="宋体" w:cs="宋体"/>
                <w:sz w:val="18"/>
                <w:szCs w:val="18"/>
              </w:rPr>
            </w:pPr>
          </w:p>
        </w:tc>
      </w:tr>
      <w:tr w14:paraId="59BE18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C3C0AB">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6CC337DC">
            <w:pPr>
              <w:spacing w:line="240" w:lineRule="exact"/>
              <w:jc w:val="right"/>
              <w:rPr>
                <w:rFonts w:ascii="宋体" w:hAnsi="宋体" w:eastAsia="宋体" w:cs="宋体"/>
                <w:sz w:val="18"/>
                <w:szCs w:val="18"/>
              </w:rPr>
            </w:pPr>
            <w:r>
              <w:rPr>
                <w:rFonts w:ascii="宋体" w:hAnsi="宋体" w:eastAsia="宋体" w:cs="宋体"/>
                <w:sz w:val="18"/>
                <w:szCs w:val="18"/>
              </w:rPr>
              <w:t>23,540,118.30</w:t>
            </w:r>
          </w:p>
        </w:tc>
        <w:tc>
          <w:tcPr>
            <w:tcW w:w="3213" w:type="dxa"/>
            <w:tcBorders>
              <w:top w:val="single" w:color="auto" w:sz="2" w:space="0"/>
              <w:left w:val="single" w:color="auto" w:sz="2" w:space="0"/>
              <w:bottom w:val="single" w:color="auto" w:sz="2" w:space="0"/>
              <w:right w:val="single" w:color="auto" w:sz="2" w:space="0"/>
            </w:tcBorders>
            <w:vAlign w:val="center"/>
          </w:tcPr>
          <w:p w14:paraId="1842E7AA">
            <w:pPr>
              <w:spacing w:line="240" w:lineRule="exact"/>
              <w:jc w:val="right"/>
              <w:rPr>
                <w:rFonts w:ascii="宋体" w:hAnsi="宋体" w:eastAsia="宋体" w:cs="宋体"/>
                <w:sz w:val="18"/>
                <w:szCs w:val="18"/>
              </w:rPr>
            </w:pPr>
            <w:r>
              <w:rPr>
                <w:rFonts w:ascii="宋体" w:hAnsi="宋体" w:eastAsia="宋体" w:cs="宋体"/>
                <w:sz w:val="18"/>
                <w:szCs w:val="18"/>
              </w:rPr>
              <w:t>8,033,675.55</w:t>
            </w:r>
          </w:p>
        </w:tc>
      </w:tr>
      <w:tr w14:paraId="25C91B8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B48777">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64BDDFF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4694D8">
            <w:pPr>
              <w:spacing w:line="240" w:lineRule="exact"/>
              <w:jc w:val="right"/>
              <w:rPr>
                <w:rFonts w:ascii="宋体" w:hAnsi="宋体" w:eastAsia="宋体" w:cs="宋体"/>
                <w:sz w:val="18"/>
                <w:szCs w:val="18"/>
              </w:rPr>
            </w:pPr>
          </w:p>
        </w:tc>
      </w:tr>
      <w:tr w14:paraId="3C4CE51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2DE72">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4D8C764F">
            <w:pPr>
              <w:spacing w:line="240" w:lineRule="exact"/>
              <w:jc w:val="right"/>
              <w:rPr>
                <w:rFonts w:ascii="宋体" w:hAnsi="宋体" w:eastAsia="宋体" w:cs="宋体"/>
                <w:sz w:val="18"/>
                <w:szCs w:val="18"/>
              </w:rPr>
            </w:pPr>
            <w:r>
              <w:rPr>
                <w:rFonts w:ascii="宋体" w:hAnsi="宋体" w:eastAsia="宋体" w:cs="宋体"/>
                <w:sz w:val="18"/>
                <w:szCs w:val="18"/>
              </w:rPr>
              <w:t>281,825.07</w:t>
            </w:r>
          </w:p>
        </w:tc>
        <w:tc>
          <w:tcPr>
            <w:tcW w:w="3213" w:type="dxa"/>
            <w:tcBorders>
              <w:top w:val="single" w:color="auto" w:sz="2" w:space="0"/>
              <w:left w:val="single" w:color="auto" w:sz="2" w:space="0"/>
              <w:bottom w:val="single" w:color="auto" w:sz="2" w:space="0"/>
              <w:right w:val="single" w:color="auto" w:sz="2" w:space="0"/>
            </w:tcBorders>
            <w:vAlign w:val="center"/>
          </w:tcPr>
          <w:p w14:paraId="20A385B3">
            <w:pPr>
              <w:spacing w:line="240" w:lineRule="exact"/>
              <w:jc w:val="right"/>
              <w:rPr>
                <w:rFonts w:ascii="宋体" w:hAnsi="宋体" w:eastAsia="宋体" w:cs="宋体"/>
                <w:sz w:val="18"/>
                <w:szCs w:val="18"/>
              </w:rPr>
            </w:pPr>
            <w:r>
              <w:rPr>
                <w:rFonts w:ascii="宋体" w:hAnsi="宋体" w:eastAsia="宋体" w:cs="宋体"/>
                <w:sz w:val="18"/>
                <w:szCs w:val="18"/>
              </w:rPr>
              <w:t>18,037,269.70</w:t>
            </w:r>
          </w:p>
        </w:tc>
      </w:tr>
      <w:tr w14:paraId="3E232B8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FC8A20">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2F4BDC5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51EDF9">
            <w:pPr>
              <w:spacing w:line="240" w:lineRule="exact"/>
              <w:jc w:val="right"/>
              <w:rPr>
                <w:rFonts w:ascii="宋体" w:hAnsi="宋体" w:eastAsia="宋体" w:cs="宋体"/>
                <w:sz w:val="18"/>
                <w:szCs w:val="18"/>
              </w:rPr>
            </w:pPr>
          </w:p>
        </w:tc>
      </w:tr>
      <w:tr w14:paraId="058723C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4A5547">
            <w:pPr>
              <w:spacing w:before="40" w:after="40" w:line="240" w:lineRule="exact"/>
              <w:ind w:firstLine="1260" w:firstLineChars="700"/>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4CB6603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959BD0">
            <w:pPr>
              <w:spacing w:line="240" w:lineRule="exact"/>
              <w:jc w:val="right"/>
              <w:rPr>
                <w:rFonts w:ascii="宋体" w:hAnsi="宋体" w:eastAsia="宋体" w:cs="宋体"/>
                <w:sz w:val="18"/>
                <w:szCs w:val="18"/>
              </w:rPr>
            </w:pPr>
          </w:p>
        </w:tc>
      </w:tr>
      <w:tr w14:paraId="3163A95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74390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01BC69B5">
            <w:pPr>
              <w:spacing w:line="240" w:lineRule="exact"/>
              <w:jc w:val="right"/>
              <w:rPr>
                <w:rFonts w:ascii="宋体" w:hAnsi="宋体" w:eastAsia="宋体" w:cs="宋体"/>
                <w:sz w:val="18"/>
                <w:szCs w:val="18"/>
              </w:rPr>
            </w:pPr>
            <w:r>
              <w:rPr>
                <w:rFonts w:ascii="宋体" w:hAnsi="宋体" w:eastAsia="宋体" w:cs="宋体"/>
                <w:sz w:val="18"/>
                <w:szCs w:val="18"/>
              </w:rPr>
              <w:t>15,432.03</w:t>
            </w:r>
          </w:p>
        </w:tc>
        <w:tc>
          <w:tcPr>
            <w:tcW w:w="3213" w:type="dxa"/>
            <w:tcBorders>
              <w:top w:val="single" w:color="auto" w:sz="2" w:space="0"/>
              <w:left w:val="single" w:color="auto" w:sz="2" w:space="0"/>
              <w:bottom w:val="single" w:color="auto" w:sz="2" w:space="0"/>
              <w:right w:val="single" w:color="auto" w:sz="2" w:space="0"/>
            </w:tcBorders>
            <w:vAlign w:val="center"/>
          </w:tcPr>
          <w:p w14:paraId="34300604">
            <w:pPr>
              <w:spacing w:line="240" w:lineRule="exact"/>
              <w:jc w:val="right"/>
              <w:rPr>
                <w:rFonts w:ascii="宋体" w:hAnsi="宋体" w:eastAsia="宋体" w:cs="宋体"/>
                <w:sz w:val="18"/>
                <w:szCs w:val="18"/>
              </w:rPr>
            </w:pPr>
            <w:r>
              <w:rPr>
                <w:rFonts w:ascii="宋体" w:hAnsi="宋体" w:eastAsia="宋体" w:cs="宋体"/>
                <w:sz w:val="18"/>
                <w:szCs w:val="18"/>
              </w:rPr>
              <w:t>6,940.62</w:t>
            </w:r>
          </w:p>
        </w:tc>
      </w:tr>
      <w:tr w14:paraId="192E5CA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633515">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3F84A5D">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37497C32">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687DE85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A598B6">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45E04560">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47D243C0">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7861890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47A919">
            <w:pPr>
              <w:spacing w:before="40" w:after="40" w:line="240" w:lineRule="exact"/>
              <w:ind w:firstLine="1260" w:firstLineChars="700"/>
              <w:rPr>
                <w:rFonts w:ascii="宋体" w:hAnsi="宋体" w:eastAsia="宋体" w:cs="宋体"/>
                <w:sz w:val="18"/>
                <w:szCs w:val="18"/>
              </w:rPr>
            </w:pPr>
            <w:r>
              <w:rPr>
                <w:rFonts w:ascii="宋体" w:hAnsi="宋体" w:eastAsia="宋体" w:cs="宋体"/>
                <w:sz w:val="18"/>
                <w:szCs w:val="18"/>
              </w:rPr>
              <w:t>以摊余成本计量的金融资产终止确认收益（损失以“—”号填列）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52F0D3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1A7E07">
            <w:pPr>
              <w:spacing w:line="240" w:lineRule="exact"/>
              <w:jc w:val="right"/>
              <w:rPr>
                <w:rFonts w:ascii="宋体" w:hAnsi="宋体" w:eastAsia="宋体" w:cs="宋体"/>
                <w:sz w:val="18"/>
                <w:szCs w:val="18"/>
              </w:rPr>
            </w:pPr>
          </w:p>
        </w:tc>
      </w:tr>
      <w:tr w14:paraId="45AD365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D23A51">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C14039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6DA098D">
            <w:pPr>
              <w:spacing w:line="240" w:lineRule="exact"/>
              <w:jc w:val="right"/>
              <w:rPr>
                <w:rFonts w:ascii="宋体" w:hAnsi="宋体" w:eastAsia="宋体" w:cs="宋体"/>
                <w:sz w:val="18"/>
                <w:szCs w:val="18"/>
              </w:rPr>
            </w:pPr>
          </w:p>
        </w:tc>
      </w:tr>
      <w:tr w14:paraId="63DEADC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09C84D">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F55E3A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0B418D">
            <w:pPr>
              <w:spacing w:line="240" w:lineRule="exact"/>
              <w:jc w:val="right"/>
              <w:rPr>
                <w:rFonts w:ascii="宋体" w:hAnsi="宋体" w:eastAsia="宋体" w:cs="宋体"/>
                <w:sz w:val="18"/>
                <w:szCs w:val="18"/>
              </w:rPr>
            </w:pPr>
          </w:p>
        </w:tc>
      </w:tr>
      <w:tr w14:paraId="47BD2CF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BE0A0D">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5949599">
            <w:pPr>
              <w:spacing w:line="240" w:lineRule="exact"/>
              <w:jc w:val="right"/>
              <w:rPr>
                <w:rFonts w:ascii="宋体" w:hAnsi="宋体" w:eastAsia="宋体" w:cs="宋体"/>
                <w:sz w:val="18"/>
                <w:szCs w:val="18"/>
              </w:rPr>
            </w:pPr>
            <w:r>
              <w:rPr>
                <w:rFonts w:ascii="宋体" w:hAnsi="宋体" w:eastAsia="宋体" w:cs="宋体"/>
                <w:sz w:val="18"/>
                <w:szCs w:val="18"/>
              </w:rPr>
              <w:t>-13,448.62</w:t>
            </w:r>
          </w:p>
        </w:tc>
        <w:tc>
          <w:tcPr>
            <w:tcW w:w="3213" w:type="dxa"/>
            <w:tcBorders>
              <w:top w:val="single" w:color="auto" w:sz="2" w:space="0"/>
              <w:left w:val="single" w:color="auto" w:sz="2" w:space="0"/>
              <w:bottom w:val="single" w:color="auto" w:sz="2" w:space="0"/>
              <w:right w:val="single" w:color="auto" w:sz="2" w:space="0"/>
            </w:tcBorders>
            <w:vAlign w:val="center"/>
          </w:tcPr>
          <w:p w14:paraId="703BF89A">
            <w:pPr>
              <w:spacing w:line="240" w:lineRule="exact"/>
              <w:jc w:val="right"/>
              <w:rPr>
                <w:rFonts w:ascii="宋体" w:hAnsi="宋体" w:eastAsia="宋体" w:cs="宋体"/>
                <w:sz w:val="18"/>
                <w:szCs w:val="18"/>
              </w:rPr>
            </w:pPr>
            <w:r>
              <w:rPr>
                <w:rFonts w:ascii="宋体" w:hAnsi="宋体" w:eastAsia="宋体" w:cs="宋体"/>
                <w:sz w:val="18"/>
                <w:szCs w:val="18"/>
              </w:rPr>
              <w:t>-367,483.35</w:t>
            </w:r>
          </w:p>
        </w:tc>
      </w:tr>
      <w:tr w14:paraId="45CA853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731E34">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E5A914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830E5B">
            <w:pPr>
              <w:spacing w:line="240" w:lineRule="exact"/>
              <w:jc w:val="right"/>
              <w:rPr>
                <w:rFonts w:ascii="宋体" w:hAnsi="宋体" w:eastAsia="宋体" w:cs="宋体"/>
                <w:sz w:val="18"/>
                <w:szCs w:val="18"/>
              </w:rPr>
            </w:pPr>
          </w:p>
        </w:tc>
      </w:tr>
      <w:tr w14:paraId="3E96D20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644AE6">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399FF7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EA74FC">
            <w:pPr>
              <w:spacing w:line="240" w:lineRule="exact"/>
              <w:jc w:val="right"/>
              <w:rPr>
                <w:rFonts w:ascii="宋体" w:hAnsi="宋体" w:eastAsia="宋体" w:cs="宋体"/>
                <w:sz w:val="18"/>
                <w:szCs w:val="18"/>
              </w:rPr>
            </w:pPr>
          </w:p>
        </w:tc>
      </w:tr>
      <w:tr w14:paraId="49DE19A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03E800">
            <w:pPr>
              <w:spacing w:before="40" w:after="40" w:line="240" w:lineRule="exact"/>
              <w:rPr>
                <w:rFonts w:ascii="宋体" w:hAnsi="宋体" w:eastAsia="宋体" w:cs="宋体"/>
                <w:sz w:val="18"/>
                <w:szCs w:val="18"/>
              </w:rPr>
            </w:pPr>
            <w:r>
              <w:rPr>
                <w:rFonts w:ascii="宋体" w:hAnsi="宋体" w:eastAsia="宋体" w:cs="宋体"/>
                <w:sz w:val="18"/>
                <w:szCs w:val="18"/>
              </w:rPr>
              <w:t>二、营业利润（亏损以“—”号填列）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FE82E34">
            <w:pPr>
              <w:spacing w:line="240" w:lineRule="exact"/>
              <w:jc w:val="right"/>
              <w:rPr>
                <w:rFonts w:ascii="宋体" w:hAnsi="宋体" w:eastAsia="宋体" w:cs="宋体"/>
                <w:sz w:val="18"/>
                <w:szCs w:val="18"/>
              </w:rPr>
            </w:pPr>
            <w:r>
              <w:rPr>
                <w:rFonts w:ascii="宋体" w:hAnsi="宋体" w:eastAsia="宋体" w:cs="宋体"/>
                <w:sz w:val="18"/>
                <w:szCs w:val="18"/>
              </w:rPr>
              <w:t>-27,065,810.63</w:t>
            </w:r>
          </w:p>
        </w:tc>
        <w:tc>
          <w:tcPr>
            <w:tcW w:w="3213" w:type="dxa"/>
            <w:tcBorders>
              <w:top w:val="single" w:color="auto" w:sz="2" w:space="0"/>
              <w:left w:val="single" w:color="auto" w:sz="2" w:space="0"/>
              <w:bottom w:val="single" w:color="auto" w:sz="2" w:space="0"/>
              <w:right w:val="single" w:color="auto" w:sz="2" w:space="0"/>
            </w:tcBorders>
            <w:vAlign w:val="center"/>
          </w:tcPr>
          <w:p w14:paraId="29415171">
            <w:pPr>
              <w:spacing w:line="240" w:lineRule="exact"/>
              <w:jc w:val="right"/>
              <w:rPr>
                <w:rFonts w:ascii="宋体" w:hAnsi="宋体" w:eastAsia="宋体" w:cs="宋体"/>
                <w:sz w:val="18"/>
                <w:szCs w:val="18"/>
              </w:rPr>
            </w:pPr>
            <w:r>
              <w:rPr>
                <w:rFonts w:ascii="宋体" w:hAnsi="宋体" w:eastAsia="宋体" w:cs="宋体"/>
                <w:sz w:val="18"/>
                <w:szCs w:val="18"/>
              </w:rPr>
              <w:t>-30,465,861.15</w:t>
            </w:r>
          </w:p>
        </w:tc>
      </w:tr>
      <w:tr w14:paraId="220FDFB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8A8E4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2680401C">
            <w:pPr>
              <w:spacing w:line="240" w:lineRule="exact"/>
              <w:jc w:val="right"/>
              <w:rPr>
                <w:rFonts w:ascii="宋体" w:hAnsi="宋体" w:eastAsia="宋体" w:cs="宋体"/>
                <w:sz w:val="18"/>
                <w:szCs w:val="18"/>
              </w:rPr>
            </w:pPr>
            <w:r>
              <w:rPr>
                <w:rFonts w:ascii="宋体" w:hAnsi="宋体" w:eastAsia="宋体" w:cs="宋体"/>
                <w:sz w:val="18"/>
                <w:szCs w:val="18"/>
              </w:rPr>
              <w:t>7,308,927.53</w:t>
            </w:r>
          </w:p>
        </w:tc>
        <w:tc>
          <w:tcPr>
            <w:tcW w:w="3213" w:type="dxa"/>
            <w:tcBorders>
              <w:top w:val="single" w:color="auto" w:sz="2" w:space="0"/>
              <w:left w:val="single" w:color="auto" w:sz="2" w:space="0"/>
              <w:bottom w:val="single" w:color="auto" w:sz="2" w:space="0"/>
              <w:right w:val="single" w:color="auto" w:sz="2" w:space="0"/>
            </w:tcBorders>
            <w:vAlign w:val="center"/>
          </w:tcPr>
          <w:p w14:paraId="21284C9D">
            <w:pPr>
              <w:spacing w:line="240" w:lineRule="exact"/>
              <w:jc w:val="right"/>
              <w:rPr>
                <w:rFonts w:ascii="宋体" w:hAnsi="宋体" w:eastAsia="宋体" w:cs="宋体"/>
                <w:sz w:val="18"/>
                <w:szCs w:val="18"/>
              </w:rPr>
            </w:pPr>
            <w:r>
              <w:rPr>
                <w:rFonts w:ascii="宋体" w:hAnsi="宋体" w:eastAsia="宋体" w:cs="宋体"/>
                <w:sz w:val="18"/>
                <w:szCs w:val="18"/>
              </w:rPr>
              <w:t>2,625.00</w:t>
            </w:r>
          </w:p>
        </w:tc>
      </w:tr>
      <w:tr w14:paraId="57B89F0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06C15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5C349148">
            <w:pPr>
              <w:spacing w:line="240" w:lineRule="exact"/>
              <w:jc w:val="right"/>
              <w:rPr>
                <w:rFonts w:ascii="宋体" w:hAnsi="宋体" w:eastAsia="宋体" w:cs="宋体"/>
                <w:sz w:val="18"/>
                <w:szCs w:val="18"/>
              </w:rPr>
            </w:pPr>
            <w:r>
              <w:rPr>
                <w:rFonts w:ascii="宋体" w:hAnsi="宋体" w:eastAsia="宋体" w:cs="宋体"/>
                <w:sz w:val="18"/>
                <w:szCs w:val="18"/>
              </w:rPr>
              <w:t>1,052.00</w:t>
            </w:r>
          </w:p>
        </w:tc>
        <w:tc>
          <w:tcPr>
            <w:tcW w:w="3213" w:type="dxa"/>
            <w:tcBorders>
              <w:top w:val="single" w:color="auto" w:sz="2" w:space="0"/>
              <w:left w:val="single" w:color="auto" w:sz="2" w:space="0"/>
              <w:bottom w:val="single" w:color="auto" w:sz="2" w:space="0"/>
              <w:right w:val="single" w:color="auto" w:sz="2" w:space="0"/>
            </w:tcBorders>
            <w:vAlign w:val="center"/>
          </w:tcPr>
          <w:p w14:paraId="67B64D19">
            <w:pPr>
              <w:spacing w:line="240" w:lineRule="exact"/>
              <w:jc w:val="right"/>
              <w:rPr>
                <w:rFonts w:ascii="宋体" w:hAnsi="宋体" w:eastAsia="宋体" w:cs="宋体"/>
                <w:sz w:val="18"/>
                <w:szCs w:val="18"/>
              </w:rPr>
            </w:pPr>
            <w:r>
              <w:rPr>
                <w:rFonts w:ascii="宋体" w:hAnsi="宋体" w:eastAsia="宋体" w:cs="宋体"/>
                <w:sz w:val="18"/>
                <w:szCs w:val="18"/>
              </w:rPr>
              <w:t>260,450.00</w:t>
            </w:r>
          </w:p>
        </w:tc>
      </w:tr>
      <w:tr w14:paraId="5C2C9DF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B9E5C6">
            <w:pPr>
              <w:spacing w:before="40" w:after="40" w:line="240" w:lineRule="exact"/>
              <w:rPr>
                <w:rFonts w:ascii="宋体" w:hAnsi="宋体" w:eastAsia="宋体" w:cs="宋体"/>
                <w:sz w:val="18"/>
                <w:szCs w:val="18"/>
              </w:rPr>
            </w:pPr>
            <w:r>
              <w:rPr>
                <w:rFonts w:ascii="宋体" w:hAnsi="宋体" w:eastAsia="宋体" w:cs="宋体"/>
                <w:sz w:val="18"/>
                <w:szCs w:val="18"/>
              </w:rPr>
              <w:t>三、利润总额（亏损总额以“—”号填列）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6B0BE09">
            <w:pPr>
              <w:spacing w:line="240" w:lineRule="exact"/>
              <w:jc w:val="right"/>
              <w:rPr>
                <w:rFonts w:ascii="宋体" w:hAnsi="宋体" w:eastAsia="宋体" w:cs="宋体"/>
                <w:sz w:val="18"/>
                <w:szCs w:val="18"/>
              </w:rPr>
            </w:pPr>
            <w:r>
              <w:rPr>
                <w:rFonts w:ascii="宋体" w:hAnsi="宋体" w:eastAsia="宋体" w:cs="宋体"/>
                <w:sz w:val="18"/>
                <w:szCs w:val="18"/>
              </w:rPr>
              <w:t>-19,757,935.10</w:t>
            </w:r>
          </w:p>
        </w:tc>
        <w:tc>
          <w:tcPr>
            <w:tcW w:w="3213" w:type="dxa"/>
            <w:tcBorders>
              <w:top w:val="single" w:color="auto" w:sz="2" w:space="0"/>
              <w:left w:val="single" w:color="auto" w:sz="2" w:space="0"/>
              <w:bottom w:val="single" w:color="auto" w:sz="2" w:space="0"/>
              <w:right w:val="single" w:color="auto" w:sz="2" w:space="0"/>
            </w:tcBorders>
            <w:vAlign w:val="center"/>
          </w:tcPr>
          <w:p w14:paraId="557748B1">
            <w:pPr>
              <w:spacing w:line="240" w:lineRule="exact"/>
              <w:jc w:val="right"/>
              <w:rPr>
                <w:rFonts w:ascii="宋体" w:hAnsi="宋体" w:eastAsia="宋体" w:cs="宋体"/>
                <w:sz w:val="18"/>
                <w:szCs w:val="18"/>
              </w:rPr>
            </w:pPr>
            <w:r>
              <w:rPr>
                <w:rFonts w:ascii="宋体" w:hAnsi="宋体" w:eastAsia="宋体" w:cs="宋体"/>
                <w:sz w:val="18"/>
                <w:szCs w:val="18"/>
              </w:rPr>
              <w:t>-30,723,686.15</w:t>
            </w:r>
          </w:p>
        </w:tc>
      </w:tr>
      <w:tr w14:paraId="4ACAC07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B4191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3634635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2D32F50">
            <w:pPr>
              <w:spacing w:line="240" w:lineRule="exact"/>
              <w:jc w:val="right"/>
              <w:rPr>
                <w:rFonts w:ascii="宋体" w:hAnsi="宋体" w:eastAsia="宋体" w:cs="宋体"/>
                <w:sz w:val="18"/>
                <w:szCs w:val="18"/>
              </w:rPr>
            </w:pPr>
          </w:p>
        </w:tc>
      </w:tr>
      <w:tr w14:paraId="5B07FA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67C1B">
            <w:pPr>
              <w:spacing w:line="240" w:lineRule="exact"/>
              <w:rPr>
                <w:rFonts w:ascii="宋体" w:hAnsi="宋体" w:eastAsia="宋体" w:cs="宋体"/>
                <w:sz w:val="18"/>
                <w:szCs w:val="18"/>
              </w:rPr>
            </w:pPr>
            <w:r>
              <w:rPr>
                <w:rFonts w:ascii="宋体" w:hAnsi="宋体" w:eastAsia="宋体" w:cs="宋体"/>
                <w:sz w:val="18"/>
                <w:szCs w:val="18"/>
              </w:rPr>
              <w:t>四、净利润（净亏损以“—”号填列）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E1400B6">
            <w:pPr>
              <w:spacing w:line="240" w:lineRule="exact"/>
              <w:jc w:val="right"/>
              <w:rPr>
                <w:rFonts w:ascii="宋体" w:hAnsi="宋体" w:eastAsia="宋体" w:cs="宋体"/>
                <w:sz w:val="18"/>
                <w:szCs w:val="18"/>
              </w:rPr>
            </w:pPr>
            <w:r>
              <w:rPr>
                <w:rFonts w:ascii="宋体" w:hAnsi="宋体" w:eastAsia="宋体" w:cs="宋体"/>
                <w:sz w:val="18"/>
                <w:szCs w:val="18"/>
              </w:rPr>
              <w:t>-19,757,935.10</w:t>
            </w:r>
          </w:p>
        </w:tc>
        <w:tc>
          <w:tcPr>
            <w:tcW w:w="3213" w:type="dxa"/>
            <w:tcBorders>
              <w:top w:val="single" w:color="auto" w:sz="2" w:space="0"/>
              <w:left w:val="single" w:color="auto" w:sz="2" w:space="0"/>
              <w:bottom w:val="single" w:color="auto" w:sz="2" w:space="0"/>
              <w:right w:val="single" w:color="auto" w:sz="2" w:space="0"/>
            </w:tcBorders>
            <w:vAlign w:val="center"/>
          </w:tcPr>
          <w:p w14:paraId="506C04FB">
            <w:pPr>
              <w:spacing w:line="240" w:lineRule="exact"/>
              <w:jc w:val="right"/>
              <w:rPr>
                <w:rFonts w:ascii="宋体" w:hAnsi="宋体" w:eastAsia="宋体" w:cs="宋体"/>
                <w:sz w:val="18"/>
                <w:szCs w:val="18"/>
              </w:rPr>
            </w:pPr>
            <w:r>
              <w:rPr>
                <w:rFonts w:ascii="宋体" w:hAnsi="宋体" w:eastAsia="宋体" w:cs="宋体"/>
                <w:sz w:val="18"/>
                <w:szCs w:val="18"/>
              </w:rPr>
              <w:t>-30,723,686.15</w:t>
            </w:r>
          </w:p>
        </w:tc>
      </w:tr>
      <w:tr w14:paraId="56A5608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179C99">
            <w:pPr>
              <w:spacing w:line="240" w:lineRule="exact"/>
              <w:ind w:firstLine="180" w:firstLineChars="100"/>
              <w:rPr>
                <w:rFonts w:ascii="宋体" w:hAnsi="宋体" w:eastAsia="宋体" w:cs="宋体"/>
                <w:sz w:val="18"/>
                <w:szCs w:val="18"/>
              </w:rPr>
            </w:pPr>
            <w:r>
              <w:rPr>
                <w:rFonts w:ascii="宋体" w:hAnsi="宋体" w:eastAsia="宋体" w:cs="宋体"/>
                <w:sz w:val="18"/>
                <w:szCs w:val="18"/>
              </w:rPr>
              <w:t>（一）持续经营净利润（净亏损以“—”号填列）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0DF7A6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671BE0">
            <w:pPr>
              <w:spacing w:line="240" w:lineRule="exact"/>
              <w:jc w:val="right"/>
              <w:rPr>
                <w:rFonts w:ascii="宋体" w:hAnsi="宋体" w:eastAsia="宋体" w:cs="宋体"/>
                <w:sz w:val="18"/>
                <w:szCs w:val="18"/>
              </w:rPr>
            </w:pPr>
          </w:p>
        </w:tc>
      </w:tr>
      <w:tr w14:paraId="1D12DC3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73FF92">
            <w:pPr>
              <w:spacing w:line="240" w:lineRule="exact"/>
              <w:ind w:firstLine="180" w:firstLineChars="100"/>
              <w:rPr>
                <w:rFonts w:ascii="宋体" w:hAnsi="宋体" w:eastAsia="宋体" w:cs="宋体"/>
                <w:sz w:val="18"/>
                <w:szCs w:val="18"/>
              </w:rPr>
            </w:pPr>
            <w:r>
              <w:rPr>
                <w:rFonts w:ascii="宋体" w:hAnsi="宋体" w:eastAsia="宋体" w:cs="宋体"/>
                <w:sz w:val="18"/>
                <w:szCs w:val="18"/>
              </w:rPr>
              <w:t>（二）终止经营净利润（净亏损以“—”号填列）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A203B2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8B6E4A">
            <w:pPr>
              <w:spacing w:line="240" w:lineRule="exact"/>
              <w:jc w:val="right"/>
              <w:rPr>
                <w:rFonts w:ascii="宋体" w:hAnsi="宋体" w:eastAsia="宋体" w:cs="宋体"/>
                <w:sz w:val="18"/>
                <w:szCs w:val="18"/>
              </w:rPr>
            </w:pPr>
          </w:p>
        </w:tc>
      </w:tr>
      <w:tr w14:paraId="634432F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97AAFB">
            <w:pPr>
              <w:spacing w:line="240" w:lineRule="exact"/>
              <w:rPr>
                <w:rFonts w:ascii="宋体" w:hAnsi="宋体" w:eastAsia="宋体" w:cs="宋体"/>
                <w:sz w:val="18"/>
                <w:szCs w:val="18"/>
              </w:rPr>
            </w:pPr>
            <w:r>
              <w:rPr>
                <w:rFonts w:ascii="宋体" w:hAnsi="宋体" w:eastAsia="宋体" w:cs="宋体"/>
                <w:sz w:val="18"/>
                <w:szCs w:val="18"/>
              </w:rPr>
              <w:t>五、其他综合收益的税后净额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1087607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48B68E7">
            <w:pPr>
              <w:spacing w:line="240" w:lineRule="exact"/>
              <w:jc w:val="right"/>
              <w:rPr>
                <w:rFonts w:ascii="宋体" w:hAnsi="宋体" w:eastAsia="宋体" w:cs="宋体"/>
                <w:sz w:val="18"/>
                <w:szCs w:val="18"/>
              </w:rPr>
            </w:pPr>
          </w:p>
        </w:tc>
      </w:tr>
      <w:tr w14:paraId="3C838DF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633D43">
            <w:pPr>
              <w:spacing w:line="240" w:lineRule="exact"/>
              <w:ind w:firstLine="360" w:firstLineChars="200"/>
              <w:rPr>
                <w:rFonts w:ascii="宋体" w:hAnsi="宋体" w:eastAsia="宋体" w:cs="宋体"/>
                <w:sz w:val="18"/>
                <w:szCs w:val="18"/>
              </w:rPr>
            </w:pPr>
            <w:r>
              <w:rPr>
                <w:rFonts w:ascii="宋体" w:hAnsi="宋体" w:eastAsia="宋体" w:cs="宋体"/>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C321AE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3E77B8">
            <w:pPr>
              <w:spacing w:line="240" w:lineRule="exact"/>
              <w:jc w:val="right"/>
              <w:rPr>
                <w:rFonts w:ascii="宋体" w:hAnsi="宋体" w:eastAsia="宋体" w:cs="宋体"/>
                <w:sz w:val="18"/>
                <w:szCs w:val="18"/>
              </w:rPr>
            </w:pPr>
          </w:p>
        </w:tc>
      </w:tr>
      <w:tr w14:paraId="54270E0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EAC29B">
            <w:pPr>
              <w:spacing w:line="240" w:lineRule="exact"/>
              <w:ind w:firstLine="540" w:firstLineChars="300"/>
              <w:rPr>
                <w:rFonts w:ascii="宋体" w:hAnsi="宋体" w:eastAsia="宋体" w:cs="宋体"/>
                <w:sz w:val="18"/>
                <w:szCs w:val="18"/>
              </w:rPr>
            </w:pPr>
            <w:r>
              <w:rPr>
                <w:rFonts w:ascii="宋体" w:hAnsi="宋体" w:eastAsia="宋体" w:cs="宋体"/>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523887C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BDC478">
            <w:pPr>
              <w:spacing w:line="240" w:lineRule="exact"/>
              <w:jc w:val="right"/>
              <w:rPr>
                <w:rFonts w:ascii="宋体" w:hAnsi="宋体" w:eastAsia="宋体" w:cs="宋体"/>
                <w:sz w:val="18"/>
                <w:szCs w:val="18"/>
              </w:rPr>
            </w:pPr>
          </w:p>
        </w:tc>
      </w:tr>
      <w:tr w14:paraId="6AB7BC9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51111B">
            <w:pPr>
              <w:spacing w:line="240" w:lineRule="exact"/>
              <w:ind w:firstLine="540" w:firstLineChars="300"/>
              <w:rPr>
                <w:rFonts w:ascii="宋体" w:hAnsi="宋体" w:eastAsia="宋体" w:cs="宋体"/>
                <w:sz w:val="18"/>
                <w:szCs w:val="18"/>
              </w:rPr>
            </w:pPr>
            <w:r>
              <w:rPr>
                <w:rFonts w:ascii="宋体" w:hAnsi="宋体" w:eastAsia="宋体" w:cs="宋体"/>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60A235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FB3F4A">
            <w:pPr>
              <w:spacing w:line="240" w:lineRule="exact"/>
              <w:jc w:val="right"/>
              <w:rPr>
                <w:rFonts w:ascii="宋体" w:hAnsi="宋体" w:eastAsia="宋体" w:cs="宋体"/>
                <w:sz w:val="18"/>
                <w:szCs w:val="18"/>
              </w:rPr>
            </w:pPr>
          </w:p>
        </w:tc>
      </w:tr>
      <w:tr w14:paraId="6213A2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C9F9D8">
            <w:pPr>
              <w:spacing w:line="240" w:lineRule="exact"/>
              <w:ind w:firstLine="540" w:firstLineChars="300"/>
              <w:rPr>
                <w:rFonts w:ascii="宋体" w:hAnsi="宋体" w:eastAsia="宋体" w:cs="宋体"/>
                <w:sz w:val="18"/>
                <w:szCs w:val="18"/>
              </w:rPr>
            </w:pPr>
            <w:r>
              <w:rPr>
                <w:rFonts w:ascii="宋体" w:hAnsi="宋体" w:eastAsia="宋体" w:cs="宋体"/>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50828DE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8B178F">
            <w:pPr>
              <w:spacing w:line="240" w:lineRule="exact"/>
              <w:jc w:val="right"/>
              <w:rPr>
                <w:rFonts w:ascii="宋体" w:hAnsi="宋体" w:eastAsia="宋体" w:cs="宋体"/>
                <w:sz w:val="18"/>
                <w:szCs w:val="18"/>
              </w:rPr>
            </w:pPr>
          </w:p>
        </w:tc>
      </w:tr>
      <w:tr w14:paraId="407AA43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561130">
            <w:pPr>
              <w:spacing w:line="240" w:lineRule="exact"/>
              <w:ind w:firstLine="540" w:firstLineChars="300"/>
              <w:rPr>
                <w:rFonts w:ascii="宋体" w:hAnsi="宋体" w:eastAsia="宋体" w:cs="宋体"/>
                <w:sz w:val="18"/>
                <w:szCs w:val="18"/>
              </w:rPr>
            </w:pPr>
            <w:r>
              <w:rPr>
                <w:rFonts w:ascii="宋体" w:hAnsi="宋体" w:eastAsia="宋体" w:cs="宋体"/>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4EDE159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EEE958">
            <w:pPr>
              <w:spacing w:line="240" w:lineRule="exact"/>
              <w:jc w:val="right"/>
              <w:rPr>
                <w:rFonts w:ascii="宋体" w:hAnsi="宋体" w:eastAsia="宋体" w:cs="宋体"/>
                <w:sz w:val="18"/>
                <w:szCs w:val="18"/>
              </w:rPr>
            </w:pPr>
          </w:p>
        </w:tc>
      </w:tr>
      <w:tr w14:paraId="239BAFA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FBBF1B">
            <w:pPr>
              <w:spacing w:line="240" w:lineRule="exact"/>
              <w:ind w:firstLine="540" w:firstLineChars="300"/>
              <w:rPr>
                <w:rFonts w:ascii="宋体" w:hAnsi="宋体" w:eastAsia="宋体" w:cs="宋体"/>
                <w:sz w:val="18"/>
                <w:szCs w:val="18"/>
              </w:rPr>
            </w:pPr>
            <w:r>
              <w:rPr>
                <w:rFonts w:ascii="宋体" w:hAnsi="宋体" w:eastAsia="宋体" w:cs="宋体"/>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43DF4DD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B9310D">
            <w:pPr>
              <w:spacing w:line="240" w:lineRule="exact"/>
              <w:jc w:val="right"/>
              <w:rPr>
                <w:rFonts w:ascii="宋体" w:hAnsi="宋体" w:eastAsia="宋体" w:cs="宋体"/>
                <w:sz w:val="18"/>
                <w:szCs w:val="18"/>
              </w:rPr>
            </w:pPr>
          </w:p>
        </w:tc>
      </w:tr>
      <w:tr w14:paraId="6A7DCB1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AEF4D6">
            <w:pPr>
              <w:spacing w:line="240" w:lineRule="exact"/>
              <w:ind w:firstLine="360" w:firstLineChars="200"/>
              <w:rPr>
                <w:rFonts w:ascii="宋体" w:hAnsi="宋体" w:eastAsia="宋体" w:cs="宋体"/>
                <w:sz w:val="18"/>
                <w:szCs w:val="18"/>
              </w:rPr>
            </w:pPr>
            <w:r>
              <w:rPr>
                <w:rFonts w:ascii="宋体" w:hAnsi="宋体" w:eastAsia="宋体" w:cs="宋体"/>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0F374A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D0273B">
            <w:pPr>
              <w:spacing w:line="240" w:lineRule="exact"/>
              <w:jc w:val="right"/>
              <w:rPr>
                <w:rFonts w:ascii="宋体" w:hAnsi="宋体" w:eastAsia="宋体" w:cs="宋体"/>
                <w:sz w:val="18"/>
                <w:szCs w:val="18"/>
              </w:rPr>
            </w:pPr>
          </w:p>
        </w:tc>
      </w:tr>
      <w:tr w14:paraId="0294A66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E5F8B7">
            <w:pPr>
              <w:spacing w:line="240" w:lineRule="exact"/>
              <w:ind w:firstLine="540" w:firstLineChars="300"/>
              <w:rPr>
                <w:rFonts w:ascii="宋体" w:hAnsi="宋体" w:eastAsia="宋体" w:cs="宋体"/>
                <w:sz w:val="18"/>
                <w:szCs w:val="18"/>
              </w:rPr>
            </w:pPr>
            <w:r>
              <w:rPr>
                <w:rFonts w:ascii="宋体" w:hAnsi="宋体" w:eastAsia="宋体" w:cs="宋体"/>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6F8374D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277A89">
            <w:pPr>
              <w:spacing w:line="240" w:lineRule="exact"/>
              <w:jc w:val="right"/>
              <w:rPr>
                <w:rFonts w:ascii="宋体" w:hAnsi="宋体" w:eastAsia="宋体" w:cs="宋体"/>
                <w:sz w:val="18"/>
                <w:szCs w:val="18"/>
              </w:rPr>
            </w:pPr>
          </w:p>
        </w:tc>
      </w:tr>
      <w:tr w14:paraId="665D1C6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C1501C">
            <w:pPr>
              <w:spacing w:line="240" w:lineRule="exact"/>
              <w:ind w:firstLine="540" w:firstLineChars="300"/>
              <w:rPr>
                <w:rFonts w:ascii="宋体" w:hAnsi="宋体" w:eastAsia="宋体" w:cs="宋体"/>
                <w:sz w:val="18"/>
                <w:szCs w:val="18"/>
              </w:rPr>
            </w:pPr>
            <w:r>
              <w:rPr>
                <w:rFonts w:ascii="宋体" w:hAnsi="宋体" w:eastAsia="宋体" w:cs="宋体"/>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622AF19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8390F7">
            <w:pPr>
              <w:spacing w:line="240" w:lineRule="exact"/>
              <w:jc w:val="right"/>
              <w:rPr>
                <w:rFonts w:ascii="宋体" w:hAnsi="宋体" w:eastAsia="宋体" w:cs="宋体"/>
                <w:sz w:val="18"/>
                <w:szCs w:val="18"/>
              </w:rPr>
            </w:pPr>
          </w:p>
        </w:tc>
      </w:tr>
      <w:tr w14:paraId="6D1B99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17C954">
            <w:pPr>
              <w:spacing w:line="240" w:lineRule="exact"/>
              <w:ind w:firstLine="540" w:firstLineChars="300"/>
              <w:rPr>
                <w:rFonts w:ascii="宋体" w:hAnsi="宋体" w:eastAsia="宋体" w:cs="宋体"/>
                <w:sz w:val="18"/>
                <w:szCs w:val="18"/>
              </w:rPr>
            </w:pPr>
            <w:r>
              <w:rPr>
                <w:rFonts w:ascii="宋体" w:hAnsi="宋体" w:eastAsia="宋体" w:cs="宋体"/>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3493658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AB7105">
            <w:pPr>
              <w:spacing w:line="240" w:lineRule="exact"/>
              <w:jc w:val="right"/>
              <w:rPr>
                <w:rFonts w:ascii="宋体" w:hAnsi="宋体" w:eastAsia="宋体" w:cs="宋体"/>
                <w:sz w:val="18"/>
                <w:szCs w:val="18"/>
              </w:rPr>
            </w:pPr>
          </w:p>
        </w:tc>
      </w:tr>
      <w:tr w14:paraId="1606776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D88398">
            <w:pPr>
              <w:spacing w:line="240" w:lineRule="exact"/>
              <w:ind w:firstLine="540" w:firstLineChars="300"/>
              <w:rPr>
                <w:rFonts w:ascii="宋体" w:hAnsi="宋体" w:eastAsia="宋体" w:cs="宋体"/>
                <w:sz w:val="18"/>
                <w:szCs w:val="18"/>
              </w:rPr>
            </w:pPr>
            <w:r>
              <w:rPr>
                <w:rFonts w:ascii="宋体" w:hAnsi="宋体" w:eastAsia="宋体" w:cs="宋体"/>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4B3D383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A228DE">
            <w:pPr>
              <w:spacing w:line="240" w:lineRule="exact"/>
              <w:jc w:val="right"/>
              <w:rPr>
                <w:rFonts w:ascii="宋体" w:hAnsi="宋体" w:eastAsia="宋体" w:cs="宋体"/>
                <w:sz w:val="18"/>
                <w:szCs w:val="18"/>
              </w:rPr>
            </w:pPr>
          </w:p>
        </w:tc>
      </w:tr>
      <w:tr w14:paraId="4C4E320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20AC4D">
            <w:pPr>
              <w:spacing w:line="240" w:lineRule="exact"/>
              <w:ind w:firstLine="540" w:firstLineChars="300"/>
              <w:rPr>
                <w:rFonts w:ascii="宋体" w:hAnsi="宋体" w:eastAsia="宋体" w:cs="宋体"/>
                <w:sz w:val="18"/>
                <w:szCs w:val="18"/>
              </w:rPr>
            </w:pPr>
            <w:r>
              <w:rPr>
                <w:rFonts w:ascii="宋体" w:hAnsi="宋体" w:eastAsia="宋体" w:cs="宋体"/>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2D7ECAA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3264B4">
            <w:pPr>
              <w:spacing w:line="240" w:lineRule="exact"/>
              <w:jc w:val="right"/>
              <w:rPr>
                <w:rFonts w:ascii="宋体" w:hAnsi="宋体" w:eastAsia="宋体" w:cs="宋体"/>
                <w:sz w:val="18"/>
                <w:szCs w:val="18"/>
              </w:rPr>
            </w:pPr>
          </w:p>
        </w:tc>
      </w:tr>
      <w:tr w14:paraId="289647F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E1C18E">
            <w:pPr>
              <w:spacing w:line="240" w:lineRule="exact"/>
              <w:ind w:firstLine="540" w:firstLineChars="300"/>
              <w:rPr>
                <w:rFonts w:ascii="宋体" w:hAnsi="宋体" w:eastAsia="宋体" w:cs="宋体"/>
                <w:sz w:val="18"/>
                <w:szCs w:val="18"/>
              </w:rPr>
            </w:pPr>
            <w:r>
              <w:rPr>
                <w:rFonts w:ascii="宋体" w:hAnsi="宋体" w:eastAsia="宋体" w:cs="宋体"/>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65CB595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2E9EFE">
            <w:pPr>
              <w:spacing w:line="240" w:lineRule="exact"/>
              <w:jc w:val="right"/>
              <w:rPr>
                <w:rFonts w:ascii="宋体" w:hAnsi="宋体" w:eastAsia="宋体" w:cs="宋体"/>
                <w:sz w:val="18"/>
                <w:szCs w:val="18"/>
              </w:rPr>
            </w:pPr>
          </w:p>
        </w:tc>
      </w:tr>
      <w:tr w14:paraId="34EBAE2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52E84E">
            <w:pPr>
              <w:spacing w:line="240" w:lineRule="exact"/>
              <w:ind w:firstLine="540" w:firstLineChars="300"/>
              <w:rPr>
                <w:rFonts w:ascii="宋体" w:hAnsi="宋体" w:eastAsia="宋体" w:cs="宋体"/>
                <w:sz w:val="18"/>
                <w:szCs w:val="18"/>
              </w:rPr>
            </w:pPr>
            <w:r>
              <w:rPr>
                <w:rFonts w:ascii="宋体" w:hAnsi="宋体" w:eastAsia="宋体" w:cs="宋体"/>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0FA6C69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1C4E12">
            <w:pPr>
              <w:spacing w:line="240" w:lineRule="exact"/>
              <w:jc w:val="right"/>
              <w:rPr>
                <w:rFonts w:ascii="宋体" w:hAnsi="宋体" w:eastAsia="宋体" w:cs="宋体"/>
                <w:sz w:val="18"/>
                <w:szCs w:val="18"/>
              </w:rPr>
            </w:pPr>
          </w:p>
        </w:tc>
      </w:tr>
      <w:tr w14:paraId="45B2C6B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84EF0D">
            <w:pPr>
              <w:spacing w:line="240" w:lineRule="exact"/>
              <w:rPr>
                <w:rFonts w:ascii="宋体" w:hAnsi="宋体" w:eastAsia="宋体" w:cs="宋体"/>
                <w:sz w:val="18"/>
                <w:szCs w:val="18"/>
              </w:rPr>
            </w:pPr>
            <w:r>
              <w:rPr>
                <w:rFonts w:ascii="宋体" w:hAnsi="宋体" w:eastAsia="宋体" w:cs="宋体"/>
                <w:sz w:val="18"/>
                <w:szCs w:val="18"/>
              </w:rPr>
              <w:t>六、综合收益总额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16D39A3F">
            <w:pPr>
              <w:spacing w:line="240" w:lineRule="exact"/>
              <w:jc w:val="right"/>
              <w:rPr>
                <w:rFonts w:ascii="宋体" w:hAnsi="宋体" w:eastAsia="宋体" w:cs="宋体"/>
                <w:sz w:val="18"/>
                <w:szCs w:val="18"/>
              </w:rPr>
            </w:pPr>
            <w:r>
              <w:rPr>
                <w:rFonts w:ascii="宋体" w:hAnsi="宋体" w:eastAsia="宋体" w:cs="宋体"/>
                <w:sz w:val="18"/>
                <w:szCs w:val="18"/>
              </w:rPr>
              <w:t>-19,757,935.10</w:t>
            </w:r>
          </w:p>
        </w:tc>
        <w:tc>
          <w:tcPr>
            <w:tcW w:w="3213" w:type="dxa"/>
            <w:tcBorders>
              <w:top w:val="single" w:color="auto" w:sz="2" w:space="0"/>
              <w:left w:val="single" w:color="auto" w:sz="2" w:space="0"/>
              <w:bottom w:val="single" w:color="auto" w:sz="2" w:space="0"/>
              <w:right w:val="single" w:color="auto" w:sz="2" w:space="0"/>
            </w:tcBorders>
            <w:vAlign w:val="center"/>
          </w:tcPr>
          <w:p w14:paraId="4ED1122A">
            <w:pPr>
              <w:spacing w:line="240" w:lineRule="exact"/>
              <w:jc w:val="right"/>
              <w:rPr>
                <w:rFonts w:ascii="宋体" w:hAnsi="宋体" w:eastAsia="宋体" w:cs="宋体"/>
                <w:sz w:val="18"/>
                <w:szCs w:val="18"/>
              </w:rPr>
            </w:pPr>
            <w:r>
              <w:rPr>
                <w:rFonts w:ascii="宋体" w:hAnsi="宋体" w:eastAsia="宋体" w:cs="宋体"/>
                <w:sz w:val="18"/>
                <w:szCs w:val="18"/>
              </w:rPr>
              <w:t>-30,723,686.15</w:t>
            </w:r>
          </w:p>
        </w:tc>
      </w:tr>
      <w:tr w14:paraId="5B31525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7D9B03">
            <w:pPr>
              <w:spacing w:line="240" w:lineRule="exact"/>
              <w:rPr>
                <w:rFonts w:ascii="宋体" w:hAnsi="宋体" w:eastAsia="宋体" w:cs="宋体"/>
                <w:sz w:val="18"/>
                <w:szCs w:val="18"/>
              </w:rPr>
            </w:pPr>
            <w:r>
              <w:rPr>
                <w:rFonts w:ascii="宋体" w:hAnsi="宋体" w:eastAsia="宋体" w:cs="宋体"/>
                <w:sz w:val="18"/>
                <w:szCs w:val="18"/>
              </w:rPr>
              <w:t>七、每股收益：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B0C81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F7DEF5"/>
        </w:tc>
      </w:tr>
      <w:tr w14:paraId="6827BD8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30BEAE">
            <w:pPr>
              <w:spacing w:line="240" w:lineRule="exact"/>
              <w:ind w:firstLine="180" w:firstLineChars="100"/>
              <w:rPr>
                <w:rFonts w:ascii="宋体" w:hAnsi="宋体" w:eastAsia="宋体" w:cs="宋体"/>
                <w:sz w:val="18"/>
                <w:szCs w:val="18"/>
              </w:rPr>
            </w:pPr>
            <w:r>
              <w:rPr>
                <w:rFonts w:ascii="宋体" w:hAnsi="宋体" w:eastAsia="宋体" w:cs="宋体"/>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7F0FE25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6B083D">
            <w:pPr>
              <w:spacing w:line="240" w:lineRule="exact"/>
              <w:jc w:val="right"/>
              <w:rPr>
                <w:rFonts w:ascii="宋体" w:hAnsi="宋体" w:eastAsia="宋体" w:cs="宋体"/>
                <w:sz w:val="18"/>
                <w:szCs w:val="18"/>
              </w:rPr>
            </w:pPr>
          </w:p>
        </w:tc>
      </w:tr>
      <w:tr w14:paraId="7B2AC97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9F2582">
            <w:pPr>
              <w:spacing w:line="240" w:lineRule="exact"/>
              <w:ind w:firstLine="180" w:firstLineChars="100"/>
              <w:rPr>
                <w:rFonts w:ascii="宋体" w:hAnsi="宋体" w:eastAsia="宋体" w:cs="宋体"/>
                <w:sz w:val="18"/>
                <w:szCs w:val="18"/>
              </w:rPr>
            </w:pPr>
            <w:r>
              <w:rPr>
                <w:rFonts w:ascii="宋体" w:hAnsi="宋体" w:eastAsia="宋体" w:cs="宋体"/>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0F6EC5E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AB8C1C">
            <w:pPr>
              <w:spacing w:line="240" w:lineRule="exact"/>
              <w:jc w:val="right"/>
              <w:rPr>
                <w:rFonts w:ascii="宋体" w:hAnsi="宋体" w:eastAsia="宋体" w:cs="宋体"/>
                <w:sz w:val="18"/>
                <w:szCs w:val="18"/>
              </w:rPr>
            </w:pPr>
          </w:p>
        </w:tc>
      </w:tr>
    </w:tbl>
    <w:p w14:paraId="337EC187">
      <w:pPr>
        <w:pStyle w:val="3"/>
        <w:spacing w:line="280" w:lineRule="exact"/>
        <w:jc w:val="left"/>
        <w:rPr>
          <w:rFonts w:ascii="宋体" w:hAnsi="宋体" w:cs="宋体"/>
          <w:b/>
          <w:bCs/>
        </w:rPr>
      </w:pPr>
      <w:bookmarkStart w:id="94" w:name="_Toc988983"/>
      <w:r>
        <w:rPr>
          <w:rFonts w:ascii="宋体" w:hAnsi="宋体" w:cs="宋体"/>
          <w:b/>
          <w:bCs/>
        </w:rPr>
        <w:t>5、合并现金流量表</w:t>
      </w:r>
      <w:bookmarkEnd w:id="94"/>
    </w:p>
    <w:p w14:paraId="20D32AF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144904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2508AB">
            <w:pPr>
              <w:spacing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CA8362">
            <w:pPr>
              <w:spacing w:line="240" w:lineRule="exact"/>
              <w:jc w:val="center"/>
              <w:rPr>
                <w:rFonts w:ascii="宋体" w:hAnsi="宋体" w:eastAsia="宋体" w:cs="宋体"/>
                <w:sz w:val="18"/>
                <w:szCs w:val="18"/>
              </w:rPr>
            </w:pPr>
            <w:r>
              <w:rPr>
                <w:rFonts w:ascii="宋体" w:hAnsi="宋体" w:eastAsia="宋体" w:cs="宋体"/>
                <w:sz w:val="18"/>
                <w:szCs w:val="18"/>
              </w:rPr>
              <w:t>2024年半年度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1EF25B">
            <w:pPr>
              <w:spacing w:line="240" w:lineRule="exact"/>
              <w:jc w:val="center"/>
              <w:rPr>
                <w:rFonts w:ascii="宋体" w:hAnsi="宋体" w:eastAsia="宋体" w:cs="宋体"/>
                <w:sz w:val="18"/>
                <w:szCs w:val="18"/>
              </w:rPr>
            </w:pPr>
            <w:r>
              <w:rPr>
                <w:rFonts w:ascii="宋体" w:hAnsi="宋体" w:eastAsia="宋体" w:cs="宋体"/>
                <w:sz w:val="18"/>
                <w:szCs w:val="18"/>
              </w:rPr>
              <w:t>2023年半年度</w:t>
            </w:r>
          </w:p>
        </w:tc>
      </w:tr>
      <w:tr w14:paraId="3C6F8E5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5F0FEA">
            <w:pPr>
              <w:spacing w:line="240" w:lineRule="exact"/>
              <w:rPr>
                <w:rFonts w:ascii="宋体" w:hAnsi="宋体" w:eastAsia="宋体" w:cs="宋体"/>
                <w:sz w:val="18"/>
                <w:szCs w:val="18"/>
              </w:rPr>
            </w:pPr>
            <w:r>
              <w:rPr>
                <w:rFonts w:ascii="宋体" w:hAnsi="宋体" w:eastAsia="宋体" w:cs="宋体"/>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F258F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4C47E9"/>
        </w:tc>
      </w:tr>
      <w:tr w14:paraId="4436B86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B53BA9">
            <w:pPr>
              <w:spacing w:line="240" w:lineRule="exact"/>
              <w:ind w:firstLine="180" w:firstLineChars="100"/>
              <w:rPr>
                <w:rFonts w:ascii="宋体" w:hAnsi="宋体" w:eastAsia="宋体" w:cs="宋体"/>
                <w:sz w:val="18"/>
                <w:szCs w:val="18"/>
              </w:rPr>
            </w:pPr>
            <w:r>
              <w:rPr>
                <w:rFonts w:ascii="宋体" w:hAnsi="宋体" w:eastAsia="宋体" w:cs="宋体"/>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29BE8CE0">
            <w:pPr>
              <w:spacing w:line="240" w:lineRule="exact"/>
              <w:jc w:val="right"/>
              <w:rPr>
                <w:rFonts w:ascii="宋体" w:hAnsi="宋体" w:eastAsia="宋体" w:cs="宋体"/>
                <w:sz w:val="18"/>
                <w:szCs w:val="18"/>
              </w:rPr>
            </w:pPr>
            <w:r>
              <w:rPr>
                <w:rFonts w:ascii="宋体" w:hAnsi="宋体" w:eastAsia="宋体" w:cs="宋体"/>
                <w:sz w:val="18"/>
                <w:szCs w:val="18"/>
              </w:rPr>
              <w:t>213,683,486.75</w:t>
            </w:r>
          </w:p>
        </w:tc>
        <w:tc>
          <w:tcPr>
            <w:tcW w:w="3213" w:type="dxa"/>
            <w:tcBorders>
              <w:top w:val="single" w:color="auto" w:sz="2" w:space="0"/>
              <w:left w:val="single" w:color="auto" w:sz="2" w:space="0"/>
              <w:bottom w:val="single" w:color="auto" w:sz="2" w:space="0"/>
              <w:right w:val="single" w:color="auto" w:sz="2" w:space="0"/>
            </w:tcBorders>
            <w:vAlign w:val="center"/>
          </w:tcPr>
          <w:p w14:paraId="0E2F35FC">
            <w:pPr>
              <w:spacing w:line="240" w:lineRule="exact"/>
              <w:jc w:val="right"/>
              <w:rPr>
                <w:rFonts w:ascii="宋体" w:hAnsi="宋体" w:eastAsia="宋体" w:cs="宋体"/>
                <w:sz w:val="18"/>
                <w:szCs w:val="18"/>
              </w:rPr>
            </w:pPr>
            <w:r>
              <w:rPr>
                <w:rFonts w:ascii="宋体" w:hAnsi="宋体" w:eastAsia="宋体" w:cs="宋体"/>
                <w:sz w:val="18"/>
                <w:szCs w:val="18"/>
              </w:rPr>
              <w:t>162,691,184.96</w:t>
            </w:r>
          </w:p>
        </w:tc>
      </w:tr>
      <w:tr w14:paraId="09EF417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4CEF3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客户存款和同业存放款项净增加额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5C81890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07314BB">
            <w:pPr>
              <w:spacing w:line="240" w:lineRule="exact"/>
              <w:jc w:val="right"/>
              <w:rPr>
                <w:rFonts w:ascii="宋体" w:hAnsi="宋体" w:eastAsia="宋体" w:cs="宋体"/>
                <w:sz w:val="18"/>
                <w:szCs w:val="18"/>
              </w:rPr>
            </w:pPr>
          </w:p>
        </w:tc>
      </w:tr>
      <w:tr w14:paraId="23CEA3A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AE817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向中央银行借款净增加额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53A97DE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5018A8">
            <w:pPr>
              <w:spacing w:line="240" w:lineRule="exact"/>
              <w:jc w:val="right"/>
              <w:rPr>
                <w:rFonts w:ascii="宋体" w:hAnsi="宋体" w:eastAsia="宋体" w:cs="宋体"/>
                <w:sz w:val="18"/>
                <w:szCs w:val="18"/>
              </w:rPr>
            </w:pPr>
          </w:p>
        </w:tc>
      </w:tr>
      <w:tr w14:paraId="583878E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69D1A1">
            <w:pPr>
              <w:spacing w:line="240" w:lineRule="exact"/>
              <w:ind w:firstLine="180" w:firstLineChars="100"/>
              <w:rPr>
                <w:rFonts w:ascii="宋体" w:hAnsi="宋体" w:eastAsia="宋体" w:cs="宋体"/>
                <w:sz w:val="18"/>
                <w:szCs w:val="18"/>
              </w:rPr>
            </w:pPr>
            <w:r>
              <w:rPr>
                <w:rFonts w:ascii="宋体" w:hAnsi="宋体" w:eastAsia="宋体" w:cs="宋体"/>
                <w:sz w:val="18"/>
                <w:szCs w:val="18"/>
              </w:rPr>
              <w:t>向其他金融机构拆入资金净增加额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B9BE6A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EC745A">
            <w:pPr>
              <w:spacing w:line="240" w:lineRule="exact"/>
              <w:jc w:val="right"/>
              <w:rPr>
                <w:rFonts w:ascii="宋体" w:hAnsi="宋体" w:eastAsia="宋体" w:cs="宋体"/>
                <w:sz w:val="18"/>
                <w:szCs w:val="18"/>
              </w:rPr>
            </w:pPr>
          </w:p>
        </w:tc>
      </w:tr>
      <w:tr w14:paraId="3B8AF59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826E4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收到原保险合同保费取得的现金</w:t>
            </w:r>
          </w:p>
        </w:tc>
        <w:tc>
          <w:tcPr>
            <w:tcW w:w="3213" w:type="dxa"/>
            <w:tcBorders>
              <w:top w:val="single" w:color="auto" w:sz="2" w:space="0"/>
              <w:left w:val="single" w:color="auto" w:sz="2" w:space="0"/>
              <w:bottom w:val="single" w:color="auto" w:sz="2" w:space="0"/>
              <w:right w:val="single" w:color="auto" w:sz="2" w:space="0"/>
            </w:tcBorders>
            <w:vAlign w:val="center"/>
          </w:tcPr>
          <w:p w14:paraId="6BCDCDD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5EC3D0">
            <w:pPr>
              <w:spacing w:line="240" w:lineRule="exact"/>
              <w:jc w:val="right"/>
              <w:rPr>
                <w:rFonts w:ascii="宋体" w:hAnsi="宋体" w:eastAsia="宋体" w:cs="宋体"/>
                <w:sz w:val="18"/>
                <w:szCs w:val="18"/>
              </w:rPr>
            </w:pPr>
          </w:p>
        </w:tc>
      </w:tr>
      <w:tr w14:paraId="36DA5BC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FC01A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收到再保业务现金净额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4AD7A00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2245BE">
            <w:pPr>
              <w:spacing w:line="240" w:lineRule="exact"/>
              <w:jc w:val="right"/>
              <w:rPr>
                <w:rFonts w:ascii="宋体" w:hAnsi="宋体" w:eastAsia="宋体" w:cs="宋体"/>
                <w:sz w:val="18"/>
                <w:szCs w:val="18"/>
              </w:rPr>
            </w:pPr>
          </w:p>
        </w:tc>
      </w:tr>
      <w:tr w14:paraId="1D15C53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FF74E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保户储金及投资款净增加额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035723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6B0118">
            <w:pPr>
              <w:spacing w:line="240" w:lineRule="exact"/>
              <w:jc w:val="right"/>
              <w:rPr>
                <w:rFonts w:ascii="宋体" w:hAnsi="宋体" w:eastAsia="宋体" w:cs="宋体"/>
                <w:sz w:val="18"/>
                <w:szCs w:val="18"/>
              </w:rPr>
            </w:pPr>
          </w:p>
        </w:tc>
      </w:tr>
      <w:tr w14:paraId="345132A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3BC477">
            <w:pPr>
              <w:spacing w:line="240" w:lineRule="exact"/>
              <w:ind w:firstLine="180" w:firstLineChars="100"/>
              <w:rPr>
                <w:rFonts w:ascii="宋体" w:hAnsi="宋体" w:eastAsia="宋体" w:cs="宋体"/>
                <w:sz w:val="18"/>
                <w:szCs w:val="18"/>
              </w:rPr>
            </w:pPr>
            <w:r>
              <w:rPr>
                <w:rFonts w:ascii="宋体" w:hAnsi="宋体" w:eastAsia="宋体" w:cs="宋体"/>
                <w:sz w:val="18"/>
                <w:szCs w:val="18"/>
              </w:rPr>
              <w:t>收取利息、手续费及佣金的现金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7AED023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7BC569">
            <w:pPr>
              <w:spacing w:line="240" w:lineRule="exact"/>
              <w:jc w:val="right"/>
              <w:rPr>
                <w:rFonts w:ascii="宋体" w:hAnsi="宋体" w:eastAsia="宋体" w:cs="宋体"/>
                <w:sz w:val="18"/>
                <w:szCs w:val="18"/>
              </w:rPr>
            </w:pPr>
          </w:p>
        </w:tc>
      </w:tr>
      <w:tr w14:paraId="0814143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11CF1F">
            <w:pPr>
              <w:spacing w:line="240" w:lineRule="exact"/>
              <w:ind w:firstLine="180" w:firstLineChars="100"/>
              <w:rPr>
                <w:rFonts w:ascii="宋体" w:hAnsi="宋体" w:eastAsia="宋体" w:cs="宋体"/>
                <w:sz w:val="18"/>
                <w:szCs w:val="18"/>
              </w:rPr>
            </w:pPr>
            <w:r>
              <w:rPr>
                <w:rFonts w:ascii="宋体" w:hAnsi="宋体" w:eastAsia="宋体" w:cs="宋体"/>
                <w:sz w:val="18"/>
                <w:szCs w:val="18"/>
              </w:rPr>
              <w:t>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08439B8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B3280C">
            <w:pPr>
              <w:spacing w:line="240" w:lineRule="exact"/>
              <w:jc w:val="right"/>
              <w:rPr>
                <w:rFonts w:ascii="宋体" w:hAnsi="宋体" w:eastAsia="宋体" w:cs="宋体"/>
                <w:sz w:val="18"/>
                <w:szCs w:val="18"/>
              </w:rPr>
            </w:pPr>
          </w:p>
        </w:tc>
      </w:tr>
      <w:tr w14:paraId="03409E4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57B914">
            <w:pPr>
              <w:spacing w:line="240" w:lineRule="exact"/>
              <w:ind w:firstLine="180" w:firstLineChars="100"/>
              <w:rPr>
                <w:rFonts w:ascii="宋体" w:hAnsi="宋体" w:eastAsia="宋体" w:cs="宋体"/>
                <w:sz w:val="18"/>
                <w:szCs w:val="18"/>
              </w:rPr>
            </w:pPr>
            <w:r>
              <w:rPr>
                <w:rFonts w:ascii="宋体" w:hAnsi="宋体" w:eastAsia="宋体" w:cs="宋体"/>
                <w:sz w:val="18"/>
                <w:szCs w:val="18"/>
              </w:rPr>
              <w:t>回购业务资金净增加额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163F1D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42443D">
            <w:pPr>
              <w:spacing w:line="240" w:lineRule="exact"/>
              <w:jc w:val="right"/>
              <w:rPr>
                <w:rFonts w:ascii="宋体" w:hAnsi="宋体" w:eastAsia="宋体" w:cs="宋体"/>
                <w:sz w:val="18"/>
                <w:szCs w:val="18"/>
              </w:rPr>
            </w:pPr>
          </w:p>
        </w:tc>
      </w:tr>
      <w:tr w14:paraId="43F8D6F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057DA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代理买卖证券收到的现金净额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AB385A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1A6747">
            <w:pPr>
              <w:spacing w:line="240" w:lineRule="exact"/>
              <w:jc w:val="right"/>
              <w:rPr>
                <w:rFonts w:ascii="宋体" w:hAnsi="宋体" w:eastAsia="宋体" w:cs="宋体"/>
                <w:sz w:val="18"/>
                <w:szCs w:val="18"/>
              </w:rPr>
            </w:pPr>
          </w:p>
        </w:tc>
      </w:tr>
      <w:tr w14:paraId="3D1CDDE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5AFF0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09F72FE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AF466E9">
            <w:pPr>
              <w:spacing w:line="240" w:lineRule="exact"/>
              <w:jc w:val="right"/>
              <w:rPr>
                <w:rFonts w:ascii="宋体" w:hAnsi="宋体" w:eastAsia="宋体" w:cs="宋体"/>
                <w:sz w:val="18"/>
                <w:szCs w:val="18"/>
              </w:rPr>
            </w:pPr>
          </w:p>
        </w:tc>
      </w:tr>
      <w:tr w14:paraId="3DD83A3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789D24">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9311B7D">
            <w:pPr>
              <w:spacing w:line="240" w:lineRule="exact"/>
              <w:jc w:val="right"/>
              <w:rPr>
                <w:rFonts w:ascii="宋体" w:hAnsi="宋体" w:eastAsia="宋体" w:cs="宋体"/>
                <w:sz w:val="18"/>
                <w:szCs w:val="18"/>
              </w:rPr>
            </w:pPr>
            <w:r>
              <w:rPr>
                <w:rFonts w:ascii="宋体" w:hAnsi="宋体" w:eastAsia="宋体" w:cs="宋体"/>
                <w:sz w:val="18"/>
                <w:szCs w:val="18"/>
              </w:rPr>
              <w:t>1,653,789.61</w:t>
            </w:r>
          </w:p>
        </w:tc>
        <w:tc>
          <w:tcPr>
            <w:tcW w:w="3213" w:type="dxa"/>
            <w:tcBorders>
              <w:top w:val="single" w:color="auto" w:sz="2" w:space="0"/>
              <w:left w:val="single" w:color="auto" w:sz="2" w:space="0"/>
              <w:bottom w:val="single" w:color="auto" w:sz="2" w:space="0"/>
              <w:right w:val="single" w:color="auto" w:sz="2" w:space="0"/>
            </w:tcBorders>
            <w:vAlign w:val="center"/>
          </w:tcPr>
          <w:p w14:paraId="3BF840BC">
            <w:pPr>
              <w:spacing w:line="240" w:lineRule="exact"/>
              <w:jc w:val="right"/>
              <w:rPr>
                <w:rFonts w:ascii="宋体" w:hAnsi="宋体" w:eastAsia="宋体" w:cs="宋体"/>
                <w:sz w:val="18"/>
                <w:szCs w:val="18"/>
              </w:rPr>
            </w:pPr>
            <w:r>
              <w:rPr>
                <w:rFonts w:ascii="宋体" w:hAnsi="宋体" w:eastAsia="宋体" w:cs="宋体"/>
                <w:sz w:val="18"/>
                <w:szCs w:val="18"/>
              </w:rPr>
              <w:t>2,296,899.84</w:t>
            </w:r>
          </w:p>
        </w:tc>
      </w:tr>
      <w:tr w14:paraId="2217E29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3E72F3">
            <w:pPr>
              <w:spacing w:line="240" w:lineRule="exact"/>
              <w:rPr>
                <w:rFonts w:ascii="宋体" w:hAnsi="宋体" w:eastAsia="宋体" w:cs="宋体"/>
                <w:sz w:val="18"/>
                <w:szCs w:val="18"/>
              </w:rPr>
            </w:pPr>
            <w:r>
              <w:rPr>
                <w:rFonts w:ascii="宋体" w:hAnsi="宋体" w:eastAsia="宋体" w:cs="宋体"/>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15CCB0BE">
            <w:pPr>
              <w:spacing w:line="240" w:lineRule="exact"/>
              <w:jc w:val="right"/>
              <w:rPr>
                <w:rFonts w:ascii="宋体" w:hAnsi="宋体" w:eastAsia="宋体" w:cs="宋体"/>
                <w:sz w:val="18"/>
                <w:szCs w:val="18"/>
              </w:rPr>
            </w:pPr>
            <w:r>
              <w:rPr>
                <w:rFonts w:ascii="宋体" w:hAnsi="宋体" w:eastAsia="宋体" w:cs="宋体"/>
                <w:sz w:val="18"/>
                <w:szCs w:val="18"/>
              </w:rPr>
              <w:t>215,337,276.36</w:t>
            </w:r>
          </w:p>
        </w:tc>
        <w:tc>
          <w:tcPr>
            <w:tcW w:w="3213" w:type="dxa"/>
            <w:tcBorders>
              <w:top w:val="single" w:color="auto" w:sz="2" w:space="0"/>
              <w:left w:val="single" w:color="auto" w:sz="2" w:space="0"/>
              <w:bottom w:val="single" w:color="auto" w:sz="2" w:space="0"/>
              <w:right w:val="single" w:color="auto" w:sz="2" w:space="0"/>
            </w:tcBorders>
            <w:vAlign w:val="center"/>
          </w:tcPr>
          <w:p w14:paraId="68A5220B">
            <w:pPr>
              <w:spacing w:line="240" w:lineRule="exact"/>
              <w:jc w:val="right"/>
              <w:rPr>
                <w:rFonts w:ascii="宋体" w:hAnsi="宋体" w:eastAsia="宋体" w:cs="宋体"/>
                <w:sz w:val="18"/>
                <w:szCs w:val="18"/>
              </w:rPr>
            </w:pPr>
            <w:r>
              <w:rPr>
                <w:rFonts w:ascii="宋体" w:hAnsi="宋体" w:eastAsia="宋体" w:cs="宋体"/>
                <w:sz w:val="18"/>
                <w:szCs w:val="18"/>
              </w:rPr>
              <w:t>164,988,084.80</w:t>
            </w:r>
          </w:p>
        </w:tc>
      </w:tr>
      <w:tr w14:paraId="4BB4AE9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5D094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5139F91B">
            <w:pPr>
              <w:spacing w:line="240" w:lineRule="exact"/>
              <w:jc w:val="right"/>
              <w:rPr>
                <w:rFonts w:ascii="宋体" w:hAnsi="宋体" w:eastAsia="宋体" w:cs="宋体"/>
                <w:sz w:val="18"/>
                <w:szCs w:val="18"/>
              </w:rPr>
            </w:pPr>
            <w:r>
              <w:rPr>
                <w:rFonts w:ascii="宋体" w:hAnsi="宋体" w:eastAsia="宋体" w:cs="宋体"/>
                <w:sz w:val="18"/>
                <w:szCs w:val="18"/>
              </w:rPr>
              <w:t>115,559,972.31</w:t>
            </w:r>
          </w:p>
        </w:tc>
        <w:tc>
          <w:tcPr>
            <w:tcW w:w="3213" w:type="dxa"/>
            <w:tcBorders>
              <w:top w:val="single" w:color="auto" w:sz="2" w:space="0"/>
              <w:left w:val="single" w:color="auto" w:sz="2" w:space="0"/>
              <w:bottom w:val="single" w:color="auto" w:sz="2" w:space="0"/>
              <w:right w:val="single" w:color="auto" w:sz="2" w:space="0"/>
            </w:tcBorders>
            <w:vAlign w:val="center"/>
          </w:tcPr>
          <w:p w14:paraId="38165481">
            <w:pPr>
              <w:spacing w:line="240" w:lineRule="exact"/>
              <w:jc w:val="right"/>
              <w:rPr>
                <w:rFonts w:ascii="宋体" w:hAnsi="宋体" w:eastAsia="宋体" w:cs="宋体"/>
                <w:sz w:val="18"/>
                <w:szCs w:val="18"/>
              </w:rPr>
            </w:pPr>
            <w:r>
              <w:rPr>
                <w:rFonts w:ascii="宋体" w:hAnsi="宋体" w:eastAsia="宋体" w:cs="宋体"/>
                <w:sz w:val="18"/>
                <w:szCs w:val="18"/>
              </w:rPr>
              <w:t>103,599,444.98</w:t>
            </w:r>
          </w:p>
        </w:tc>
      </w:tr>
      <w:tr w14:paraId="46B81A1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9A5C2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客户贷款及垫款净增加额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55CF003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481E1E">
            <w:pPr>
              <w:spacing w:line="240" w:lineRule="exact"/>
              <w:jc w:val="right"/>
              <w:rPr>
                <w:rFonts w:ascii="宋体" w:hAnsi="宋体" w:eastAsia="宋体" w:cs="宋体"/>
                <w:sz w:val="18"/>
                <w:szCs w:val="18"/>
              </w:rPr>
            </w:pPr>
          </w:p>
        </w:tc>
      </w:tr>
      <w:tr w14:paraId="2AF777D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CE099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存放中央银行和同业款项净增加额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E521F3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F83B659">
            <w:pPr>
              <w:spacing w:line="240" w:lineRule="exact"/>
              <w:jc w:val="right"/>
              <w:rPr>
                <w:rFonts w:ascii="宋体" w:hAnsi="宋体" w:eastAsia="宋体" w:cs="宋体"/>
                <w:sz w:val="18"/>
                <w:szCs w:val="18"/>
              </w:rPr>
            </w:pPr>
          </w:p>
        </w:tc>
      </w:tr>
      <w:tr w14:paraId="18D4A5B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BCF7D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支付原保险合同赔付款项的现金</w:t>
            </w:r>
          </w:p>
        </w:tc>
        <w:tc>
          <w:tcPr>
            <w:tcW w:w="3213" w:type="dxa"/>
            <w:tcBorders>
              <w:top w:val="single" w:color="auto" w:sz="2" w:space="0"/>
              <w:left w:val="single" w:color="auto" w:sz="2" w:space="0"/>
              <w:bottom w:val="single" w:color="auto" w:sz="2" w:space="0"/>
              <w:right w:val="single" w:color="auto" w:sz="2" w:space="0"/>
            </w:tcBorders>
            <w:vAlign w:val="center"/>
          </w:tcPr>
          <w:p w14:paraId="567C448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85CBD3C">
            <w:pPr>
              <w:spacing w:line="240" w:lineRule="exact"/>
              <w:jc w:val="right"/>
              <w:rPr>
                <w:rFonts w:ascii="宋体" w:hAnsi="宋体" w:eastAsia="宋体" w:cs="宋体"/>
                <w:sz w:val="18"/>
                <w:szCs w:val="18"/>
              </w:rPr>
            </w:pPr>
          </w:p>
        </w:tc>
      </w:tr>
      <w:tr w14:paraId="6B0BF8D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E69F05">
            <w:pPr>
              <w:spacing w:line="240" w:lineRule="exact"/>
              <w:ind w:firstLine="180" w:firstLineChars="100"/>
              <w:rPr>
                <w:rFonts w:ascii="宋体" w:hAnsi="宋体" w:eastAsia="宋体" w:cs="宋体"/>
                <w:sz w:val="18"/>
                <w:szCs w:val="18"/>
              </w:rPr>
            </w:pPr>
            <w:r>
              <w:rPr>
                <w:rFonts w:ascii="宋体" w:hAnsi="宋体" w:eastAsia="宋体" w:cs="宋体"/>
                <w:sz w:val="18"/>
                <w:szCs w:val="18"/>
              </w:rPr>
              <w:t>拆出资金净增加额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A6F637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47FEEF">
            <w:pPr>
              <w:spacing w:line="240" w:lineRule="exact"/>
              <w:jc w:val="right"/>
              <w:rPr>
                <w:rFonts w:ascii="宋体" w:hAnsi="宋体" w:eastAsia="宋体" w:cs="宋体"/>
                <w:sz w:val="18"/>
                <w:szCs w:val="18"/>
              </w:rPr>
            </w:pPr>
          </w:p>
        </w:tc>
      </w:tr>
      <w:tr w14:paraId="6DEA4C9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55CD55">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07B31A8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0CC4E4">
            <w:pPr>
              <w:spacing w:line="240" w:lineRule="exact"/>
              <w:jc w:val="right"/>
              <w:rPr>
                <w:rFonts w:ascii="宋体" w:hAnsi="宋体" w:eastAsia="宋体" w:cs="宋体"/>
                <w:sz w:val="18"/>
                <w:szCs w:val="18"/>
              </w:rPr>
            </w:pPr>
          </w:p>
        </w:tc>
      </w:tr>
      <w:tr w14:paraId="60EBE18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89677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支付保单红利的现金</w:t>
            </w:r>
          </w:p>
        </w:tc>
        <w:tc>
          <w:tcPr>
            <w:tcW w:w="3213" w:type="dxa"/>
            <w:tcBorders>
              <w:top w:val="single" w:color="auto" w:sz="2" w:space="0"/>
              <w:left w:val="single" w:color="auto" w:sz="2" w:space="0"/>
              <w:bottom w:val="single" w:color="auto" w:sz="2" w:space="0"/>
              <w:right w:val="single" w:color="auto" w:sz="2" w:space="0"/>
            </w:tcBorders>
            <w:vAlign w:val="center"/>
          </w:tcPr>
          <w:p w14:paraId="425330F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8B8EA4">
            <w:pPr>
              <w:spacing w:line="240" w:lineRule="exact"/>
              <w:jc w:val="right"/>
              <w:rPr>
                <w:rFonts w:ascii="宋体" w:hAnsi="宋体" w:eastAsia="宋体" w:cs="宋体"/>
                <w:sz w:val="18"/>
                <w:szCs w:val="18"/>
              </w:rPr>
            </w:pPr>
          </w:p>
        </w:tc>
      </w:tr>
      <w:tr w14:paraId="2D46E34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38ABFF">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D2B444F">
            <w:pPr>
              <w:spacing w:line="240" w:lineRule="exact"/>
              <w:jc w:val="right"/>
              <w:rPr>
                <w:rFonts w:ascii="宋体" w:hAnsi="宋体" w:eastAsia="宋体" w:cs="宋体"/>
                <w:sz w:val="18"/>
                <w:szCs w:val="18"/>
              </w:rPr>
            </w:pPr>
            <w:r>
              <w:rPr>
                <w:rFonts w:ascii="宋体" w:hAnsi="宋体" w:eastAsia="宋体" w:cs="宋体"/>
                <w:sz w:val="18"/>
                <w:szCs w:val="18"/>
              </w:rPr>
              <w:t>24,196,242.10</w:t>
            </w:r>
          </w:p>
        </w:tc>
        <w:tc>
          <w:tcPr>
            <w:tcW w:w="3213" w:type="dxa"/>
            <w:tcBorders>
              <w:top w:val="single" w:color="auto" w:sz="2" w:space="0"/>
              <w:left w:val="single" w:color="auto" w:sz="2" w:space="0"/>
              <w:bottom w:val="single" w:color="auto" w:sz="2" w:space="0"/>
              <w:right w:val="single" w:color="auto" w:sz="2" w:space="0"/>
            </w:tcBorders>
            <w:vAlign w:val="center"/>
          </w:tcPr>
          <w:p w14:paraId="1FE8490B">
            <w:pPr>
              <w:spacing w:line="240" w:lineRule="exact"/>
              <w:jc w:val="right"/>
              <w:rPr>
                <w:rFonts w:ascii="宋体" w:hAnsi="宋体" w:eastAsia="宋体" w:cs="宋体"/>
                <w:sz w:val="18"/>
                <w:szCs w:val="18"/>
              </w:rPr>
            </w:pPr>
            <w:r>
              <w:rPr>
                <w:rFonts w:ascii="宋体" w:hAnsi="宋体" w:eastAsia="宋体" w:cs="宋体"/>
                <w:sz w:val="18"/>
                <w:szCs w:val="18"/>
              </w:rPr>
              <w:t>22,870,879.29</w:t>
            </w:r>
          </w:p>
        </w:tc>
      </w:tr>
      <w:tr w14:paraId="2688761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89915B">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1F9A07E2">
            <w:pPr>
              <w:spacing w:line="240" w:lineRule="exact"/>
              <w:jc w:val="right"/>
              <w:rPr>
                <w:rFonts w:ascii="宋体" w:hAnsi="宋体" w:eastAsia="宋体" w:cs="宋体"/>
                <w:sz w:val="18"/>
                <w:szCs w:val="18"/>
              </w:rPr>
            </w:pPr>
            <w:r>
              <w:rPr>
                <w:rFonts w:ascii="宋体" w:hAnsi="宋体" w:eastAsia="宋体" w:cs="宋体"/>
                <w:sz w:val="18"/>
                <w:szCs w:val="18"/>
              </w:rPr>
              <w:t>15,047,466.66</w:t>
            </w:r>
          </w:p>
        </w:tc>
        <w:tc>
          <w:tcPr>
            <w:tcW w:w="3213" w:type="dxa"/>
            <w:tcBorders>
              <w:top w:val="single" w:color="auto" w:sz="2" w:space="0"/>
              <w:left w:val="single" w:color="auto" w:sz="2" w:space="0"/>
              <w:bottom w:val="single" w:color="auto" w:sz="2" w:space="0"/>
              <w:right w:val="single" w:color="auto" w:sz="2" w:space="0"/>
            </w:tcBorders>
            <w:vAlign w:val="center"/>
          </w:tcPr>
          <w:p w14:paraId="732D28F0">
            <w:pPr>
              <w:spacing w:line="240" w:lineRule="exact"/>
              <w:jc w:val="right"/>
              <w:rPr>
                <w:rFonts w:ascii="宋体" w:hAnsi="宋体" w:eastAsia="宋体" w:cs="宋体"/>
                <w:sz w:val="18"/>
                <w:szCs w:val="18"/>
              </w:rPr>
            </w:pPr>
            <w:r>
              <w:rPr>
                <w:rFonts w:ascii="宋体" w:hAnsi="宋体" w:eastAsia="宋体" w:cs="宋体"/>
                <w:sz w:val="18"/>
                <w:szCs w:val="18"/>
              </w:rPr>
              <w:t>10,132,375.75</w:t>
            </w:r>
          </w:p>
        </w:tc>
      </w:tr>
      <w:tr w14:paraId="4CE989D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27811C">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7290FBD1">
            <w:pPr>
              <w:spacing w:line="240" w:lineRule="exact"/>
              <w:jc w:val="right"/>
              <w:rPr>
                <w:rFonts w:ascii="宋体" w:hAnsi="宋体" w:eastAsia="宋体" w:cs="宋体"/>
                <w:sz w:val="18"/>
                <w:szCs w:val="18"/>
              </w:rPr>
            </w:pPr>
            <w:r>
              <w:rPr>
                <w:rFonts w:ascii="宋体" w:hAnsi="宋体" w:eastAsia="宋体" w:cs="宋体"/>
                <w:sz w:val="18"/>
                <w:szCs w:val="18"/>
              </w:rPr>
              <w:t>16,416,228.23</w:t>
            </w:r>
          </w:p>
        </w:tc>
        <w:tc>
          <w:tcPr>
            <w:tcW w:w="3213" w:type="dxa"/>
            <w:tcBorders>
              <w:top w:val="single" w:color="auto" w:sz="2" w:space="0"/>
              <w:left w:val="single" w:color="auto" w:sz="2" w:space="0"/>
              <w:bottom w:val="single" w:color="auto" w:sz="2" w:space="0"/>
              <w:right w:val="single" w:color="auto" w:sz="2" w:space="0"/>
            </w:tcBorders>
            <w:vAlign w:val="center"/>
          </w:tcPr>
          <w:p w14:paraId="3F19694D">
            <w:pPr>
              <w:spacing w:line="240" w:lineRule="exact"/>
              <w:jc w:val="right"/>
              <w:rPr>
                <w:rFonts w:ascii="宋体" w:hAnsi="宋体" w:eastAsia="宋体" w:cs="宋体"/>
                <w:sz w:val="18"/>
                <w:szCs w:val="18"/>
              </w:rPr>
            </w:pPr>
            <w:r>
              <w:rPr>
                <w:rFonts w:ascii="宋体" w:hAnsi="宋体" w:eastAsia="宋体" w:cs="宋体"/>
                <w:sz w:val="18"/>
                <w:szCs w:val="18"/>
              </w:rPr>
              <w:t>11,296,980.35</w:t>
            </w:r>
          </w:p>
        </w:tc>
      </w:tr>
      <w:tr w14:paraId="3FD477A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5AA36D">
            <w:pPr>
              <w:spacing w:line="240" w:lineRule="exact"/>
              <w:rPr>
                <w:rFonts w:ascii="宋体" w:hAnsi="宋体" w:eastAsia="宋体" w:cs="宋体"/>
                <w:sz w:val="18"/>
                <w:szCs w:val="18"/>
              </w:rPr>
            </w:pPr>
            <w:r>
              <w:rPr>
                <w:rFonts w:ascii="宋体" w:hAnsi="宋体" w:eastAsia="宋体" w:cs="宋体"/>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4E3C52A8">
            <w:pPr>
              <w:spacing w:line="240" w:lineRule="exact"/>
              <w:jc w:val="right"/>
              <w:rPr>
                <w:rFonts w:ascii="宋体" w:hAnsi="宋体" w:eastAsia="宋体" w:cs="宋体"/>
                <w:sz w:val="18"/>
                <w:szCs w:val="18"/>
              </w:rPr>
            </w:pPr>
            <w:r>
              <w:rPr>
                <w:rFonts w:ascii="宋体" w:hAnsi="宋体" w:eastAsia="宋体" w:cs="宋体"/>
                <w:sz w:val="18"/>
                <w:szCs w:val="18"/>
              </w:rPr>
              <w:t>171,219,909.30</w:t>
            </w:r>
          </w:p>
        </w:tc>
        <w:tc>
          <w:tcPr>
            <w:tcW w:w="3213" w:type="dxa"/>
            <w:tcBorders>
              <w:top w:val="single" w:color="auto" w:sz="2" w:space="0"/>
              <w:left w:val="single" w:color="auto" w:sz="2" w:space="0"/>
              <w:bottom w:val="single" w:color="auto" w:sz="2" w:space="0"/>
              <w:right w:val="single" w:color="auto" w:sz="2" w:space="0"/>
            </w:tcBorders>
            <w:vAlign w:val="center"/>
          </w:tcPr>
          <w:p w14:paraId="7B3BCA80">
            <w:pPr>
              <w:spacing w:line="240" w:lineRule="exact"/>
              <w:jc w:val="right"/>
              <w:rPr>
                <w:rFonts w:ascii="宋体" w:hAnsi="宋体" w:eastAsia="宋体" w:cs="宋体"/>
                <w:sz w:val="18"/>
                <w:szCs w:val="18"/>
              </w:rPr>
            </w:pPr>
            <w:r>
              <w:rPr>
                <w:rFonts w:ascii="宋体" w:hAnsi="宋体" w:eastAsia="宋体" w:cs="宋体"/>
                <w:sz w:val="18"/>
                <w:szCs w:val="18"/>
              </w:rPr>
              <w:t>147,899,680.37</w:t>
            </w:r>
          </w:p>
        </w:tc>
      </w:tr>
      <w:tr w14:paraId="710A30A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000655">
            <w:pPr>
              <w:spacing w:line="240" w:lineRule="exac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7CFFC696">
            <w:pPr>
              <w:spacing w:line="240" w:lineRule="exact"/>
              <w:jc w:val="right"/>
              <w:rPr>
                <w:rFonts w:ascii="宋体" w:hAnsi="宋体" w:eastAsia="宋体" w:cs="宋体"/>
                <w:sz w:val="18"/>
                <w:szCs w:val="18"/>
              </w:rPr>
            </w:pPr>
            <w:r>
              <w:rPr>
                <w:rFonts w:ascii="宋体" w:hAnsi="宋体" w:eastAsia="宋体" w:cs="宋体"/>
                <w:sz w:val="18"/>
                <w:szCs w:val="18"/>
              </w:rPr>
              <w:t>44,117,367.06</w:t>
            </w:r>
          </w:p>
        </w:tc>
        <w:tc>
          <w:tcPr>
            <w:tcW w:w="3213" w:type="dxa"/>
            <w:tcBorders>
              <w:top w:val="single" w:color="auto" w:sz="2" w:space="0"/>
              <w:left w:val="single" w:color="auto" w:sz="2" w:space="0"/>
              <w:bottom w:val="single" w:color="auto" w:sz="2" w:space="0"/>
              <w:right w:val="single" w:color="auto" w:sz="2" w:space="0"/>
            </w:tcBorders>
            <w:vAlign w:val="center"/>
          </w:tcPr>
          <w:p w14:paraId="7B727547">
            <w:pPr>
              <w:spacing w:line="240" w:lineRule="exact"/>
              <w:jc w:val="right"/>
              <w:rPr>
                <w:rFonts w:ascii="宋体" w:hAnsi="宋体" w:eastAsia="宋体" w:cs="宋体"/>
                <w:sz w:val="18"/>
                <w:szCs w:val="18"/>
              </w:rPr>
            </w:pPr>
            <w:r>
              <w:rPr>
                <w:rFonts w:ascii="宋体" w:hAnsi="宋体" w:eastAsia="宋体" w:cs="宋体"/>
                <w:sz w:val="18"/>
                <w:szCs w:val="18"/>
              </w:rPr>
              <w:t>17,088,404.43</w:t>
            </w:r>
          </w:p>
        </w:tc>
      </w:tr>
      <w:tr w14:paraId="0175138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FA8836">
            <w:pPr>
              <w:spacing w:line="240" w:lineRule="exact"/>
              <w:rPr>
                <w:rFonts w:ascii="宋体" w:hAnsi="宋体" w:eastAsia="宋体" w:cs="宋体"/>
                <w:sz w:val="18"/>
                <w:szCs w:val="18"/>
              </w:rPr>
            </w:pPr>
            <w:r>
              <w:rPr>
                <w:rFonts w:ascii="宋体" w:hAnsi="宋体" w:eastAsia="宋体" w:cs="宋体"/>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4842F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3E55F9"/>
        </w:tc>
      </w:tr>
      <w:tr w14:paraId="72C3B47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7B660F">
            <w:pPr>
              <w:spacing w:line="240" w:lineRule="exact"/>
              <w:ind w:firstLine="180" w:firstLineChars="100"/>
              <w:rPr>
                <w:rFonts w:ascii="宋体" w:hAnsi="宋体" w:eastAsia="宋体" w:cs="宋体"/>
                <w:sz w:val="18"/>
                <w:szCs w:val="18"/>
              </w:rPr>
            </w:pPr>
            <w:r>
              <w:rPr>
                <w:rFonts w:ascii="宋体" w:hAnsi="宋体" w:eastAsia="宋体" w:cs="宋体"/>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007078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B855E3">
            <w:pPr>
              <w:spacing w:line="240" w:lineRule="exact"/>
              <w:jc w:val="right"/>
              <w:rPr>
                <w:rFonts w:ascii="宋体" w:hAnsi="宋体" w:eastAsia="宋体" w:cs="宋体"/>
                <w:sz w:val="18"/>
                <w:szCs w:val="18"/>
              </w:rPr>
            </w:pPr>
          </w:p>
        </w:tc>
      </w:tr>
      <w:tr w14:paraId="6E35838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EF87B2">
            <w:pPr>
              <w:spacing w:line="240" w:lineRule="exact"/>
              <w:ind w:firstLine="180" w:firstLineChars="100"/>
              <w:rPr>
                <w:rFonts w:ascii="宋体" w:hAnsi="宋体" w:eastAsia="宋体" w:cs="宋体"/>
                <w:sz w:val="18"/>
                <w:szCs w:val="18"/>
              </w:rPr>
            </w:pPr>
            <w:r>
              <w:rPr>
                <w:rFonts w:ascii="宋体" w:hAnsi="宋体" w:eastAsia="宋体" w:cs="宋体"/>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83591F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2D12C3">
            <w:pPr>
              <w:spacing w:line="240" w:lineRule="exact"/>
              <w:jc w:val="right"/>
              <w:rPr>
                <w:rFonts w:ascii="宋体" w:hAnsi="宋体" w:eastAsia="宋体" w:cs="宋体"/>
                <w:sz w:val="18"/>
                <w:szCs w:val="18"/>
              </w:rPr>
            </w:pPr>
          </w:p>
        </w:tc>
      </w:tr>
      <w:tr w14:paraId="1255628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02BC57">
            <w:pPr>
              <w:spacing w:line="240" w:lineRule="exact"/>
              <w:ind w:firstLine="180" w:firstLineChars="100"/>
              <w:rPr>
                <w:rFonts w:ascii="宋体" w:hAnsi="宋体" w:eastAsia="宋体" w:cs="宋体"/>
                <w:sz w:val="18"/>
                <w:szCs w:val="18"/>
              </w:rPr>
            </w:pPr>
            <w:r>
              <w:rPr>
                <w:rFonts w:ascii="宋体" w:hAnsi="宋体" w:eastAsia="宋体" w:cs="宋体"/>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02000C62">
            <w:pPr>
              <w:spacing w:line="240" w:lineRule="exact"/>
              <w:jc w:val="right"/>
              <w:rPr>
                <w:rFonts w:ascii="宋体" w:hAnsi="宋体" w:eastAsia="宋体" w:cs="宋体"/>
                <w:sz w:val="18"/>
                <w:szCs w:val="18"/>
              </w:rPr>
            </w:pPr>
            <w:r>
              <w:rPr>
                <w:rFonts w:ascii="宋体" w:hAnsi="宋体" w:eastAsia="宋体" w:cs="宋体"/>
                <w:sz w:val="18"/>
                <w:szCs w:val="18"/>
              </w:rPr>
              <w:t>40,900.00</w:t>
            </w:r>
          </w:p>
        </w:tc>
        <w:tc>
          <w:tcPr>
            <w:tcW w:w="3213" w:type="dxa"/>
            <w:tcBorders>
              <w:top w:val="single" w:color="auto" w:sz="2" w:space="0"/>
              <w:left w:val="single" w:color="auto" w:sz="2" w:space="0"/>
              <w:bottom w:val="single" w:color="auto" w:sz="2" w:space="0"/>
              <w:right w:val="single" w:color="auto" w:sz="2" w:space="0"/>
            </w:tcBorders>
            <w:vAlign w:val="center"/>
          </w:tcPr>
          <w:p w14:paraId="56E7B69C">
            <w:pPr>
              <w:spacing w:line="240" w:lineRule="exact"/>
              <w:jc w:val="right"/>
              <w:rPr>
                <w:rFonts w:ascii="宋体" w:hAnsi="宋体" w:eastAsia="宋体" w:cs="宋体"/>
                <w:sz w:val="18"/>
                <w:szCs w:val="18"/>
              </w:rPr>
            </w:pPr>
            <w:r>
              <w:rPr>
                <w:rFonts w:ascii="宋体" w:hAnsi="宋体" w:eastAsia="宋体" w:cs="宋体"/>
                <w:sz w:val="18"/>
                <w:szCs w:val="18"/>
              </w:rPr>
              <w:t>237,162.00</w:t>
            </w:r>
          </w:p>
        </w:tc>
      </w:tr>
      <w:tr w14:paraId="7538F01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B2B0EF">
            <w:pPr>
              <w:spacing w:line="240" w:lineRule="exact"/>
              <w:ind w:firstLine="180" w:firstLineChars="100"/>
              <w:rPr>
                <w:rFonts w:ascii="宋体" w:hAnsi="宋体" w:eastAsia="宋体" w:cs="宋体"/>
                <w:sz w:val="18"/>
                <w:szCs w:val="18"/>
              </w:rPr>
            </w:pPr>
            <w:r>
              <w:rPr>
                <w:rFonts w:ascii="宋体" w:hAnsi="宋体" w:eastAsia="宋体" w:cs="宋体"/>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23AA86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F5A45E9">
            <w:pPr>
              <w:spacing w:line="240" w:lineRule="exact"/>
              <w:jc w:val="right"/>
              <w:rPr>
                <w:rFonts w:ascii="宋体" w:hAnsi="宋体" w:eastAsia="宋体" w:cs="宋体"/>
                <w:sz w:val="18"/>
                <w:szCs w:val="18"/>
              </w:rPr>
            </w:pPr>
          </w:p>
        </w:tc>
      </w:tr>
      <w:tr w14:paraId="65092F5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5F39F6">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743F4E3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A932A8">
            <w:pPr>
              <w:spacing w:line="240" w:lineRule="exact"/>
              <w:jc w:val="right"/>
              <w:rPr>
                <w:rFonts w:ascii="宋体" w:hAnsi="宋体" w:eastAsia="宋体" w:cs="宋体"/>
                <w:sz w:val="18"/>
                <w:szCs w:val="18"/>
              </w:rPr>
            </w:pPr>
          </w:p>
        </w:tc>
      </w:tr>
      <w:tr w14:paraId="3E4E1A6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6B2F46">
            <w:pPr>
              <w:spacing w:line="240" w:lineRule="exact"/>
              <w:rPr>
                <w:rFonts w:ascii="宋体" w:hAnsi="宋体" w:eastAsia="宋体" w:cs="宋体"/>
                <w:sz w:val="18"/>
                <w:szCs w:val="18"/>
              </w:rPr>
            </w:pPr>
            <w:r>
              <w:rPr>
                <w:rFonts w:ascii="宋体" w:hAnsi="宋体" w:eastAsia="宋体" w:cs="宋体"/>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27014927">
            <w:pPr>
              <w:spacing w:line="240" w:lineRule="exact"/>
              <w:jc w:val="right"/>
              <w:rPr>
                <w:rFonts w:ascii="宋体" w:hAnsi="宋体" w:eastAsia="宋体" w:cs="宋体"/>
                <w:sz w:val="18"/>
                <w:szCs w:val="18"/>
              </w:rPr>
            </w:pPr>
            <w:r>
              <w:rPr>
                <w:rFonts w:ascii="宋体" w:hAnsi="宋体" w:eastAsia="宋体" w:cs="宋体"/>
                <w:sz w:val="18"/>
                <w:szCs w:val="18"/>
              </w:rPr>
              <w:t>40,900.00</w:t>
            </w:r>
          </w:p>
        </w:tc>
        <w:tc>
          <w:tcPr>
            <w:tcW w:w="3213" w:type="dxa"/>
            <w:tcBorders>
              <w:top w:val="single" w:color="auto" w:sz="2" w:space="0"/>
              <w:left w:val="single" w:color="auto" w:sz="2" w:space="0"/>
              <w:bottom w:val="single" w:color="auto" w:sz="2" w:space="0"/>
              <w:right w:val="single" w:color="auto" w:sz="2" w:space="0"/>
            </w:tcBorders>
            <w:vAlign w:val="center"/>
          </w:tcPr>
          <w:p w14:paraId="776023E6">
            <w:pPr>
              <w:spacing w:line="240" w:lineRule="exact"/>
              <w:jc w:val="right"/>
              <w:rPr>
                <w:rFonts w:ascii="宋体" w:hAnsi="宋体" w:eastAsia="宋体" w:cs="宋体"/>
                <w:sz w:val="18"/>
                <w:szCs w:val="18"/>
              </w:rPr>
            </w:pPr>
            <w:r>
              <w:rPr>
                <w:rFonts w:ascii="宋体" w:hAnsi="宋体" w:eastAsia="宋体" w:cs="宋体"/>
                <w:sz w:val="18"/>
                <w:szCs w:val="18"/>
              </w:rPr>
              <w:t>237,162.00</w:t>
            </w:r>
          </w:p>
        </w:tc>
      </w:tr>
      <w:tr w14:paraId="54A004F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56BD66">
            <w:pPr>
              <w:spacing w:line="240" w:lineRule="exact"/>
              <w:ind w:firstLine="180" w:firstLineChars="100"/>
              <w:rPr>
                <w:rFonts w:ascii="宋体" w:hAnsi="宋体" w:eastAsia="宋体" w:cs="宋体"/>
                <w:sz w:val="18"/>
                <w:szCs w:val="18"/>
              </w:rPr>
            </w:pPr>
            <w:r>
              <w:rPr>
                <w:rFonts w:ascii="宋体" w:hAnsi="宋体" w:eastAsia="宋体" w:cs="宋体"/>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BACDACD">
            <w:pPr>
              <w:spacing w:line="240" w:lineRule="exact"/>
              <w:jc w:val="right"/>
              <w:rPr>
                <w:rFonts w:ascii="宋体" w:hAnsi="宋体" w:eastAsia="宋体" w:cs="宋体"/>
                <w:sz w:val="18"/>
                <w:szCs w:val="18"/>
              </w:rPr>
            </w:pPr>
            <w:r>
              <w:rPr>
                <w:rFonts w:ascii="宋体" w:hAnsi="宋体" w:eastAsia="宋体" w:cs="宋体"/>
                <w:sz w:val="18"/>
                <w:szCs w:val="18"/>
              </w:rPr>
              <w:t>12,285,917.70</w:t>
            </w:r>
          </w:p>
        </w:tc>
        <w:tc>
          <w:tcPr>
            <w:tcW w:w="3213" w:type="dxa"/>
            <w:tcBorders>
              <w:top w:val="single" w:color="auto" w:sz="2" w:space="0"/>
              <w:left w:val="single" w:color="auto" w:sz="2" w:space="0"/>
              <w:bottom w:val="single" w:color="auto" w:sz="2" w:space="0"/>
              <w:right w:val="single" w:color="auto" w:sz="2" w:space="0"/>
            </w:tcBorders>
            <w:vAlign w:val="center"/>
          </w:tcPr>
          <w:p w14:paraId="3152E821">
            <w:pPr>
              <w:spacing w:line="240" w:lineRule="exact"/>
              <w:jc w:val="right"/>
              <w:rPr>
                <w:rFonts w:ascii="宋体" w:hAnsi="宋体" w:eastAsia="宋体" w:cs="宋体"/>
                <w:sz w:val="18"/>
                <w:szCs w:val="18"/>
              </w:rPr>
            </w:pPr>
            <w:r>
              <w:rPr>
                <w:rFonts w:ascii="宋体" w:hAnsi="宋体" w:eastAsia="宋体" w:cs="宋体"/>
                <w:sz w:val="18"/>
                <w:szCs w:val="18"/>
              </w:rPr>
              <w:t>47,303,350.44</w:t>
            </w:r>
          </w:p>
        </w:tc>
      </w:tr>
      <w:tr w14:paraId="431837B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EC574C">
            <w:pPr>
              <w:spacing w:line="240" w:lineRule="exact"/>
              <w:ind w:firstLine="180" w:firstLineChars="100"/>
              <w:rPr>
                <w:rFonts w:ascii="宋体" w:hAnsi="宋体" w:eastAsia="宋体" w:cs="宋体"/>
                <w:sz w:val="18"/>
                <w:szCs w:val="18"/>
              </w:rPr>
            </w:pPr>
            <w:r>
              <w:rPr>
                <w:rFonts w:ascii="宋体" w:hAnsi="宋体" w:eastAsia="宋体" w:cs="宋体"/>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DDBBF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813698">
            <w:pPr>
              <w:spacing w:line="240" w:lineRule="exact"/>
              <w:jc w:val="right"/>
              <w:rPr>
                <w:rFonts w:ascii="宋体" w:hAnsi="宋体" w:eastAsia="宋体" w:cs="宋体"/>
                <w:sz w:val="18"/>
                <w:szCs w:val="18"/>
              </w:rPr>
            </w:pPr>
          </w:p>
        </w:tc>
      </w:tr>
      <w:tr w14:paraId="704C60C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1E40C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质押贷款净增加额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0AA8995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107B07">
            <w:pPr>
              <w:spacing w:line="240" w:lineRule="exact"/>
              <w:jc w:val="right"/>
              <w:rPr>
                <w:rFonts w:ascii="宋体" w:hAnsi="宋体" w:eastAsia="宋体" w:cs="宋体"/>
                <w:sz w:val="18"/>
                <w:szCs w:val="18"/>
              </w:rPr>
            </w:pPr>
          </w:p>
        </w:tc>
      </w:tr>
      <w:tr w14:paraId="5581CFD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29BD10">
            <w:pPr>
              <w:spacing w:line="240" w:lineRule="exact"/>
              <w:ind w:firstLine="180" w:firstLineChars="100"/>
              <w:rPr>
                <w:rFonts w:ascii="宋体" w:hAnsi="宋体" w:eastAsia="宋体" w:cs="宋体"/>
                <w:sz w:val="18"/>
                <w:szCs w:val="18"/>
              </w:rPr>
            </w:pPr>
            <w:r>
              <w:rPr>
                <w:rFonts w:ascii="宋体" w:hAnsi="宋体" w:eastAsia="宋体" w:cs="宋体"/>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0546DD1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9D7442">
            <w:pPr>
              <w:spacing w:line="240" w:lineRule="exact"/>
              <w:jc w:val="right"/>
              <w:rPr>
                <w:rFonts w:ascii="宋体" w:hAnsi="宋体" w:eastAsia="宋体" w:cs="宋体"/>
                <w:sz w:val="18"/>
                <w:szCs w:val="18"/>
              </w:rPr>
            </w:pPr>
          </w:p>
        </w:tc>
      </w:tr>
      <w:tr w14:paraId="3511B8A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0EFFA2">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A71E13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D9BC18">
            <w:pPr>
              <w:spacing w:line="240" w:lineRule="exact"/>
              <w:jc w:val="right"/>
              <w:rPr>
                <w:rFonts w:ascii="宋体" w:hAnsi="宋体" w:eastAsia="宋体" w:cs="宋体"/>
                <w:sz w:val="18"/>
                <w:szCs w:val="18"/>
              </w:rPr>
            </w:pPr>
          </w:p>
        </w:tc>
      </w:tr>
      <w:tr w14:paraId="0D39F44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E52FD7">
            <w:pPr>
              <w:spacing w:line="240" w:lineRule="exact"/>
              <w:rPr>
                <w:rFonts w:ascii="宋体" w:hAnsi="宋体" w:eastAsia="宋体" w:cs="宋体"/>
                <w:sz w:val="18"/>
                <w:szCs w:val="18"/>
              </w:rPr>
            </w:pPr>
            <w:r>
              <w:rPr>
                <w:rFonts w:ascii="宋体" w:hAnsi="宋体" w:eastAsia="宋体" w:cs="宋体"/>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0A6910CB">
            <w:pPr>
              <w:spacing w:line="240" w:lineRule="exact"/>
              <w:jc w:val="right"/>
              <w:rPr>
                <w:rFonts w:ascii="宋体" w:hAnsi="宋体" w:eastAsia="宋体" w:cs="宋体"/>
                <w:sz w:val="18"/>
                <w:szCs w:val="18"/>
              </w:rPr>
            </w:pPr>
            <w:r>
              <w:rPr>
                <w:rFonts w:ascii="宋体" w:hAnsi="宋体" w:eastAsia="宋体" w:cs="宋体"/>
                <w:sz w:val="18"/>
                <w:szCs w:val="18"/>
              </w:rPr>
              <w:t>12,285,917.70</w:t>
            </w:r>
          </w:p>
        </w:tc>
        <w:tc>
          <w:tcPr>
            <w:tcW w:w="3213" w:type="dxa"/>
            <w:tcBorders>
              <w:top w:val="single" w:color="auto" w:sz="2" w:space="0"/>
              <w:left w:val="single" w:color="auto" w:sz="2" w:space="0"/>
              <w:bottom w:val="single" w:color="auto" w:sz="2" w:space="0"/>
              <w:right w:val="single" w:color="auto" w:sz="2" w:space="0"/>
            </w:tcBorders>
            <w:vAlign w:val="center"/>
          </w:tcPr>
          <w:p w14:paraId="7BB5EC5F">
            <w:pPr>
              <w:spacing w:line="240" w:lineRule="exact"/>
              <w:jc w:val="right"/>
              <w:rPr>
                <w:rFonts w:ascii="宋体" w:hAnsi="宋体" w:eastAsia="宋体" w:cs="宋体"/>
                <w:sz w:val="18"/>
                <w:szCs w:val="18"/>
              </w:rPr>
            </w:pPr>
            <w:r>
              <w:rPr>
                <w:rFonts w:ascii="宋体" w:hAnsi="宋体" w:eastAsia="宋体" w:cs="宋体"/>
                <w:sz w:val="18"/>
                <w:szCs w:val="18"/>
              </w:rPr>
              <w:t>47,303,350.44</w:t>
            </w:r>
          </w:p>
        </w:tc>
      </w:tr>
      <w:tr w14:paraId="53085A5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5DBDC9">
            <w:pPr>
              <w:spacing w:line="240" w:lineRule="exact"/>
              <w:rPr>
                <w:rFonts w:ascii="宋体" w:hAnsi="宋体" w:eastAsia="宋体" w:cs="宋体"/>
                <w:sz w:val="18"/>
                <w:szCs w:val="18"/>
              </w:rPr>
            </w:pPr>
            <w:r>
              <w:rPr>
                <w:rFonts w:ascii="宋体" w:hAnsi="宋体" w:eastAsia="宋体" w:cs="宋体"/>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E468802">
            <w:pPr>
              <w:spacing w:line="240" w:lineRule="exact"/>
              <w:jc w:val="right"/>
              <w:rPr>
                <w:rFonts w:ascii="宋体" w:hAnsi="宋体" w:eastAsia="宋体" w:cs="宋体"/>
                <w:sz w:val="18"/>
                <w:szCs w:val="18"/>
              </w:rPr>
            </w:pPr>
            <w:r>
              <w:rPr>
                <w:rFonts w:ascii="宋体" w:hAnsi="宋体" w:eastAsia="宋体" w:cs="宋体"/>
                <w:sz w:val="18"/>
                <w:szCs w:val="18"/>
              </w:rPr>
              <w:t>-12,245,017.70</w:t>
            </w:r>
          </w:p>
        </w:tc>
        <w:tc>
          <w:tcPr>
            <w:tcW w:w="3213" w:type="dxa"/>
            <w:tcBorders>
              <w:top w:val="single" w:color="auto" w:sz="2" w:space="0"/>
              <w:left w:val="single" w:color="auto" w:sz="2" w:space="0"/>
              <w:bottom w:val="single" w:color="auto" w:sz="2" w:space="0"/>
              <w:right w:val="single" w:color="auto" w:sz="2" w:space="0"/>
            </w:tcBorders>
            <w:vAlign w:val="center"/>
          </w:tcPr>
          <w:p w14:paraId="32DC9336">
            <w:pPr>
              <w:spacing w:line="240" w:lineRule="exact"/>
              <w:jc w:val="right"/>
              <w:rPr>
                <w:rFonts w:ascii="宋体" w:hAnsi="宋体" w:eastAsia="宋体" w:cs="宋体"/>
                <w:sz w:val="18"/>
                <w:szCs w:val="18"/>
              </w:rPr>
            </w:pPr>
            <w:r>
              <w:rPr>
                <w:rFonts w:ascii="宋体" w:hAnsi="宋体" w:eastAsia="宋体" w:cs="宋体"/>
                <w:sz w:val="18"/>
                <w:szCs w:val="18"/>
              </w:rPr>
              <w:t>-47,066,188.44</w:t>
            </w:r>
          </w:p>
        </w:tc>
      </w:tr>
      <w:tr w14:paraId="2C90B87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7E2EF2">
            <w:pPr>
              <w:spacing w:line="240" w:lineRule="exact"/>
              <w:rPr>
                <w:rFonts w:ascii="宋体" w:hAnsi="宋体" w:eastAsia="宋体" w:cs="宋体"/>
                <w:sz w:val="18"/>
                <w:szCs w:val="18"/>
              </w:rPr>
            </w:pPr>
            <w:r>
              <w:rPr>
                <w:rFonts w:ascii="宋体" w:hAnsi="宋体" w:eastAsia="宋体" w:cs="宋体"/>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DBB90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5532F5"/>
        </w:tc>
      </w:tr>
      <w:tr w14:paraId="708ED5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00C647">
            <w:pPr>
              <w:spacing w:line="240" w:lineRule="exact"/>
              <w:ind w:firstLine="180" w:firstLineChars="100"/>
              <w:rPr>
                <w:rFonts w:ascii="宋体" w:hAnsi="宋体" w:eastAsia="宋体" w:cs="宋体"/>
                <w:sz w:val="18"/>
                <w:szCs w:val="18"/>
              </w:rPr>
            </w:pPr>
            <w:r>
              <w:rPr>
                <w:rFonts w:ascii="宋体" w:hAnsi="宋体" w:eastAsia="宋体" w:cs="宋体"/>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3C37BF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779B54">
            <w:pPr>
              <w:spacing w:line="240" w:lineRule="exact"/>
              <w:jc w:val="right"/>
              <w:rPr>
                <w:rFonts w:ascii="宋体" w:hAnsi="宋体" w:eastAsia="宋体" w:cs="宋体"/>
                <w:sz w:val="18"/>
                <w:szCs w:val="18"/>
              </w:rPr>
            </w:pPr>
          </w:p>
        </w:tc>
      </w:tr>
      <w:tr w14:paraId="15C486F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97320B">
            <w:pPr>
              <w:spacing w:line="240" w:lineRule="exact"/>
              <w:ind w:firstLine="180" w:firstLineChars="100"/>
              <w:rPr>
                <w:rFonts w:ascii="宋体" w:hAnsi="宋体" w:eastAsia="宋体" w:cs="宋体"/>
                <w:sz w:val="18"/>
                <w:szCs w:val="18"/>
              </w:rPr>
            </w:pPr>
            <w:r>
              <w:rPr>
                <w:rFonts w:ascii="宋体" w:hAnsi="宋体" w:eastAsia="宋体" w:cs="宋体"/>
                <w:sz w:val="18"/>
                <w:szCs w:val="18"/>
              </w:rPr>
              <w:t>其中：子公司吸收少数股东投资收到的现金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D67A25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CBD559">
            <w:pPr>
              <w:spacing w:line="240" w:lineRule="exact"/>
              <w:jc w:val="right"/>
              <w:rPr>
                <w:rFonts w:ascii="宋体" w:hAnsi="宋体" w:eastAsia="宋体" w:cs="宋体"/>
                <w:sz w:val="18"/>
                <w:szCs w:val="18"/>
              </w:rPr>
            </w:pPr>
          </w:p>
        </w:tc>
      </w:tr>
      <w:tr w14:paraId="52451D6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7B283F">
            <w:pPr>
              <w:spacing w:line="240" w:lineRule="exact"/>
              <w:ind w:firstLine="180" w:firstLineChars="100"/>
              <w:rPr>
                <w:rFonts w:ascii="宋体" w:hAnsi="宋体" w:eastAsia="宋体" w:cs="宋体"/>
                <w:sz w:val="18"/>
                <w:szCs w:val="18"/>
              </w:rPr>
            </w:pPr>
            <w:r>
              <w:rPr>
                <w:rFonts w:ascii="宋体" w:hAnsi="宋体" w:eastAsia="宋体" w:cs="宋体"/>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22C3C34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27D5E2">
            <w:pPr>
              <w:spacing w:line="240" w:lineRule="exact"/>
              <w:jc w:val="right"/>
              <w:rPr>
                <w:rFonts w:ascii="宋体" w:hAnsi="宋体" w:eastAsia="宋体" w:cs="宋体"/>
                <w:sz w:val="18"/>
                <w:szCs w:val="18"/>
              </w:rPr>
            </w:pPr>
          </w:p>
        </w:tc>
      </w:tr>
      <w:tr w14:paraId="54191C9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871F77">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CEE08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D88CC7A">
            <w:pPr>
              <w:spacing w:line="240" w:lineRule="exact"/>
              <w:jc w:val="right"/>
              <w:rPr>
                <w:rFonts w:ascii="宋体" w:hAnsi="宋体" w:eastAsia="宋体" w:cs="宋体"/>
                <w:sz w:val="18"/>
                <w:szCs w:val="18"/>
              </w:rPr>
            </w:pPr>
          </w:p>
        </w:tc>
      </w:tr>
      <w:tr w14:paraId="0919A7D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6AB681">
            <w:pPr>
              <w:spacing w:line="240" w:lineRule="exact"/>
              <w:rPr>
                <w:rFonts w:ascii="宋体" w:hAnsi="宋体" w:eastAsia="宋体" w:cs="宋体"/>
                <w:sz w:val="18"/>
                <w:szCs w:val="18"/>
              </w:rPr>
            </w:pPr>
            <w:r>
              <w:rPr>
                <w:rFonts w:ascii="宋体" w:hAnsi="宋体" w:eastAsia="宋体" w:cs="宋体"/>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32E8510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7A1F91">
            <w:pPr>
              <w:spacing w:line="240" w:lineRule="exact"/>
              <w:jc w:val="right"/>
              <w:rPr>
                <w:rFonts w:ascii="宋体" w:hAnsi="宋体" w:eastAsia="宋体" w:cs="宋体"/>
                <w:sz w:val="18"/>
                <w:szCs w:val="18"/>
              </w:rPr>
            </w:pPr>
          </w:p>
        </w:tc>
      </w:tr>
      <w:tr w14:paraId="0F0C4EC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4986E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7C8250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425038">
            <w:pPr>
              <w:spacing w:line="240" w:lineRule="exact"/>
              <w:jc w:val="right"/>
              <w:rPr>
                <w:rFonts w:ascii="宋体" w:hAnsi="宋体" w:eastAsia="宋体" w:cs="宋体"/>
                <w:sz w:val="18"/>
                <w:szCs w:val="18"/>
              </w:rPr>
            </w:pPr>
          </w:p>
        </w:tc>
      </w:tr>
      <w:tr w14:paraId="573BC70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3731B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E7AF1E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9EFC23">
            <w:pPr>
              <w:spacing w:line="240" w:lineRule="exact"/>
              <w:jc w:val="right"/>
              <w:rPr>
                <w:rFonts w:ascii="宋体" w:hAnsi="宋体" w:eastAsia="宋体" w:cs="宋体"/>
                <w:sz w:val="18"/>
                <w:szCs w:val="18"/>
              </w:rPr>
            </w:pPr>
          </w:p>
        </w:tc>
      </w:tr>
      <w:tr w14:paraId="6C4A169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4EF1D8">
            <w:pPr>
              <w:spacing w:line="240" w:lineRule="exact"/>
              <w:ind w:firstLine="180" w:firstLineChars="100"/>
              <w:rPr>
                <w:rFonts w:ascii="宋体" w:hAnsi="宋体" w:eastAsia="宋体" w:cs="宋体"/>
                <w:sz w:val="18"/>
                <w:szCs w:val="18"/>
              </w:rPr>
            </w:pPr>
            <w:r>
              <w:rPr>
                <w:rFonts w:ascii="宋体" w:hAnsi="宋体" w:eastAsia="宋体" w:cs="宋体"/>
                <w:sz w:val="18"/>
                <w:szCs w:val="18"/>
              </w:rPr>
              <w:t>其中：子公司支付给少数股东的股利、利润</w:t>
            </w:r>
          </w:p>
        </w:tc>
        <w:tc>
          <w:tcPr>
            <w:tcW w:w="3213" w:type="dxa"/>
            <w:tcBorders>
              <w:top w:val="single" w:color="auto" w:sz="2" w:space="0"/>
              <w:left w:val="single" w:color="auto" w:sz="2" w:space="0"/>
              <w:bottom w:val="single" w:color="auto" w:sz="2" w:space="0"/>
              <w:right w:val="single" w:color="auto" w:sz="2" w:space="0"/>
            </w:tcBorders>
            <w:vAlign w:val="center"/>
          </w:tcPr>
          <w:p w14:paraId="0EA0BBF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56E989">
            <w:pPr>
              <w:spacing w:line="240" w:lineRule="exact"/>
              <w:jc w:val="right"/>
              <w:rPr>
                <w:rFonts w:ascii="宋体" w:hAnsi="宋体" w:eastAsia="宋体" w:cs="宋体"/>
                <w:sz w:val="18"/>
                <w:szCs w:val="18"/>
              </w:rPr>
            </w:pPr>
          </w:p>
        </w:tc>
      </w:tr>
      <w:tr w14:paraId="0508F36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50A4CB">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DCF042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9DED7C8">
            <w:pPr>
              <w:spacing w:line="240" w:lineRule="exact"/>
              <w:jc w:val="right"/>
              <w:rPr>
                <w:rFonts w:ascii="宋体" w:hAnsi="宋体" w:eastAsia="宋体" w:cs="宋体"/>
                <w:sz w:val="18"/>
                <w:szCs w:val="18"/>
              </w:rPr>
            </w:pPr>
            <w:r>
              <w:rPr>
                <w:rFonts w:ascii="宋体" w:hAnsi="宋体" w:eastAsia="宋体" w:cs="宋体"/>
                <w:sz w:val="18"/>
                <w:szCs w:val="18"/>
              </w:rPr>
              <w:t>6,000,000.00</w:t>
            </w:r>
          </w:p>
        </w:tc>
      </w:tr>
      <w:tr w14:paraId="372EC28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6F0898">
            <w:pPr>
              <w:spacing w:line="240" w:lineRule="exact"/>
              <w:rPr>
                <w:rFonts w:ascii="宋体" w:hAnsi="宋体" w:eastAsia="宋体" w:cs="宋体"/>
                <w:sz w:val="18"/>
                <w:szCs w:val="18"/>
              </w:rPr>
            </w:pPr>
            <w:r>
              <w:rPr>
                <w:rFonts w:ascii="宋体" w:hAnsi="宋体" w:eastAsia="宋体" w:cs="宋体"/>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15A975F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1ED71A">
            <w:pPr>
              <w:spacing w:line="240" w:lineRule="exact"/>
              <w:jc w:val="right"/>
              <w:rPr>
                <w:rFonts w:ascii="宋体" w:hAnsi="宋体" w:eastAsia="宋体" w:cs="宋体"/>
                <w:sz w:val="18"/>
                <w:szCs w:val="18"/>
              </w:rPr>
            </w:pPr>
            <w:r>
              <w:rPr>
                <w:rFonts w:ascii="宋体" w:hAnsi="宋体" w:eastAsia="宋体" w:cs="宋体"/>
                <w:sz w:val="18"/>
                <w:szCs w:val="18"/>
              </w:rPr>
              <w:t>6,000,000.00</w:t>
            </w:r>
          </w:p>
        </w:tc>
      </w:tr>
      <w:tr w14:paraId="17DD336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E9BD31">
            <w:pPr>
              <w:spacing w:line="240" w:lineRule="exact"/>
              <w:rPr>
                <w:rFonts w:ascii="宋体" w:hAnsi="宋体" w:eastAsia="宋体" w:cs="宋体"/>
                <w:sz w:val="18"/>
                <w:szCs w:val="18"/>
              </w:rPr>
            </w:pPr>
            <w:r>
              <w:rPr>
                <w:rFonts w:ascii="宋体" w:hAnsi="宋体" w:eastAsia="宋体" w:cs="宋体"/>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7D0BB5D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4C36C0">
            <w:pPr>
              <w:spacing w:line="240" w:lineRule="exact"/>
              <w:jc w:val="right"/>
              <w:rPr>
                <w:rFonts w:ascii="宋体" w:hAnsi="宋体" w:eastAsia="宋体" w:cs="宋体"/>
                <w:sz w:val="18"/>
                <w:szCs w:val="18"/>
              </w:rPr>
            </w:pPr>
            <w:r>
              <w:rPr>
                <w:rFonts w:ascii="宋体" w:hAnsi="宋体" w:eastAsia="宋体" w:cs="宋体"/>
                <w:sz w:val="18"/>
                <w:szCs w:val="18"/>
              </w:rPr>
              <w:t>-6,000,000.00</w:t>
            </w:r>
          </w:p>
        </w:tc>
      </w:tr>
      <w:tr w14:paraId="40A8EDC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09AD1E">
            <w:pPr>
              <w:spacing w:line="240" w:lineRule="exact"/>
              <w:rPr>
                <w:rFonts w:ascii="宋体" w:hAnsi="宋体" w:eastAsia="宋体" w:cs="宋体"/>
                <w:sz w:val="18"/>
                <w:szCs w:val="18"/>
              </w:rPr>
            </w:pPr>
            <w:r>
              <w:rPr>
                <w:rFonts w:ascii="宋体" w:hAnsi="宋体" w:eastAsia="宋体" w:cs="宋体"/>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3A43224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87CBF9">
            <w:pPr>
              <w:spacing w:line="240" w:lineRule="exact"/>
              <w:jc w:val="right"/>
              <w:rPr>
                <w:rFonts w:ascii="宋体" w:hAnsi="宋体" w:eastAsia="宋体" w:cs="宋体"/>
                <w:sz w:val="18"/>
                <w:szCs w:val="18"/>
              </w:rPr>
            </w:pPr>
          </w:p>
        </w:tc>
      </w:tr>
      <w:tr w14:paraId="5D4AD3E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B75286">
            <w:pPr>
              <w:spacing w:line="240" w:lineRule="exact"/>
              <w:rPr>
                <w:rFonts w:ascii="宋体" w:hAnsi="宋体" w:eastAsia="宋体" w:cs="宋体"/>
                <w:sz w:val="18"/>
                <w:szCs w:val="18"/>
              </w:rPr>
            </w:pPr>
            <w:r>
              <w:rPr>
                <w:rFonts w:ascii="宋体" w:hAnsi="宋体" w:eastAsia="宋体" w:cs="宋体"/>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2E5A6FD">
            <w:pPr>
              <w:spacing w:line="240" w:lineRule="exact"/>
              <w:jc w:val="right"/>
              <w:rPr>
                <w:rFonts w:ascii="宋体" w:hAnsi="宋体" w:eastAsia="宋体" w:cs="宋体"/>
                <w:sz w:val="18"/>
                <w:szCs w:val="18"/>
              </w:rPr>
            </w:pPr>
            <w:r>
              <w:rPr>
                <w:rFonts w:ascii="宋体" w:hAnsi="宋体" w:eastAsia="宋体" w:cs="宋体"/>
                <w:sz w:val="18"/>
                <w:szCs w:val="18"/>
              </w:rPr>
              <w:t>31,872,349.36</w:t>
            </w:r>
          </w:p>
        </w:tc>
        <w:tc>
          <w:tcPr>
            <w:tcW w:w="3213" w:type="dxa"/>
            <w:tcBorders>
              <w:top w:val="single" w:color="auto" w:sz="2" w:space="0"/>
              <w:left w:val="single" w:color="auto" w:sz="2" w:space="0"/>
              <w:bottom w:val="single" w:color="auto" w:sz="2" w:space="0"/>
              <w:right w:val="single" w:color="auto" w:sz="2" w:space="0"/>
            </w:tcBorders>
            <w:vAlign w:val="center"/>
          </w:tcPr>
          <w:p w14:paraId="2F43F640">
            <w:pPr>
              <w:spacing w:line="240" w:lineRule="exact"/>
              <w:jc w:val="right"/>
              <w:rPr>
                <w:rFonts w:ascii="宋体" w:hAnsi="宋体" w:eastAsia="宋体" w:cs="宋体"/>
                <w:sz w:val="18"/>
                <w:szCs w:val="18"/>
              </w:rPr>
            </w:pPr>
            <w:r>
              <w:rPr>
                <w:rFonts w:ascii="宋体" w:hAnsi="宋体" w:eastAsia="宋体" w:cs="宋体"/>
                <w:sz w:val="18"/>
                <w:szCs w:val="18"/>
              </w:rPr>
              <w:t>-35,977,784.01</w:t>
            </w:r>
          </w:p>
        </w:tc>
      </w:tr>
      <w:tr w14:paraId="224F791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AF6EC1">
            <w:pPr>
              <w:spacing w:line="240" w:lineRule="exact"/>
              <w:ind w:firstLine="180" w:firstLineChars="100"/>
              <w:rPr>
                <w:rFonts w:ascii="宋体" w:hAnsi="宋体" w:eastAsia="宋体" w:cs="宋体"/>
                <w:sz w:val="18"/>
                <w:szCs w:val="18"/>
              </w:rPr>
            </w:pPr>
            <w:r>
              <w:rPr>
                <w:rFonts w:ascii="宋体" w:hAnsi="宋体" w:eastAsia="宋体" w:cs="宋体"/>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573899EF">
            <w:pPr>
              <w:spacing w:line="240" w:lineRule="exact"/>
              <w:jc w:val="right"/>
              <w:rPr>
                <w:rFonts w:ascii="宋体" w:hAnsi="宋体" w:eastAsia="宋体" w:cs="宋体"/>
                <w:sz w:val="18"/>
                <w:szCs w:val="18"/>
              </w:rPr>
            </w:pPr>
            <w:r>
              <w:rPr>
                <w:rFonts w:ascii="宋体" w:hAnsi="宋体" w:eastAsia="宋体" w:cs="宋体"/>
                <w:sz w:val="18"/>
                <w:szCs w:val="18"/>
              </w:rPr>
              <w:t>544,409,358.43</w:t>
            </w:r>
          </w:p>
        </w:tc>
        <w:tc>
          <w:tcPr>
            <w:tcW w:w="3213" w:type="dxa"/>
            <w:tcBorders>
              <w:top w:val="single" w:color="auto" w:sz="2" w:space="0"/>
              <w:left w:val="single" w:color="auto" w:sz="2" w:space="0"/>
              <w:bottom w:val="single" w:color="auto" w:sz="2" w:space="0"/>
              <w:right w:val="single" w:color="auto" w:sz="2" w:space="0"/>
            </w:tcBorders>
            <w:vAlign w:val="center"/>
          </w:tcPr>
          <w:p w14:paraId="31764C07">
            <w:pPr>
              <w:spacing w:line="240" w:lineRule="exact"/>
              <w:jc w:val="right"/>
              <w:rPr>
                <w:rFonts w:ascii="宋体" w:hAnsi="宋体" w:eastAsia="宋体" w:cs="宋体"/>
                <w:sz w:val="18"/>
                <w:szCs w:val="18"/>
              </w:rPr>
            </w:pPr>
            <w:r>
              <w:rPr>
                <w:rFonts w:ascii="宋体" w:hAnsi="宋体" w:eastAsia="宋体" w:cs="宋体"/>
                <w:sz w:val="18"/>
                <w:szCs w:val="18"/>
              </w:rPr>
              <w:t>89,377,583.79</w:t>
            </w:r>
          </w:p>
        </w:tc>
      </w:tr>
      <w:tr w14:paraId="180ADCF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E54B4F">
            <w:pPr>
              <w:spacing w:line="240" w:lineRule="exact"/>
              <w:rPr>
                <w:rFonts w:ascii="宋体" w:hAnsi="宋体" w:eastAsia="宋体" w:cs="宋体"/>
                <w:sz w:val="18"/>
                <w:szCs w:val="18"/>
              </w:rPr>
            </w:pPr>
            <w:r>
              <w:rPr>
                <w:rFonts w:ascii="宋体" w:hAnsi="宋体" w:eastAsia="宋体" w:cs="宋体"/>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4086FB61">
            <w:pPr>
              <w:spacing w:line="240" w:lineRule="exact"/>
              <w:jc w:val="right"/>
              <w:rPr>
                <w:rFonts w:ascii="宋体" w:hAnsi="宋体" w:eastAsia="宋体" w:cs="宋体"/>
                <w:sz w:val="18"/>
                <w:szCs w:val="18"/>
              </w:rPr>
            </w:pPr>
            <w:r>
              <w:rPr>
                <w:rFonts w:ascii="宋体" w:hAnsi="宋体" w:eastAsia="宋体" w:cs="宋体"/>
                <w:sz w:val="18"/>
                <w:szCs w:val="18"/>
              </w:rPr>
              <w:t>576,281,707.79</w:t>
            </w:r>
          </w:p>
        </w:tc>
        <w:tc>
          <w:tcPr>
            <w:tcW w:w="3213" w:type="dxa"/>
            <w:tcBorders>
              <w:top w:val="single" w:color="auto" w:sz="2" w:space="0"/>
              <w:left w:val="single" w:color="auto" w:sz="2" w:space="0"/>
              <w:bottom w:val="single" w:color="auto" w:sz="2" w:space="0"/>
              <w:right w:val="single" w:color="auto" w:sz="2" w:space="0"/>
            </w:tcBorders>
            <w:vAlign w:val="center"/>
          </w:tcPr>
          <w:p w14:paraId="15667E60">
            <w:pPr>
              <w:spacing w:line="240" w:lineRule="exact"/>
              <w:jc w:val="right"/>
              <w:rPr>
                <w:rFonts w:ascii="宋体" w:hAnsi="宋体" w:eastAsia="宋体" w:cs="宋体"/>
                <w:sz w:val="18"/>
                <w:szCs w:val="18"/>
              </w:rPr>
            </w:pPr>
            <w:r>
              <w:rPr>
                <w:rFonts w:ascii="宋体" w:hAnsi="宋体" w:eastAsia="宋体" w:cs="宋体"/>
                <w:sz w:val="18"/>
                <w:szCs w:val="18"/>
              </w:rPr>
              <w:t>53,399,799.78</w:t>
            </w:r>
          </w:p>
        </w:tc>
      </w:tr>
    </w:tbl>
    <w:p w14:paraId="73CB3954">
      <w:pPr>
        <w:pStyle w:val="3"/>
        <w:spacing w:line="280" w:lineRule="exact"/>
        <w:jc w:val="left"/>
        <w:rPr>
          <w:rFonts w:ascii="宋体" w:hAnsi="宋体" w:cs="宋体"/>
          <w:b/>
          <w:bCs/>
        </w:rPr>
      </w:pPr>
      <w:bookmarkStart w:id="95" w:name="_Toc988984"/>
      <w:r>
        <w:rPr>
          <w:rFonts w:ascii="宋体" w:hAnsi="宋体" w:cs="宋体"/>
          <w:b/>
          <w:bCs/>
        </w:rPr>
        <w:t>6、母公司现金流量表</w:t>
      </w:r>
      <w:bookmarkEnd w:id="95"/>
    </w:p>
    <w:p w14:paraId="566350AA">
      <w:pPr>
        <w:spacing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69FFE8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A5B0E">
            <w:pPr>
              <w:spacing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2404FE">
            <w:pPr>
              <w:spacing w:line="240" w:lineRule="exact"/>
              <w:jc w:val="center"/>
              <w:rPr>
                <w:rFonts w:ascii="宋体" w:hAnsi="宋体" w:eastAsia="宋体" w:cs="宋体"/>
                <w:sz w:val="18"/>
                <w:szCs w:val="18"/>
              </w:rPr>
            </w:pPr>
            <w:r>
              <w:rPr>
                <w:rFonts w:ascii="宋体" w:hAnsi="宋体" w:eastAsia="宋体" w:cs="宋体"/>
                <w:sz w:val="18"/>
                <w:szCs w:val="18"/>
              </w:rPr>
              <w:t>2024年半年度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E08D77">
            <w:pPr>
              <w:spacing w:line="240" w:lineRule="exact"/>
              <w:jc w:val="center"/>
              <w:rPr>
                <w:rFonts w:ascii="宋体" w:hAnsi="宋体" w:eastAsia="宋体" w:cs="宋体"/>
                <w:sz w:val="18"/>
                <w:szCs w:val="18"/>
              </w:rPr>
            </w:pPr>
            <w:r>
              <w:rPr>
                <w:rFonts w:ascii="宋体" w:hAnsi="宋体" w:eastAsia="宋体" w:cs="宋体"/>
                <w:sz w:val="18"/>
                <w:szCs w:val="18"/>
              </w:rPr>
              <w:t>2023年半年度</w:t>
            </w:r>
          </w:p>
        </w:tc>
      </w:tr>
      <w:tr w14:paraId="3EFC661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F5256A">
            <w:pPr>
              <w:spacing w:line="240" w:lineRule="exact"/>
              <w:rPr>
                <w:rFonts w:ascii="宋体" w:hAnsi="宋体" w:eastAsia="宋体" w:cs="宋体"/>
                <w:sz w:val="18"/>
                <w:szCs w:val="18"/>
              </w:rPr>
            </w:pPr>
            <w:r>
              <w:rPr>
                <w:rFonts w:ascii="宋体" w:hAnsi="宋体" w:eastAsia="宋体" w:cs="宋体"/>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A9243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DED0C8"/>
        </w:tc>
      </w:tr>
      <w:tr w14:paraId="4D8D12F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E56D99">
            <w:pPr>
              <w:spacing w:line="240" w:lineRule="exact"/>
              <w:ind w:firstLine="180" w:firstLineChars="100"/>
              <w:rPr>
                <w:rFonts w:ascii="宋体" w:hAnsi="宋体" w:eastAsia="宋体" w:cs="宋体"/>
                <w:sz w:val="18"/>
                <w:szCs w:val="18"/>
              </w:rPr>
            </w:pPr>
            <w:r>
              <w:rPr>
                <w:rFonts w:ascii="宋体" w:hAnsi="宋体" w:eastAsia="宋体" w:cs="宋体"/>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43AA805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F0A69E3">
            <w:pPr>
              <w:spacing w:line="240" w:lineRule="exact"/>
              <w:jc w:val="right"/>
              <w:rPr>
                <w:rFonts w:ascii="宋体" w:hAnsi="宋体" w:eastAsia="宋体" w:cs="宋体"/>
                <w:sz w:val="18"/>
                <w:szCs w:val="18"/>
              </w:rPr>
            </w:pPr>
          </w:p>
        </w:tc>
      </w:tr>
      <w:tr w14:paraId="76D8377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1D5DFB">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59AB2E4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1AB681">
            <w:pPr>
              <w:spacing w:line="240" w:lineRule="exact"/>
              <w:jc w:val="right"/>
              <w:rPr>
                <w:rFonts w:ascii="宋体" w:hAnsi="宋体" w:eastAsia="宋体" w:cs="宋体"/>
                <w:sz w:val="18"/>
                <w:szCs w:val="18"/>
              </w:rPr>
            </w:pPr>
          </w:p>
        </w:tc>
      </w:tr>
      <w:tr w14:paraId="18BFAE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D5EBA9">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CBE9B39">
            <w:pPr>
              <w:spacing w:line="240" w:lineRule="exact"/>
              <w:jc w:val="right"/>
              <w:rPr>
                <w:rFonts w:ascii="宋体" w:hAnsi="宋体" w:eastAsia="宋体" w:cs="宋体"/>
                <w:sz w:val="18"/>
                <w:szCs w:val="18"/>
              </w:rPr>
            </w:pPr>
            <w:r>
              <w:rPr>
                <w:rFonts w:ascii="宋体" w:hAnsi="宋体" w:eastAsia="宋体" w:cs="宋体"/>
                <w:sz w:val="18"/>
                <w:szCs w:val="18"/>
              </w:rPr>
              <w:t>759,541.49</w:t>
            </w:r>
          </w:p>
        </w:tc>
        <w:tc>
          <w:tcPr>
            <w:tcW w:w="3213" w:type="dxa"/>
            <w:tcBorders>
              <w:top w:val="single" w:color="auto" w:sz="2" w:space="0"/>
              <w:left w:val="single" w:color="auto" w:sz="2" w:space="0"/>
              <w:bottom w:val="single" w:color="auto" w:sz="2" w:space="0"/>
              <w:right w:val="single" w:color="auto" w:sz="2" w:space="0"/>
            </w:tcBorders>
            <w:vAlign w:val="center"/>
          </w:tcPr>
          <w:p w14:paraId="2755919B">
            <w:pPr>
              <w:spacing w:line="240" w:lineRule="exact"/>
              <w:jc w:val="right"/>
              <w:rPr>
                <w:rFonts w:ascii="宋体" w:hAnsi="宋体" w:eastAsia="宋体" w:cs="宋体"/>
                <w:sz w:val="18"/>
                <w:szCs w:val="18"/>
              </w:rPr>
            </w:pPr>
            <w:r>
              <w:rPr>
                <w:rFonts w:ascii="宋体" w:hAnsi="宋体" w:eastAsia="宋体" w:cs="宋体"/>
                <w:sz w:val="18"/>
                <w:szCs w:val="18"/>
              </w:rPr>
              <w:t>644,173.45</w:t>
            </w:r>
          </w:p>
        </w:tc>
      </w:tr>
      <w:tr w14:paraId="2FC198F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878154">
            <w:pPr>
              <w:spacing w:line="240" w:lineRule="exact"/>
              <w:rPr>
                <w:rFonts w:ascii="宋体" w:hAnsi="宋体" w:eastAsia="宋体" w:cs="宋体"/>
                <w:sz w:val="18"/>
                <w:szCs w:val="18"/>
              </w:rPr>
            </w:pPr>
            <w:r>
              <w:rPr>
                <w:rFonts w:ascii="宋体" w:hAnsi="宋体" w:eastAsia="宋体" w:cs="宋体"/>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4579317B">
            <w:pPr>
              <w:spacing w:line="240" w:lineRule="exact"/>
              <w:jc w:val="right"/>
              <w:rPr>
                <w:rFonts w:ascii="宋体" w:hAnsi="宋体" w:eastAsia="宋体" w:cs="宋体"/>
                <w:sz w:val="18"/>
                <w:szCs w:val="18"/>
              </w:rPr>
            </w:pPr>
            <w:r>
              <w:rPr>
                <w:rFonts w:ascii="宋体" w:hAnsi="宋体" w:eastAsia="宋体" w:cs="宋体"/>
                <w:sz w:val="18"/>
                <w:szCs w:val="18"/>
              </w:rPr>
              <w:t>759,541.49</w:t>
            </w:r>
          </w:p>
        </w:tc>
        <w:tc>
          <w:tcPr>
            <w:tcW w:w="3213" w:type="dxa"/>
            <w:tcBorders>
              <w:top w:val="single" w:color="auto" w:sz="2" w:space="0"/>
              <w:left w:val="single" w:color="auto" w:sz="2" w:space="0"/>
              <w:bottom w:val="single" w:color="auto" w:sz="2" w:space="0"/>
              <w:right w:val="single" w:color="auto" w:sz="2" w:space="0"/>
            </w:tcBorders>
            <w:vAlign w:val="center"/>
          </w:tcPr>
          <w:p w14:paraId="556C1DD7">
            <w:pPr>
              <w:spacing w:line="240" w:lineRule="exact"/>
              <w:jc w:val="right"/>
              <w:rPr>
                <w:rFonts w:ascii="宋体" w:hAnsi="宋体" w:eastAsia="宋体" w:cs="宋体"/>
                <w:sz w:val="18"/>
                <w:szCs w:val="18"/>
              </w:rPr>
            </w:pPr>
            <w:r>
              <w:rPr>
                <w:rFonts w:ascii="宋体" w:hAnsi="宋体" w:eastAsia="宋体" w:cs="宋体"/>
                <w:sz w:val="18"/>
                <w:szCs w:val="18"/>
              </w:rPr>
              <w:t>644,173.45</w:t>
            </w:r>
          </w:p>
        </w:tc>
      </w:tr>
      <w:tr w14:paraId="5DA54CA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174AF3">
            <w:pPr>
              <w:spacing w:line="240" w:lineRule="exact"/>
              <w:ind w:firstLine="180" w:firstLineChars="100"/>
              <w:rPr>
                <w:rFonts w:ascii="宋体" w:hAnsi="宋体" w:eastAsia="宋体" w:cs="宋体"/>
                <w:sz w:val="18"/>
                <w:szCs w:val="18"/>
              </w:rPr>
            </w:pPr>
            <w:r>
              <w:rPr>
                <w:rFonts w:ascii="宋体" w:hAnsi="宋体" w:eastAsia="宋体" w:cs="宋体"/>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5A31DB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B82D0E">
            <w:pPr>
              <w:spacing w:line="240" w:lineRule="exact"/>
              <w:jc w:val="right"/>
              <w:rPr>
                <w:rFonts w:ascii="宋体" w:hAnsi="宋体" w:eastAsia="宋体" w:cs="宋体"/>
                <w:sz w:val="18"/>
                <w:szCs w:val="18"/>
              </w:rPr>
            </w:pPr>
          </w:p>
        </w:tc>
      </w:tr>
      <w:tr w14:paraId="043C100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7B537A">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B3E45DC">
            <w:pPr>
              <w:spacing w:line="240" w:lineRule="exact"/>
              <w:jc w:val="right"/>
              <w:rPr>
                <w:rFonts w:ascii="宋体" w:hAnsi="宋体" w:eastAsia="宋体" w:cs="宋体"/>
                <w:sz w:val="18"/>
                <w:szCs w:val="18"/>
              </w:rPr>
            </w:pPr>
            <w:r>
              <w:rPr>
                <w:rFonts w:ascii="宋体" w:hAnsi="宋体" w:eastAsia="宋体" w:cs="宋体"/>
                <w:sz w:val="18"/>
                <w:szCs w:val="18"/>
              </w:rPr>
              <w:t>729,088.40</w:t>
            </w:r>
          </w:p>
        </w:tc>
        <w:tc>
          <w:tcPr>
            <w:tcW w:w="3213" w:type="dxa"/>
            <w:tcBorders>
              <w:top w:val="single" w:color="auto" w:sz="2" w:space="0"/>
              <w:left w:val="single" w:color="auto" w:sz="2" w:space="0"/>
              <w:bottom w:val="single" w:color="auto" w:sz="2" w:space="0"/>
              <w:right w:val="single" w:color="auto" w:sz="2" w:space="0"/>
            </w:tcBorders>
            <w:vAlign w:val="center"/>
          </w:tcPr>
          <w:p w14:paraId="1F0B0142">
            <w:pPr>
              <w:spacing w:line="240" w:lineRule="exact"/>
              <w:jc w:val="right"/>
              <w:rPr>
                <w:rFonts w:ascii="宋体" w:hAnsi="宋体" w:eastAsia="宋体" w:cs="宋体"/>
                <w:sz w:val="18"/>
                <w:szCs w:val="18"/>
              </w:rPr>
            </w:pPr>
            <w:r>
              <w:rPr>
                <w:rFonts w:ascii="宋体" w:hAnsi="宋体" w:eastAsia="宋体" w:cs="宋体"/>
                <w:sz w:val="18"/>
                <w:szCs w:val="18"/>
              </w:rPr>
              <w:t>644,892.95</w:t>
            </w:r>
          </w:p>
        </w:tc>
      </w:tr>
      <w:tr w14:paraId="6457253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3FA839">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182557B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A2EC7B">
            <w:pPr>
              <w:spacing w:line="240" w:lineRule="exact"/>
              <w:jc w:val="right"/>
              <w:rPr>
                <w:rFonts w:ascii="宋体" w:hAnsi="宋体" w:eastAsia="宋体" w:cs="宋体"/>
                <w:sz w:val="18"/>
                <w:szCs w:val="18"/>
              </w:rPr>
            </w:pPr>
          </w:p>
        </w:tc>
      </w:tr>
      <w:tr w14:paraId="3F31C6E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3AA209">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A674049">
            <w:pPr>
              <w:spacing w:line="240" w:lineRule="exact"/>
              <w:jc w:val="right"/>
              <w:rPr>
                <w:rFonts w:ascii="宋体" w:hAnsi="宋体" w:eastAsia="宋体" w:cs="宋体"/>
                <w:sz w:val="18"/>
                <w:szCs w:val="18"/>
              </w:rPr>
            </w:pPr>
            <w:r>
              <w:rPr>
                <w:rFonts w:ascii="宋体" w:hAnsi="宋体" w:eastAsia="宋体" w:cs="宋体"/>
                <w:sz w:val="18"/>
                <w:szCs w:val="18"/>
              </w:rPr>
              <w:t>135,330.52</w:t>
            </w:r>
          </w:p>
        </w:tc>
        <w:tc>
          <w:tcPr>
            <w:tcW w:w="3213" w:type="dxa"/>
            <w:tcBorders>
              <w:top w:val="single" w:color="auto" w:sz="2" w:space="0"/>
              <w:left w:val="single" w:color="auto" w:sz="2" w:space="0"/>
              <w:bottom w:val="single" w:color="auto" w:sz="2" w:space="0"/>
              <w:right w:val="single" w:color="auto" w:sz="2" w:space="0"/>
            </w:tcBorders>
            <w:vAlign w:val="center"/>
          </w:tcPr>
          <w:p w14:paraId="561A04AA">
            <w:pPr>
              <w:spacing w:line="240" w:lineRule="exact"/>
              <w:jc w:val="right"/>
              <w:rPr>
                <w:rFonts w:ascii="宋体" w:hAnsi="宋体" w:eastAsia="宋体" w:cs="宋体"/>
                <w:sz w:val="18"/>
                <w:szCs w:val="18"/>
              </w:rPr>
            </w:pPr>
            <w:r>
              <w:rPr>
                <w:rFonts w:ascii="宋体" w:hAnsi="宋体" w:eastAsia="宋体" w:cs="宋体"/>
                <w:sz w:val="18"/>
                <w:szCs w:val="18"/>
              </w:rPr>
              <w:t>74,045.70</w:t>
            </w:r>
          </w:p>
        </w:tc>
      </w:tr>
      <w:tr w14:paraId="1B3F3F4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A92B6A">
            <w:pPr>
              <w:spacing w:line="240" w:lineRule="exact"/>
              <w:rPr>
                <w:rFonts w:ascii="宋体" w:hAnsi="宋体" w:eastAsia="宋体" w:cs="宋体"/>
                <w:sz w:val="18"/>
                <w:szCs w:val="18"/>
              </w:rPr>
            </w:pPr>
            <w:r>
              <w:rPr>
                <w:rFonts w:ascii="宋体" w:hAnsi="宋体" w:eastAsia="宋体" w:cs="宋体"/>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3BF37FFD">
            <w:pPr>
              <w:spacing w:line="240" w:lineRule="exact"/>
              <w:jc w:val="right"/>
              <w:rPr>
                <w:rFonts w:ascii="宋体" w:hAnsi="宋体" w:eastAsia="宋体" w:cs="宋体"/>
                <w:sz w:val="18"/>
                <w:szCs w:val="18"/>
              </w:rPr>
            </w:pPr>
            <w:r>
              <w:rPr>
                <w:rFonts w:ascii="宋体" w:hAnsi="宋体" w:eastAsia="宋体" w:cs="宋体"/>
                <w:sz w:val="18"/>
                <w:szCs w:val="18"/>
              </w:rPr>
              <w:t>864,418.92</w:t>
            </w:r>
          </w:p>
        </w:tc>
        <w:tc>
          <w:tcPr>
            <w:tcW w:w="3213" w:type="dxa"/>
            <w:tcBorders>
              <w:top w:val="single" w:color="auto" w:sz="2" w:space="0"/>
              <w:left w:val="single" w:color="auto" w:sz="2" w:space="0"/>
              <w:bottom w:val="single" w:color="auto" w:sz="2" w:space="0"/>
              <w:right w:val="single" w:color="auto" w:sz="2" w:space="0"/>
            </w:tcBorders>
            <w:vAlign w:val="center"/>
          </w:tcPr>
          <w:p w14:paraId="0781D7C4">
            <w:pPr>
              <w:spacing w:line="240" w:lineRule="exact"/>
              <w:jc w:val="right"/>
              <w:rPr>
                <w:rFonts w:ascii="宋体" w:hAnsi="宋体" w:eastAsia="宋体" w:cs="宋体"/>
                <w:sz w:val="18"/>
                <w:szCs w:val="18"/>
              </w:rPr>
            </w:pPr>
            <w:r>
              <w:rPr>
                <w:rFonts w:ascii="宋体" w:hAnsi="宋体" w:eastAsia="宋体" w:cs="宋体"/>
                <w:sz w:val="18"/>
                <w:szCs w:val="18"/>
              </w:rPr>
              <w:t>718,938.65</w:t>
            </w:r>
          </w:p>
        </w:tc>
      </w:tr>
      <w:tr w14:paraId="3CAF4F7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6BBF7D">
            <w:pPr>
              <w:spacing w:line="240" w:lineRule="exac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149E14CD">
            <w:pPr>
              <w:spacing w:line="240" w:lineRule="exact"/>
              <w:jc w:val="right"/>
              <w:rPr>
                <w:rFonts w:ascii="宋体" w:hAnsi="宋体" w:eastAsia="宋体" w:cs="宋体"/>
                <w:sz w:val="18"/>
                <w:szCs w:val="18"/>
              </w:rPr>
            </w:pPr>
            <w:r>
              <w:rPr>
                <w:rFonts w:ascii="宋体" w:hAnsi="宋体" w:eastAsia="宋体" w:cs="宋体"/>
                <w:sz w:val="18"/>
                <w:szCs w:val="18"/>
              </w:rPr>
              <w:t>-104,877.43</w:t>
            </w:r>
          </w:p>
        </w:tc>
        <w:tc>
          <w:tcPr>
            <w:tcW w:w="3213" w:type="dxa"/>
            <w:tcBorders>
              <w:top w:val="single" w:color="auto" w:sz="2" w:space="0"/>
              <w:left w:val="single" w:color="auto" w:sz="2" w:space="0"/>
              <w:bottom w:val="single" w:color="auto" w:sz="2" w:space="0"/>
              <w:right w:val="single" w:color="auto" w:sz="2" w:space="0"/>
            </w:tcBorders>
            <w:vAlign w:val="center"/>
          </w:tcPr>
          <w:p w14:paraId="0F90AFA7">
            <w:pPr>
              <w:spacing w:line="240" w:lineRule="exact"/>
              <w:jc w:val="right"/>
              <w:rPr>
                <w:rFonts w:ascii="宋体" w:hAnsi="宋体" w:eastAsia="宋体" w:cs="宋体"/>
                <w:sz w:val="18"/>
                <w:szCs w:val="18"/>
              </w:rPr>
            </w:pPr>
            <w:r>
              <w:rPr>
                <w:rFonts w:ascii="宋体" w:hAnsi="宋体" w:eastAsia="宋体" w:cs="宋体"/>
                <w:sz w:val="18"/>
                <w:szCs w:val="18"/>
              </w:rPr>
              <w:t>-74,765.20</w:t>
            </w:r>
          </w:p>
        </w:tc>
      </w:tr>
      <w:tr w14:paraId="3016415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88721B">
            <w:pPr>
              <w:spacing w:line="240" w:lineRule="exact"/>
              <w:rPr>
                <w:rFonts w:ascii="宋体" w:hAnsi="宋体" w:eastAsia="宋体" w:cs="宋体"/>
                <w:sz w:val="18"/>
                <w:szCs w:val="18"/>
              </w:rPr>
            </w:pPr>
            <w:r>
              <w:rPr>
                <w:rFonts w:ascii="宋体" w:hAnsi="宋体" w:eastAsia="宋体" w:cs="宋体"/>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8E428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9B5B9C"/>
        </w:tc>
      </w:tr>
      <w:tr w14:paraId="417E548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D5A65B">
            <w:pPr>
              <w:spacing w:line="240" w:lineRule="exact"/>
              <w:ind w:firstLine="180" w:firstLineChars="100"/>
              <w:rPr>
                <w:rFonts w:ascii="宋体" w:hAnsi="宋体" w:eastAsia="宋体" w:cs="宋体"/>
                <w:sz w:val="18"/>
                <w:szCs w:val="18"/>
              </w:rPr>
            </w:pPr>
            <w:r>
              <w:rPr>
                <w:rFonts w:ascii="宋体" w:hAnsi="宋体" w:eastAsia="宋体" w:cs="宋体"/>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F5BE5A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85DD10">
            <w:pPr>
              <w:spacing w:line="240" w:lineRule="exact"/>
              <w:jc w:val="right"/>
              <w:rPr>
                <w:rFonts w:ascii="宋体" w:hAnsi="宋体" w:eastAsia="宋体" w:cs="宋体"/>
                <w:sz w:val="18"/>
                <w:szCs w:val="18"/>
              </w:rPr>
            </w:pPr>
          </w:p>
        </w:tc>
      </w:tr>
      <w:tr w14:paraId="0CB3873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C9A5A">
            <w:pPr>
              <w:spacing w:line="240" w:lineRule="exact"/>
              <w:ind w:firstLine="180" w:firstLineChars="100"/>
              <w:rPr>
                <w:rFonts w:ascii="宋体" w:hAnsi="宋体" w:eastAsia="宋体" w:cs="宋体"/>
                <w:sz w:val="18"/>
                <w:szCs w:val="18"/>
              </w:rPr>
            </w:pPr>
            <w:r>
              <w:rPr>
                <w:rFonts w:ascii="宋体" w:hAnsi="宋体" w:eastAsia="宋体" w:cs="宋体"/>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53A3F1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9351BC">
            <w:pPr>
              <w:spacing w:line="240" w:lineRule="exact"/>
              <w:jc w:val="right"/>
              <w:rPr>
                <w:rFonts w:ascii="宋体" w:hAnsi="宋体" w:eastAsia="宋体" w:cs="宋体"/>
                <w:sz w:val="18"/>
                <w:szCs w:val="18"/>
              </w:rPr>
            </w:pPr>
          </w:p>
        </w:tc>
      </w:tr>
      <w:tr w14:paraId="63B62A5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5734CD">
            <w:pPr>
              <w:spacing w:line="240" w:lineRule="exact"/>
              <w:ind w:firstLine="180" w:firstLineChars="100"/>
              <w:rPr>
                <w:rFonts w:ascii="宋体" w:hAnsi="宋体" w:eastAsia="宋体" w:cs="宋体"/>
                <w:sz w:val="18"/>
                <w:szCs w:val="18"/>
              </w:rPr>
            </w:pPr>
            <w:r>
              <w:rPr>
                <w:rFonts w:ascii="宋体" w:hAnsi="宋体" w:eastAsia="宋体" w:cs="宋体"/>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29184E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A53384">
            <w:pPr>
              <w:spacing w:line="240" w:lineRule="exact"/>
              <w:jc w:val="right"/>
              <w:rPr>
                <w:rFonts w:ascii="宋体" w:hAnsi="宋体" w:eastAsia="宋体" w:cs="宋体"/>
                <w:sz w:val="18"/>
                <w:szCs w:val="18"/>
              </w:rPr>
            </w:pPr>
          </w:p>
        </w:tc>
      </w:tr>
      <w:tr w14:paraId="6486F42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8422B3">
            <w:pPr>
              <w:spacing w:line="240" w:lineRule="exact"/>
              <w:ind w:firstLine="180" w:firstLineChars="100"/>
              <w:rPr>
                <w:rFonts w:ascii="宋体" w:hAnsi="宋体" w:eastAsia="宋体" w:cs="宋体"/>
                <w:sz w:val="18"/>
                <w:szCs w:val="18"/>
              </w:rPr>
            </w:pPr>
            <w:r>
              <w:rPr>
                <w:rFonts w:ascii="宋体" w:hAnsi="宋体" w:eastAsia="宋体" w:cs="宋体"/>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0E3422F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2E33D4">
            <w:pPr>
              <w:spacing w:line="240" w:lineRule="exact"/>
              <w:jc w:val="right"/>
              <w:rPr>
                <w:rFonts w:ascii="宋体" w:hAnsi="宋体" w:eastAsia="宋体" w:cs="宋体"/>
                <w:sz w:val="18"/>
                <w:szCs w:val="18"/>
              </w:rPr>
            </w:pPr>
          </w:p>
        </w:tc>
      </w:tr>
      <w:tr w14:paraId="014CD74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5249FA">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77ECC2C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F926A8">
            <w:pPr>
              <w:spacing w:line="240" w:lineRule="exact"/>
              <w:jc w:val="right"/>
              <w:rPr>
                <w:rFonts w:ascii="宋体" w:hAnsi="宋体" w:eastAsia="宋体" w:cs="宋体"/>
                <w:sz w:val="18"/>
                <w:szCs w:val="18"/>
              </w:rPr>
            </w:pPr>
          </w:p>
        </w:tc>
      </w:tr>
      <w:tr w14:paraId="62EC498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EB3C8B">
            <w:pPr>
              <w:spacing w:line="240" w:lineRule="exact"/>
              <w:rPr>
                <w:rFonts w:ascii="宋体" w:hAnsi="宋体" w:eastAsia="宋体" w:cs="宋体"/>
                <w:sz w:val="18"/>
                <w:szCs w:val="18"/>
              </w:rPr>
            </w:pPr>
            <w:r>
              <w:rPr>
                <w:rFonts w:ascii="宋体" w:hAnsi="宋体" w:eastAsia="宋体" w:cs="宋体"/>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A7E8F7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452AE0F">
            <w:pPr>
              <w:spacing w:line="240" w:lineRule="exact"/>
              <w:jc w:val="right"/>
              <w:rPr>
                <w:rFonts w:ascii="宋体" w:hAnsi="宋体" w:eastAsia="宋体" w:cs="宋体"/>
                <w:sz w:val="18"/>
                <w:szCs w:val="18"/>
              </w:rPr>
            </w:pPr>
          </w:p>
        </w:tc>
      </w:tr>
      <w:tr w14:paraId="770708B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CD4584">
            <w:pPr>
              <w:spacing w:line="240" w:lineRule="exact"/>
              <w:ind w:firstLine="180" w:firstLineChars="100"/>
              <w:rPr>
                <w:rFonts w:ascii="宋体" w:hAnsi="宋体" w:eastAsia="宋体" w:cs="宋体"/>
                <w:sz w:val="18"/>
                <w:szCs w:val="18"/>
              </w:rPr>
            </w:pPr>
            <w:r>
              <w:rPr>
                <w:rFonts w:ascii="宋体" w:hAnsi="宋体" w:eastAsia="宋体" w:cs="宋体"/>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6F0966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C6786F">
            <w:pPr>
              <w:spacing w:line="240" w:lineRule="exact"/>
              <w:jc w:val="right"/>
              <w:rPr>
                <w:rFonts w:ascii="宋体" w:hAnsi="宋体" w:eastAsia="宋体" w:cs="宋体"/>
                <w:sz w:val="18"/>
                <w:szCs w:val="18"/>
              </w:rPr>
            </w:pPr>
          </w:p>
        </w:tc>
      </w:tr>
      <w:tr w14:paraId="289E5D6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E594B7">
            <w:pPr>
              <w:spacing w:line="240" w:lineRule="exact"/>
              <w:ind w:firstLine="180" w:firstLineChars="100"/>
              <w:rPr>
                <w:rFonts w:ascii="宋体" w:hAnsi="宋体" w:eastAsia="宋体" w:cs="宋体"/>
                <w:sz w:val="18"/>
                <w:szCs w:val="18"/>
              </w:rPr>
            </w:pPr>
            <w:r>
              <w:rPr>
                <w:rFonts w:ascii="宋体" w:hAnsi="宋体" w:eastAsia="宋体" w:cs="宋体"/>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9871AA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166144">
            <w:pPr>
              <w:spacing w:line="240" w:lineRule="exact"/>
              <w:jc w:val="right"/>
              <w:rPr>
                <w:rFonts w:ascii="宋体" w:hAnsi="宋体" w:eastAsia="宋体" w:cs="宋体"/>
                <w:sz w:val="18"/>
                <w:szCs w:val="18"/>
              </w:rPr>
            </w:pPr>
          </w:p>
        </w:tc>
      </w:tr>
      <w:tr w14:paraId="46AB4BE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72CB67">
            <w:pPr>
              <w:spacing w:line="240" w:lineRule="exact"/>
              <w:ind w:firstLine="180" w:firstLineChars="100"/>
              <w:rPr>
                <w:rFonts w:ascii="宋体" w:hAnsi="宋体" w:eastAsia="宋体" w:cs="宋体"/>
                <w:sz w:val="18"/>
                <w:szCs w:val="18"/>
              </w:rPr>
            </w:pPr>
            <w:r>
              <w:rPr>
                <w:rFonts w:ascii="宋体" w:hAnsi="宋体" w:eastAsia="宋体" w:cs="宋体"/>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74F2201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C5B487">
            <w:pPr>
              <w:spacing w:line="240" w:lineRule="exact"/>
              <w:jc w:val="right"/>
              <w:rPr>
                <w:rFonts w:ascii="宋体" w:hAnsi="宋体" w:eastAsia="宋体" w:cs="宋体"/>
                <w:sz w:val="18"/>
                <w:szCs w:val="18"/>
              </w:rPr>
            </w:pPr>
          </w:p>
        </w:tc>
      </w:tr>
      <w:tr w14:paraId="043C27D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8C955F">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04B21E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612E5B">
            <w:pPr>
              <w:spacing w:line="240" w:lineRule="exact"/>
              <w:jc w:val="right"/>
              <w:rPr>
                <w:rFonts w:ascii="宋体" w:hAnsi="宋体" w:eastAsia="宋体" w:cs="宋体"/>
                <w:sz w:val="18"/>
                <w:szCs w:val="18"/>
              </w:rPr>
            </w:pPr>
          </w:p>
        </w:tc>
      </w:tr>
      <w:tr w14:paraId="58B7E3D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D0065F">
            <w:pPr>
              <w:spacing w:line="240" w:lineRule="exact"/>
              <w:rPr>
                <w:rFonts w:ascii="宋体" w:hAnsi="宋体" w:eastAsia="宋体" w:cs="宋体"/>
                <w:sz w:val="18"/>
                <w:szCs w:val="18"/>
              </w:rPr>
            </w:pPr>
            <w:r>
              <w:rPr>
                <w:rFonts w:ascii="宋体" w:hAnsi="宋体" w:eastAsia="宋体" w:cs="宋体"/>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519119A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918C15">
            <w:pPr>
              <w:spacing w:line="240" w:lineRule="exact"/>
              <w:jc w:val="right"/>
              <w:rPr>
                <w:rFonts w:ascii="宋体" w:hAnsi="宋体" w:eastAsia="宋体" w:cs="宋体"/>
                <w:sz w:val="18"/>
                <w:szCs w:val="18"/>
              </w:rPr>
            </w:pPr>
          </w:p>
        </w:tc>
      </w:tr>
      <w:tr w14:paraId="5919FCF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AD4DC9">
            <w:pPr>
              <w:spacing w:line="240" w:lineRule="exact"/>
              <w:rPr>
                <w:rFonts w:ascii="宋体" w:hAnsi="宋体" w:eastAsia="宋体" w:cs="宋体"/>
                <w:sz w:val="18"/>
                <w:szCs w:val="18"/>
              </w:rPr>
            </w:pPr>
            <w:r>
              <w:rPr>
                <w:rFonts w:ascii="宋体" w:hAnsi="宋体" w:eastAsia="宋体" w:cs="宋体"/>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108DC9D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855BA8">
            <w:pPr>
              <w:spacing w:line="240" w:lineRule="exact"/>
              <w:jc w:val="right"/>
              <w:rPr>
                <w:rFonts w:ascii="宋体" w:hAnsi="宋体" w:eastAsia="宋体" w:cs="宋体"/>
                <w:sz w:val="18"/>
                <w:szCs w:val="18"/>
              </w:rPr>
            </w:pPr>
          </w:p>
        </w:tc>
      </w:tr>
      <w:tr w14:paraId="5835944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0B889E">
            <w:pPr>
              <w:spacing w:line="240" w:lineRule="exact"/>
              <w:rPr>
                <w:rFonts w:ascii="宋体" w:hAnsi="宋体" w:eastAsia="宋体" w:cs="宋体"/>
                <w:sz w:val="18"/>
                <w:szCs w:val="18"/>
              </w:rPr>
            </w:pPr>
            <w:r>
              <w:rPr>
                <w:rFonts w:ascii="宋体" w:hAnsi="宋体" w:eastAsia="宋体" w:cs="宋体"/>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850844"/>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9ADDA4"/>
        </w:tc>
      </w:tr>
      <w:tr w14:paraId="7CF3A8C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853385">
            <w:pPr>
              <w:spacing w:line="240" w:lineRule="exact"/>
              <w:ind w:firstLine="180" w:firstLineChars="100"/>
              <w:rPr>
                <w:rFonts w:ascii="宋体" w:hAnsi="宋体" w:eastAsia="宋体" w:cs="宋体"/>
                <w:sz w:val="18"/>
                <w:szCs w:val="18"/>
              </w:rPr>
            </w:pPr>
            <w:r>
              <w:rPr>
                <w:rFonts w:ascii="宋体" w:hAnsi="宋体" w:eastAsia="宋体" w:cs="宋体"/>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31627B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FF873C">
            <w:pPr>
              <w:spacing w:line="240" w:lineRule="exact"/>
              <w:jc w:val="right"/>
              <w:rPr>
                <w:rFonts w:ascii="宋体" w:hAnsi="宋体" w:eastAsia="宋体" w:cs="宋体"/>
                <w:sz w:val="18"/>
                <w:szCs w:val="18"/>
              </w:rPr>
            </w:pPr>
          </w:p>
        </w:tc>
      </w:tr>
      <w:tr w14:paraId="1D7D185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9F53B9">
            <w:pPr>
              <w:spacing w:line="240" w:lineRule="exact"/>
              <w:ind w:firstLine="180" w:firstLineChars="100"/>
              <w:rPr>
                <w:rFonts w:ascii="宋体" w:hAnsi="宋体" w:eastAsia="宋体" w:cs="宋体"/>
                <w:sz w:val="18"/>
                <w:szCs w:val="18"/>
              </w:rPr>
            </w:pPr>
            <w:r>
              <w:rPr>
                <w:rFonts w:ascii="宋体" w:hAnsi="宋体" w:eastAsia="宋体" w:cs="宋体"/>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D5B9E9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E11F5C">
            <w:pPr>
              <w:spacing w:line="240" w:lineRule="exact"/>
              <w:jc w:val="right"/>
              <w:rPr>
                <w:rFonts w:ascii="宋体" w:hAnsi="宋体" w:eastAsia="宋体" w:cs="宋体"/>
                <w:sz w:val="18"/>
                <w:szCs w:val="18"/>
              </w:rPr>
            </w:pPr>
          </w:p>
        </w:tc>
      </w:tr>
      <w:tr w14:paraId="74CF8B1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1A93B2">
            <w:pPr>
              <w:spacing w:line="240" w:lineRule="exact"/>
              <w:ind w:firstLine="180" w:firstLineChars="100"/>
              <w:rPr>
                <w:rFonts w:ascii="宋体" w:hAnsi="宋体" w:eastAsia="宋体" w:cs="宋体"/>
                <w:sz w:val="18"/>
                <w:szCs w:val="18"/>
              </w:rPr>
            </w:pPr>
            <w:r>
              <w:rPr>
                <w:rFonts w:ascii="宋体" w:hAnsi="宋体" w:eastAsia="宋体" w:cs="宋体"/>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DA0FD5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22C43F">
            <w:pPr>
              <w:spacing w:line="240" w:lineRule="exact"/>
              <w:jc w:val="right"/>
              <w:rPr>
                <w:rFonts w:ascii="宋体" w:hAnsi="宋体" w:eastAsia="宋体" w:cs="宋体"/>
                <w:sz w:val="18"/>
                <w:szCs w:val="18"/>
              </w:rPr>
            </w:pPr>
          </w:p>
        </w:tc>
      </w:tr>
      <w:tr w14:paraId="51E8D47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17C1E7">
            <w:pPr>
              <w:spacing w:line="240" w:lineRule="exact"/>
              <w:rPr>
                <w:rFonts w:ascii="宋体" w:hAnsi="宋体" w:eastAsia="宋体" w:cs="宋体"/>
                <w:sz w:val="18"/>
                <w:szCs w:val="18"/>
              </w:rPr>
            </w:pPr>
            <w:r>
              <w:rPr>
                <w:rFonts w:ascii="宋体" w:hAnsi="宋体" w:eastAsia="宋体" w:cs="宋体"/>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F769EF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BC9690">
            <w:pPr>
              <w:spacing w:line="240" w:lineRule="exact"/>
              <w:jc w:val="right"/>
              <w:rPr>
                <w:rFonts w:ascii="宋体" w:hAnsi="宋体" w:eastAsia="宋体" w:cs="宋体"/>
                <w:sz w:val="18"/>
                <w:szCs w:val="18"/>
              </w:rPr>
            </w:pPr>
          </w:p>
        </w:tc>
      </w:tr>
      <w:tr w14:paraId="4859D2E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2C0EB4">
            <w:pPr>
              <w:spacing w:line="240" w:lineRule="exact"/>
              <w:ind w:firstLine="180" w:firstLineChars="100"/>
              <w:rPr>
                <w:rFonts w:ascii="宋体" w:hAnsi="宋体" w:eastAsia="宋体" w:cs="宋体"/>
                <w:sz w:val="18"/>
                <w:szCs w:val="18"/>
              </w:rPr>
            </w:pPr>
            <w:r>
              <w:rPr>
                <w:rFonts w:ascii="宋体" w:hAnsi="宋体" w:eastAsia="宋体" w:cs="宋体"/>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13D0D0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2A505D">
            <w:pPr>
              <w:spacing w:line="240" w:lineRule="exact"/>
              <w:jc w:val="right"/>
              <w:rPr>
                <w:rFonts w:ascii="宋体" w:hAnsi="宋体" w:eastAsia="宋体" w:cs="宋体"/>
                <w:sz w:val="18"/>
                <w:szCs w:val="18"/>
              </w:rPr>
            </w:pPr>
          </w:p>
        </w:tc>
      </w:tr>
      <w:tr w14:paraId="07B2A3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FBEC70">
            <w:pPr>
              <w:spacing w:line="240" w:lineRule="exact"/>
              <w:ind w:firstLine="180" w:firstLineChars="100"/>
              <w:rPr>
                <w:rFonts w:ascii="宋体" w:hAnsi="宋体" w:eastAsia="宋体" w:cs="宋体"/>
                <w:sz w:val="18"/>
                <w:szCs w:val="18"/>
              </w:rPr>
            </w:pPr>
            <w:r>
              <w:rPr>
                <w:rFonts w:ascii="宋体" w:hAnsi="宋体" w:eastAsia="宋体" w:cs="宋体"/>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33AA515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FF497A">
            <w:pPr>
              <w:spacing w:line="240" w:lineRule="exact"/>
              <w:jc w:val="right"/>
              <w:rPr>
                <w:rFonts w:ascii="宋体" w:hAnsi="宋体" w:eastAsia="宋体" w:cs="宋体"/>
                <w:sz w:val="18"/>
                <w:szCs w:val="18"/>
              </w:rPr>
            </w:pPr>
          </w:p>
        </w:tc>
      </w:tr>
      <w:tr w14:paraId="3625B8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28688C">
            <w:pPr>
              <w:spacing w:line="240" w:lineRule="exact"/>
              <w:ind w:firstLine="180" w:firstLineChars="100"/>
              <w:rPr>
                <w:rFonts w:ascii="宋体" w:hAnsi="宋体" w:eastAsia="宋体" w:cs="宋体"/>
                <w:sz w:val="18"/>
                <w:szCs w:val="18"/>
              </w:rPr>
            </w:pPr>
            <w:r>
              <w:rPr>
                <w:rFonts w:ascii="宋体" w:hAnsi="宋体" w:eastAsia="宋体" w:cs="宋体"/>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83FBAF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F49C88">
            <w:pPr>
              <w:spacing w:line="240" w:lineRule="exact"/>
              <w:jc w:val="right"/>
              <w:rPr>
                <w:rFonts w:ascii="宋体" w:hAnsi="宋体" w:eastAsia="宋体" w:cs="宋体"/>
                <w:sz w:val="18"/>
                <w:szCs w:val="18"/>
              </w:rPr>
            </w:pPr>
          </w:p>
        </w:tc>
      </w:tr>
      <w:tr w14:paraId="3B7F470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151EE7">
            <w:pPr>
              <w:spacing w:line="240" w:lineRule="exact"/>
              <w:rPr>
                <w:rFonts w:ascii="宋体" w:hAnsi="宋体" w:eastAsia="宋体" w:cs="宋体"/>
                <w:sz w:val="18"/>
                <w:szCs w:val="18"/>
              </w:rPr>
            </w:pPr>
            <w:r>
              <w:rPr>
                <w:rFonts w:ascii="宋体" w:hAnsi="宋体" w:eastAsia="宋体" w:cs="宋体"/>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254F731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FFE84A">
            <w:pPr>
              <w:spacing w:line="240" w:lineRule="exact"/>
              <w:jc w:val="right"/>
              <w:rPr>
                <w:rFonts w:ascii="宋体" w:hAnsi="宋体" w:eastAsia="宋体" w:cs="宋体"/>
                <w:sz w:val="18"/>
                <w:szCs w:val="18"/>
              </w:rPr>
            </w:pPr>
          </w:p>
        </w:tc>
      </w:tr>
      <w:tr w14:paraId="273D5C9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D4EA54">
            <w:pPr>
              <w:spacing w:line="240" w:lineRule="exact"/>
              <w:rPr>
                <w:rFonts w:ascii="宋体" w:hAnsi="宋体" w:eastAsia="宋体" w:cs="宋体"/>
                <w:sz w:val="18"/>
                <w:szCs w:val="18"/>
              </w:rPr>
            </w:pPr>
            <w:r>
              <w:rPr>
                <w:rFonts w:ascii="宋体" w:hAnsi="宋体" w:eastAsia="宋体" w:cs="宋体"/>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2F2E6BF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F189BA">
            <w:pPr>
              <w:spacing w:line="240" w:lineRule="exact"/>
              <w:jc w:val="right"/>
              <w:rPr>
                <w:rFonts w:ascii="宋体" w:hAnsi="宋体" w:eastAsia="宋体" w:cs="宋体"/>
                <w:sz w:val="18"/>
                <w:szCs w:val="18"/>
              </w:rPr>
            </w:pPr>
          </w:p>
        </w:tc>
      </w:tr>
      <w:tr w14:paraId="13AF15B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16EE24">
            <w:pPr>
              <w:spacing w:line="240" w:lineRule="exact"/>
              <w:rPr>
                <w:rFonts w:ascii="宋体" w:hAnsi="宋体" w:eastAsia="宋体" w:cs="宋体"/>
                <w:sz w:val="18"/>
                <w:szCs w:val="18"/>
              </w:rPr>
            </w:pPr>
            <w:r>
              <w:rPr>
                <w:rFonts w:ascii="宋体" w:hAnsi="宋体" w:eastAsia="宋体" w:cs="宋体"/>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22BAC5A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3C705A">
            <w:pPr>
              <w:spacing w:line="240" w:lineRule="exact"/>
              <w:jc w:val="right"/>
              <w:rPr>
                <w:rFonts w:ascii="宋体" w:hAnsi="宋体" w:eastAsia="宋体" w:cs="宋体"/>
                <w:sz w:val="18"/>
                <w:szCs w:val="18"/>
              </w:rPr>
            </w:pPr>
          </w:p>
        </w:tc>
      </w:tr>
      <w:tr w14:paraId="539D2BD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20D57">
            <w:pPr>
              <w:spacing w:line="240" w:lineRule="exact"/>
              <w:rPr>
                <w:rFonts w:ascii="宋体" w:hAnsi="宋体" w:eastAsia="宋体" w:cs="宋体"/>
                <w:sz w:val="18"/>
                <w:szCs w:val="18"/>
              </w:rPr>
            </w:pPr>
            <w:r>
              <w:rPr>
                <w:rFonts w:ascii="宋体" w:hAnsi="宋体" w:eastAsia="宋体" w:cs="宋体"/>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01268AFE">
            <w:pPr>
              <w:spacing w:line="240" w:lineRule="exact"/>
              <w:jc w:val="right"/>
              <w:rPr>
                <w:rFonts w:ascii="宋体" w:hAnsi="宋体" w:eastAsia="宋体" w:cs="宋体"/>
                <w:sz w:val="18"/>
                <w:szCs w:val="18"/>
              </w:rPr>
            </w:pPr>
            <w:r>
              <w:rPr>
                <w:rFonts w:ascii="宋体" w:hAnsi="宋体" w:eastAsia="宋体" w:cs="宋体"/>
                <w:sz w:val="18"/>
                <w:szCs w:val="18"/>
              </w:rPr>
              <w:t>-104,877.43</w:t>
            </w:r>
          </w:p>
        </w:tc>
        <w:tc>
          <w:tcPr>
            <w:tcW w:w="3213" w:type="dxa"/>
            <w:tcBorders>
              <w:top w:val="single" w:color="auto" w:sz="2" w:space="0"/>
              <w:left w:val="single" w:color="auto" w:sz="2" w:space="0"/>
              <w:bottom w:val="single" w:color="auto" w:sz="2" w:space="0"/>
              <w:right w:val="single" w:color="auto" w:sz="2" w:space="0"/>
            </w:tcBorders>
            <w:vAlign w:val="center"/>
          </w:tcPr>
          <w:p w14:paraId="3EAED138">
            <w:pPr>
              <w:spacing w:line="240" w:lineRule="exact"/>
              <w:jc w:val="right"/>
              <w:rPr>
                <w:rFonts w:ascii="宋体" w:hAnsi="宋体" w:eastAsia="宋体" w:cs="宋体"/>
                <w:sz w:val="18"/>
                <w:szCs w:val="18"/>
              </w:rPr>
            </w:pPr>
            <w:r>
              <w:rPr>
                <w:rFonts w:ascii="宋体" w:hAnsi="宋体" w:eastAsia="宋体" w:cs="宋体"/>
                <w:sz w:val="18"/>
                <w:szCs w:val="18"/>
              </w:rPr>
              <w:t>-74,765.20</w:t>
            </w:r>
          </w:p>
        </w:tc>
      </w:tr>
      <w:tr w14:paraId="39A7FA6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A8660C">
            <w:pPr>
              <w:spacing w:line="240" w:lineRule="exact"/>
              <w:ind w:firstLine="180" w:firstLineChars="100"/>
              <w:rPr>
                <w:rFonts w:ascii="宋体" w:hAnsi="宋体" w:eastAsia="宋体" w:cs="宋体"/>
                <w:sz w:val="18"/>
                <w:szCs w:val="18"/>
              </w:rPr>
            </w:pPr>
            <w:r>
              <w:rPr>
                <w:rFonts w:ascii="宋体" w:hAnsi="宋体" w:eastAsia="宋体" w:cs="宋体"/>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0A5FAD02">
            <w:pPr>
              <w:spacing w:line="240" w:lineRule="exact"/>
              <w:jc w:val="right"/>
              <w:rPr>
                <w:rFonts w:ascii="宋体" w:hAnsi="宋体" w:eastAsia="宋体" w:cs="宋体"/>
                <w:sz w:val="18"/>
                <w:szCs w:val="18"/>
              </w:rPr>
            </w:pPr>
            <w:r>
              <w:rPr>
                <w:rFonts w:ascii="宋体" w:hAnsi="宋体" w:eastAsia="宋体" w:cs="宋体"/>
                <w:sz w:val="18"/>
                <w:szCs w:val="18"/>
              </w:rPr>
              <w:t>105,407.37</w:t>
            </w:r>
          </w:p>
        </w:tc>
        <w:tc>
          <w:tcPr>
            <w:tcW w:w="3213" w:type="dxa"/>
            <w:tcBorders>
              <w:top w:val="single" w:color="auto" w:sz="2" w:space="0"/>
              <w:left w:val="single" w:color="auto" w:sz="2" w:space="0"/>
              <w:bottom w:val="single" w:color="auto" w:sz="2" w:space="0"/>
              <w:right w:val="single" w:color="auto" w:sz="2" w:space="0"/>
            </w:tcBorders>
            <w:vAlign w:val="center"/>
          </w:tcPr>
          <w:p w14:paraId="137CE69E">
            <w:pPr>
              <w:spacing w:line="240" w:lineRule="exact"/>
              <w:jc w:val="right"/>
              <w:rPr>
                <w:rFonts w:ascii="宋体" w:hAnsi="宋体" w:eastAsia="宋体" w:cs="宋体"/>
                <w:sz w:val="18"/>
                <w:szCs w:val="18"/>
              </w:rPr>
            </w:pPr>
            <w:r>
              <w:rPr>
                <w:rFonts w:ascii="宋体" w:hAnsi="宋体" w:eastAsia="宋体" w:cs="宋体"/>
                <w:sz w:val="18"/>
                <w:szCs w:val="18"/>
              </w:rPr>
              <w:t>75,169.40</w:t>
            </w:r>
          </w:p>
        </w:tc>
      </w:tr>
      <w:tr w14:paraId="0C4EE24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3E8521">
            <w:pPr>
              <w:spacing w:line="240" w:lineRule="exact"/>
              <w:rPr>
                <w:rFonts w:ascii="宋体" w:hAnsi="宋体" w:eastAsia="宋体" w:cs="宋体"/>
                <w:sz w:val="18"/>
                <w:szCs w:val="18"/>
              </w:rPr>
            </w:pPr>
            <w:r>
              <w:rPr>
                <w:rFonts w:ascii="宋体" w:hAnsi="宋体" w:eastAsia="宋体" w:cs="宋体"/>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05862DEA">
            <w:pPr>
              <w:spacing w:line="240" w:lineRule="exact"/>
              <w:jc w:val="right"/>
              <w:rPr>
                <w:rFonts w:ascii="宋体" w:hAnsi="宋体" w:eastAsia="宋体" w:cs="宋体"/>
                <w:sz w:val="18"/>
                <w:szCs w:val="18"/>
              </w:rPr>
            </w:pPr>
            <w:r>
              <w:rPr>
                <w:rFonts w:ascii="宋体" w:hAnsi="宋体" w:eastAsia="宋体" w:cs="宋体"/>
                <w:sz w:val="18"/>
                <w:szCs w:val="18"/>
              </w:rPr>
              <w:t>529.94</w:t>
            </w:r>
          </w:p>
        </w:tc>
        <w:tc>
          <w:tcPr>
            <w:tcW w:w="3213" w:type="dxa"/>
            <w:tcBorders>
              <w:top w:val="single" w:color="auto" w:sz="2" w:space="0"/>
              <w:left w:val="single" w:color="auto" w:sz="2" w:space="0"/>
              <w:bottom w:val="single" w:color="auto" w:sz="2" w:space="0"/>
              <w:right w:val="single" w:color="auto" w:sz="2" w:space="0"/>
            </w:tcBorders>
            <w:vAlign w:val="center"/>
          </w:tcPr>
          <w:p w14:paraId="079C2548">
            <w:pPr>
              <w:spacing w:line="240" w:lineRule="exact"/>
              <w:jc w:val="right"/>
              <w:rPr>
                <w:rFonts w:ascii="宋体" w:hAnsi="宋体" w:eastAsia="宋体" w:cs="宋体"/>
                <w:sz w:val="18"/>
                <w:szCs w:val="18"/>
              </w:rPr>
            </w:pPr>
            <w:r>
              <w:rPr>
                <w:rFonts w:ascii="宋体" w:hAnsi="宋体" w:eastAsia="宋体" w:cs="宋体"/>
                <w:sz w:val="18"/>
                <w:szCs w:val="18"/>
              </w:rPr>
              <w:t>404.20</w:t>
            </w:r>
          </w:p>
        </w:tc>
      </w:tr>
    </w:tbl>
    <w:p w14:paraId="494B43DD">
      <w:pPr>
        <w:pStyle w:val="3"/>
        <w:spacing w:line="280" w:lineRule="exact"/>
        <w:jc w:val="left"/>
        <w:rPr>
          <w:rFonts w:ascii="宋体" w:hAnsi="宋体" w:cs="宋体"/>
          <w:b/>
          <w:bCs/>
        </w:rPr>
      </w:pPr>
      <w:bookmarkStart w:id="96" w:name="_Toc988985"/>
      <w:r>
        <w:rPr>
          <w:rFonts w:ascii="宋体" w:hAnsi="宋体" w:cs="宋体"/>
          <w:b/>
          <w:bCs/>
        </w:rPr>
        <w:t>7、合并所有者权益变动表</w:t>
      </w:r>
      <w:bookmarkEnd w:id="96"/>
    </w:p>
    <w:p w14:paraId="6777441C">
      <w:pPr>
        <w:spacing w:before="100" w:after="100" w:line="240" w:lineRule="exact"/>
        <w:rPr>
          <w:rFonts w:ascii="宋体" w:hAnsi="宋体" w:eastAsia="宋体" w:cs="宋体"/>
          <w:sz w:val="18"/>
          <w:szCs w:val="18"/>
        </w:rPr>
      </w:pPr>
      <w:r>
        <w:rPr>
          <w:rFonts w:ascii="宋体" w:hAnsi="宋体" w:eastAsia="宋体" w:cs="宋体"/>
          <w:sz w:val="18"/>
          <w:szCs w:val="18"/>
        </w:rPr>
        <w:t>本期金额</w:t>
      </w:r>
    </w:p>
    <w:p w14:paraId="657CC34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98"/>
        <w:gridCol w:w="562"/>
        <w:gridCol w:w="562"/>
        <w:gridCol w:w="562"/>
        <w:gridCol w:w="562"/>
        <w:gridCol w:w="563"/>
        <w:gridCol w:w="563"/>
        <w:gridCol w:w="563"/>
        <w:gridCol w:w="563"/>
        <w:gridCol w:w="563"/>
        <w:gridCol w:w="563"/>
        <w:gridCol w:w="563"/>
        <w:gridCol w:w="563"/>
        <w:gridCol w:w="563"/>
        <w:gridCol w:w="563"/>
        <w:gridCol w:w="563"/>
      </w:tblGrid>
      <w:tr w14:paraId="3F361CA8">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5D7F1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439"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63E0B96B">
            <w:pPr>
              <w:spacing w:before="40" w:after="40" w:line="240" w:lineRule="exact"/>
              <w:jc w:val="center"/>
              <w:rPr>
                <w:rFonts w:ascii="宋体" w:hAnsi="宋体" w:eastAsia="宋体" w:cs="宋体"/>
                <w:sz w:val="18"/>
                <w:szCs w:val="18"/>
              </w:rPr>
            </w:pPr>
            <w:r>
              <w:rPr>
                <w:rFonts w:ascii="宋体" w:hAnsi="宋体" w:eastAsia="宋体" w:cs="宋体"/>
                <w:sz w:val="18"/>
                <w:szCs w:val="18"/>
              </w:rPr>
              <w:t>2024年半年度</w:t>
            </w:r>
          </w:p>
        </w:tc>
      </w:tr>
      <w:tr w14:paraId="19EAD053">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F62A42"/>
        </w:tc>
        <w:tc>
          <w:tcPr>
            <w:tcW w:w="7314"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13BFD58F">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708F8A">
            <w:pPr>
              <w:spacing w:before="40" w:after="40" w:line="0" w:lineRule="atLeast"/>
              <w:jc w:val="center"/>
              <w:rPr>
                <w:rFonts w:ascii="宋体" w:hAnsi="宋体" w:eastAsia="宋体" w:cs="宋体"/>
                <w:sz w:val="18"/>
                <w:szCs w:val="18"/>
              </w:rPr>
            </w:pPr>
            <w:r>
              <w:rPr>
                <w:rFonts w:ascii="宋体" w:hAnsi="宋体" w:eastAsia="宋体" w:cs="宋体"/>
                <w:sz w:val="18"/>
                <w:szCs w:val="18"/>
              </w:rPr>
              <w:t>少数股东权益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63F6AA4">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7EF4A846">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46C336"/>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BBDE43">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1688"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34A7C8A">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98AFEC">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BA1B8E3">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3ED999">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2E833F">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6DD85D">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121E69">
            <w:pPr>
              <w:spacing w:before="40" w:after="40" w:line="240" w:lineRule="exact"/>
              <w:jc w:val="center"/>
              <w:rPr>
                <w:rFonts w:ascii="宋体" w:hAnsi="宋体" w:eastAsia="宋体" w:cs="宋体"/>
                <w:sz w:val="18"/>
                <w:szCs w:val="18"/>
              </w:rPr>
            </w:pPr>
            <w:r>
              <w:rPr>
                <w:rFonts w:ascii="宋体" w:hAnsi="宋体" w:eastAsia="宋体" w:cs="宋体"/>
                <w:sz w:val="18"/>
                <w:szCs w:val="18"/>
              </w:rPr>
              <w:t>一般风险准备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256595">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B6CAE4">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92446D">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57DAE5"/>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175601B"/>
        </w:tc>
      </w:tr>
      <w:tr w14:paraId="5919B10C">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AE875AD"/>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2F72539"/>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2E5BB81A">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0FB2805C">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4DF304C4">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F0AA7A5"/>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CE59FA"/>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5EC188"/>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5F3365F5"/>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DB42E4"/>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A20B54"/>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9981F0"/>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E1AA7A8"/>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9EBF34"/>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1A32AA"/>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167880"/>
        </w:tc>
      </w:tr>
      <w:tr w14:paraId="043E319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9A9FE70">
            <w:pPr>
              <w:spacing w:before="40" w:after="40" w:line="240" w:lineRule="exact"/>
              <w:rPr>
                <w:rFonts w:ascii="宋体" w:hAnsi="宋体" w:eastAsia="宋体" w:cs="宋体"/>
                <w:sz w:val="18"/>
                <w:szCs w:val="18"/>
              </w:rPr>
            </w:pPr>
            <w:r>
              <w:rPr>
                <w:rFonts w:ascii="宋体" w:hAnsi="宋体" w:eastAsia="宋体" w:cs="宋体"/>
                <w:sz w:val="18"/>
                <w:szCs w:val="18"/>
              </w:rPr>
              <w:t>一、上年期末余额</w:t>
            </w:r>
          </w:p>
        </w:tc>
        <w:tc>
          <w:tcPr>
            <w:tcW w:w="563" w:type="dxa"/>
            <w:tcBorders>
              <w:top w:val="single" w:color="auto" w:sz="2" w:space="0"/>
              <w:left w:val="single" w:color="auto" w:sz="2" w:space="0"/>
              <w:bottom w:val="single" w:color="auto" w:sz="2" w:space="0"/>
              <w:right w:val="single" w:color="auto" w:sz="2" w:space="0"/>
            </w:tcBorders>
            <w:vAlign w:val="center"/>
          </w:tcPr>
          <w:p w14:paraId="1992E9CE">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563" w:type="dxa"/>
            <w:tcBorders>
              <w:top w:val="single" w:color="auto" w:sz="2" w:space="0"/>
              <w:left w:val="single" w:color="auto" w:sz="2" w:space="0"/>
              <w:bottom w:val="single" w:color="auto" w:sz="2" w:space="0"/>
              <w:right w:val="single" w:color="auto" w:sz="2" w:space="0"/>
            </w:tcBorders>
            <w:vAlign w:val="center"/>
          </w:tcPr>
          <w:p w14:paraId="3420328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3ED20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0B91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E0C330">
            <w:pPr>
              <w:spacing w:line="240" w:lineRule="exact"/>
              <w:jc w:val="right"/>
              <w:rPr>
                <w:rFonts w:ascii="宋体" w:hAnsi="宋体" w:eastAsia="宋体" w:cs="宋体"/>
                <w:sz w:val="18"/>
                <w:szCs w:val="18"/>
              </w:rPr>
            </w:pPr>
            <w:r>
              <w:rPr>
                <w:rFonts w:ascii="宋体" w:hAnsi="宋体" w:eastAsia="宋体" w:cs="宋体"/>
                <w:sz w:val="18"/>
                <w:szCs w:val="18"/>
              </w:rPr>
              <w:t>213,840,428.27</w:t>
            </w:r>
          </w:p>
        </w:tc>
        <w:tc>
          <w:tcPr>
            <w:tcW w:w="563" w:type="dxa"/>
            <w:tcBorders>
              <w:top w:val="single" w:color="auto" w:sz="2" w:space="0"/>
              <w:left w:val="single" w:color="auto" w:sz="2" w:space="0"/>
              <w:bottom w:val="single" w:color="auto" w:sz="2" w:space="0"/>
              <w:right w:val="single" w:color="auto" w:sz="2" w:space="0"/>
            </w:tcBorders>
            <w:vAlign w:val="center"/>
          </w:tcPr>
          <w:p w14:paraId="0EACCF6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9D300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49652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BB2BE4">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563" w:type="dxa"/>
            <w:tcBorders>
              <w:top w:val="single" w:color="auto" w:sz="2" w:space="0"/>
              <w:left w:val="single" w:color="auto" w:sz="2" w:space="0"/>
              <w:bottom w:val="single" w:color="auto" w:sz="2" w:space="0"/>
              <w:right w:val="single" w:color="auto" w:sz="2" w:space="0"/>
            </w:tcBorders>
            <w:vAlign w:val="center"/>
          </w:tcPr>
          <w:p w14:paraId="388F9AA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2DB84F">
            <w:pPr>
              <w:spacing w:line="240" w:lineRule="exact"/>
              <w:jc w:val="right"/>
              <w:rPr>
                <w:rFonts w:ascii="宋体" w:hAnsi="宋体" w:eastAsia="宋体" w:cs="宋体"/>
                <w:sz w:val="18"/>
                <w:szCs w:val="18"/>
              </w:rPr>
            </w:pPr>
            <w:r>
              <w:rPr>
                <w:rFonts w:ascii="宋体" w:hAnsi="宋体" w:eastAsia="宋体" w:cs="宋体"/>
                <w:sz w:val="18"/>
                <w:szCs w:val="18"/>
              </w:rPr>
              <w:t>-435,210,845.71</w:t>
            </w:r>
          </w:p>
        </w:tc>
        <w:tc>
          <w:tcPr>
            <w:tcW w:w="563" w:type="dxa"/>
            <w:tcBorders>
              <w:top w:val="single" w:color="auto" w:sz="2" w:space="0"/>
              <w:left w:val="single" w:color="auto" w:sz="2" w:space="0"/>
              <w:bottom w:val="single" w:color="auto" w:sz="2" w:space="0"/>
              <w:right w:val="single" w:color="auto" w:sz="2" w:space="0"/>
            </w:tcBorders>
            <w:vAlign w:val="center"/>
          </w:tcPr>
          <w:p w14:paraId="0D04AA4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046DB0">
            <w:pPr>
              <w:spacing w:line="240" w:lineRule="exact"/>
              <w:jc w:val="right"/>
              <w:rPr>
                <w:rFonts w:ascii="宋体" w:hAnsi="宋体" w:eastAsia="宋体" w:cs="宋体"/>
                <w:sz w:val="18"/>
                <w:szCs w:val="18"/>
              </w:rPr>
            </w:pPr>
            <w:r>
              <w:rPr>
                <w:rFonts w:ascii="宋体" w:hAnsi="宋体" w:eastAsia="宋体" w:cs="宋体"/>
                <w:sz w:val="18"/>
                <w:szCs w:val="18"/>
              </w:rPr>
              <w:t>111,613,159.83</w:t>
            </w:r>
          </w:p>
        </w:tc>
        <w:tc>
          <w:tcPr>
            <w:tcW w:w="563" w:type="dxa"/>
            <w:tcBorders>
              <w:top w:val="single" w:color="auto" w:sz="2" w:space="0"/>
              <w:left w:val="single" w:color="auto" w:sz="2" w:space="0"/>
              <w:bottom w:val="single" w:color="auto" w:sz="2" w:space="0"/>
              <w:right w:val="single" w:color="auto" w:sz="2" w:space="0"/>
            </w:tcBorders>
            <w:vAlign w:val="center"/>
          </w:tcPr>
          <w:p w14:paraId="4FF0A5E5">
            <w:pPr>
              <w:spacing w:line="240" w:lineRule="exact"/>
              <w:jc w:val="right"/>
              <w:rPr>
                <w:rFonts w:ascii="宋体" w:hAnsi="宋体" w:eastAsia="宋体" w:cs="宋体"/>
                <w:sz w:val="18"/>
                <w:szCs w:val="18"/>
              </w:rPr>
            </w:pPr>
            <w:r>
              <w:rPr>
                <w:rFonts w:ascii="宋体" w:hAnsi="宋体" w:eastAsia="宋体" w:cs="宋体"/>
                <w:sz w:val="18"/>
                <w:szCs w:val="18"/>
              </w:rPr>
              <w:t>438,512,486.81</w:t>
            </w:r>
          </w:p>
        </w:tc>
        <w:tc>
          <w:tcPr>
            <w:tcW w:w="563" w:type="dxa"/>
            <w:tcBorders>
              <w:top w:val="single" w:color="auto" w:sz="2" w:space="0"/>
              <w:left w:val="single" w:color="auto" w:sz="2" w:space="0"/>
              <w:bottom w:val="single" w:color="auto" w:sz="2" w:space="0"/>
              <w:right w:val="single" w:color="auto" w:sz="2" w:space="0"/>
            </w:tcBorders>
            <w:vAlign w:val="center"/>
          </w:tcPr>
          <w:p w14:paraId="5E191B6E">
            <w:pPr>
              <w:spacing w:line="240" w:lineRule="exact"/>
              <w:jc w:val="right"/>
              <w:rPr>
                <w:rFonts w:ascii="宋体" w:hAnsi="宋体" w:eastAsia="宋体" w:cs="宋体"/>
                <w:sz w:val="18"/>
                <w:szCs w:val="18"/>
              </w:rPr>
            </w:pPr>
            <w:r>
              <w:rPr>
                <w:rFonts w:ascii="宋体" w:hAnsi="宋体" w:eastAsia="宋体" w:cs="宋体"/>
                <w:sz w:val="18"/>
                <w:szCs w:val="18"/>
              </w:rPr>
              <w:t>550,125,646.64</w:t>
            </w:r>
          </w:p>
        </w:tc>
      </w:tr>
      <w:tr w14:paraId="2FC4F94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1022807">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加：会计政策变更</w:t>
            </w:r>
          </w:p>
        </w:tc>
        <w:tc>
          <w:tcPr>
            <w:tcW w:w="563" w:type="dxa"/>
            <w:tcBorders>
              <w:top w:val="single" w:color="auto" w:sz="2" w:space="0"/>
              <w:left w:val="single" w:color="auto" w:sz="2" w:space="0"/>
              <w:bottom w:val="single" w:color="auto" w:sz="2" w:space="0"/>
              <w:right w:val="single" w:color="auto" w:sz="2" w:space="0"/>
            </w:tcBorders>
            <w:vAlign w:val="center"/>
          </w:tcPr>
          <w:p w14:paraId="2AC6862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14AE4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6EB12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8F43C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288AA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5CF71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7F60C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B09A1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136E0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717D2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DC17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87992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0C6CA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5B10E9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88D0F4">
            <w:pPr>
              <w:spacing w:line="240" w:lineRule="exact"/>
              <w:jc w:val="right"/>
              <w:rPr>
                <w:rFonts w:ascii="宋体" w:hAnsi="宋体" w:eastAsia="宋体" w:cs="宋体"/>
                <w:sz w:val="18"/>
                <w:szCs w:val="18"/>
              </w:rPr>
            </w:pPr>
          </w:p>
        </w:tc>
      </w:tr>
      <w:tr w14:paraId="52BACA1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29C146D">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前期差错更正</w:t>
            </w:r>
          </w:p>
        </w:tc>
        <w:tc>
          <w:tcPr>
            <w:tcW w:w="563" w:type="dxa"/>
            <w:tcBorders>
              <w:top w:val="single" w:color="auto" w:sz="2" w:space="0"/>
              <w:left w:val="single" w:color="auto" w:sz="2" w:space="0"/>
              <w:bottom w:val="single" w:color="auto" w:sz="2" w:space="0"/>
              <w:right w:val="single" w:color="auto" w:sz="2" w:space="0"/>
            </w:tcBorders>
            <w:vAlign w:val="center"/>
          </w:tcPr>
          <w:p w14:paraId="28C8683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5234C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BED43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DFFE6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2E6BC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E9DFB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38B70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D1E32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03383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8F630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D7CCD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DAACF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29B38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D9264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9F0CCC">
            <w:pPr>
              <w:spacing w:line="240" w:lineRule="exact"/>
              <w:jc w:val="right"/>
              <w:rPr>
                <w:rFonts w:ascii="宋体" w:hAnsi="宋体" w:eastAsia="宋体" w:cs="宋体"/>
                <w:sz w:val="18"/>
                <w:szCs w:val="18"/>
              </w:rPr>
            </w:pPr>
          </w:p>
        </w:tc>
      </w:tr>
      <w:tr w14:paraId="4D8EDF0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2E8E332">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其他</w:t>
            </w:r>
          </w:p>
        </w:tc>
        <w:tc>
          <w:tcPr>
            <w:tcW w:w="563" w:type="dxa"/>
            <w:tcBorders>
              <w:top w:val="single" w:color="auto" w:sz="2" w:space="0"/>
              <w:left w:val="single" w:color="auto" w:sz="2" w:space="0"/>
              <w:bottom w:val="single" w:color="auto" w:sz="2" w:space="0"/>
              <w:right w:val="single" w:color="auto" w:sz="2" w:space="0"/>
            </w:tcBorders>
            <w:vAlign w:val="center"/>
          </w:tcPr>
          <w:p w14:paraId="1B60F08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F7113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5CB6C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DD194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1EC37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3D284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3E543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311BC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0315F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6F079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83EC2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08418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C6C75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D917C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725E0C">
            <w:pPr>
              <w:spacing w:line="240" w:lineRule="exact"/>
              <w:jc w:val="right"/>
              <w:rPr>
                <w:rFonts w:ascii="宋体" w:hAnsi="宋体" w:eastAsia="宋体" w:cs="宋体"/>
                <w:sz w:val="18"/>
                <w:szCs w:val="18"/>
              </w:rPr>
            </w:pPr>
          </w:p>
        </w:tc>
      </w:tr>
      <w:tr w14:paraId="771F94CB">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0E11BC">
            <w:pPr>
              <w:spacing w:before="40" w:after="40" w:line="240" w:lineRule="exact"/>
              <w:rPr>
                <w:rFonts w:ascii="宋体" w:hAnsi="宋体" w:eastAsia="宋体" w:cs="宋体"/>
                <w:sz w:val="18"/>
                <w:szCs w:val="18"/>
              </w:rPr>
            </w:pPr>
            <w:r>
              <w:rPr>
                <w:rFonts w:ascii="宋体" w:hAnsi="宋体" w:eastAsia="宋体" w:cs="宋体"/>
                <w:sz w:val="18"/>
                <w:szCs w:val="18"/>
              </w:rPr>
              <w:t>二、本年期初余额</w:t>
            </w:r>
          </w:p>
        </w:tc>
        <w:tc>
          <w:tcPr>
            <w:tcW w:w="563" w:type="dxa"/>
            <w:tcBorders>
              <w:top w:val="single" w:color="auto" w:sz="2" w:space="0"/>
              <w:left w:val="single" w:color="auto" w:sz="2" w:space="0"/>
              <w:bottom w:val="single" w:color="auto" w:sz="2" w:space="0"/>
              <w:right w:val="single" w:color="auto" w:sz="2" w:space="0"/>
            </w:tcBorders>
            <w:vAlign w:val="center"/>
          </w:tcPr>
          <w:p w14:paraId="1FCB5A7A">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563" w:type="dxa"/>
            <w:tcBorders>
              <w:top w:val="single" w:color="auto" w:sz="2" w:space="0"/>
              <w:left w:val="single" w:color="auto" w:sz="2" w:space="0"/>
              <w:bottom w:val="single" w:color="auto" w:sz="2" w:space="0"/>
              <w:right w:val="single" w:color="auto" w:sz="2" w:space="0"/>
            </w:tcBorders>
            <w:vAlign w:val="center"/>
          </w:tcPr>
          <w:p w14:paraId="575AB37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A4B2F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720DB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85CFFF">
            <w:pPr>
              <w:spacing w:line="240" w:lineRule="exact"/>
              <w:jc w:val="right"/>
              <w:rPr>
                <w:rFonts w:ascii="宋体" w:hAnsi="宋体" w:eastAsia="宋体" w:cs="宋体"/>
                <w:sz w:val="18"/>
                <w:szCs w:val="18"/>
              </w:rPr>
            </w:pPr>
            <w:r>
              <w:rPr>
                <w:rFonts w:ascii="宋体" w:hAnsi="宋体" w:eastAsia="宋体" w:cs="宋体"/>
                <w:sz w:val="18"/>
                <w:szCs w:val="18"/>
              </w:rPr>
              <w:t>213,840,428.27</w:t>
            </w:r>
          </w:p>
        </w:tc>
        <w:tc>
          <w:tcPr>
            <w:tcW w:w="563" w:type="dxa"/>
            <w:tcBorders>
              <w:top w:val="single" w:color="auto" w:sz="2" w:space="0"/>
              <w:left w:val="single" w:color="auto" w:sz="2" w:space="0"/>
              <w:bottom w:val="single" w:color="auto" w:sz="2" w:space="0"/>
              <w:right w:val="single" w:color="auto" w:sz="2" w:space="0"/>
            </w:tcBorders>
            <w:vAlign w:val="center"/>
          </w:tcPr>
          <w:p w14:paraId="2489364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F487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08CCE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A9B94B">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563" w:type="dxa"/>
            <w:tcBorders>
              <w:top w:val="single" w:color="auto" w:sz="2" w:space="0"/>
              <w:left w:val="single" w:color="auto" w:sz="2" w:space="0"/>
              <w:bottom w:val="single" w:color="auto" w:sz="2" w:space="0"/>
              <w:right w:val="single" w:color="auto" w:sz="2" w:space="0"/>
            </w:tcBorders>
            <w:vAlign w:val="center"/>
          </w:tcPr>
          <w:p w14:paraId="3C366A5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9B056B">
            <w:pPr>
              <w:spacing w:line="240" w:lineRule="exact"/>
              <w:jc w:val="right"/>
              <w:rPr>
                <w:rFonts w:ascii="宋体" w:hAnsi="宋体" w:eastAsia="宋体" w:cs="宋体"/>
                <w:sz w:val="18"/>
                <w:szCs w:val="18"/>
              </w:rPr>
            </w:pPr>
            <w:r>
              <w:rPr>
                <w:rFonts w:ascii="宋体" w:hAnsi="宋体" w:eastAsia="宋体" w:cs="宋体"/>
                <w:sz w:val="18"/>
                <w:szCs w:val="18"/>
              </w:rPr>
              <w:t>-435,210,845.71</w:t>
            </w:r>
          </w:p>
        </w:tc>
        <w:tc>
          <w:tcPr>
            <w:tcW w:w="563" w:type="dxa"/>
            <w:tcBorders>
              <w:top w:val="single" w:color="auto" w:sz="2" w:space="0"/>
              <w:left w:val="single" w:color="auto" w:sz="2" w:space="0"/>
              <w:bottom w:val="single" w:color="auto" w:sz="2" w:space="0"/>
              <w:right w:val="single" w:color="auto" w:sz="2" w:space="0"/>
            </w:tcBorders>
            <w:vAlign w:val="center"/>
          </w:tcPr>
          <w:p w14:paraId="6C2BA3F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3E79F2">
            <w:pPr>
              <w:spacing w:line="240" w:lineRule="exact"/>
              <w:jc w:val="right"/>
              <w:rPr>
                <w:rFonts w:ascii="宋体" w:hAnsi="宋体" w:eastAsia="宋体" w:cs="宋体"/>
                <w:sz w:val="18"/>
                <w:szCs w:val="18"/>
              </w:rPr>
            </w:pPr>
            <w:r>
              <w:rPr>
                <w:rFonts w:ascii="宋体" w:hAnsi="宋体" w:eastAsia="宋体" w:cs="宋体"/>
                <w:sz w:val="18"/>
                <w:szCs w:val="18"/>
              </w:rPr>
              <w:t>111,613,159.83</w:t>
            </w:r>
          </w:p>
        </w:tc>
        <w:tc>
          <w:tcPr>
            <w:tcW w:w="563" w:type="dxa"/>
            <w:tcBorders>
              <w:top w:val="single" w:color="auto" w:sz="2" w:space="0"/>
              <w:left w:val="single" w:color="auto" w:sz="2" w:space="0"/>
              <w:bottom w:val="single" w:color="auto" w:sz="2" w:space="0"/>
              <w:right w:val="single" w:color="auto" w:sz="2" w:space="0"/>
            </w:tcBorders>
            <w:vAlign w:val="center"/>
          </w:tcPr>
          <w:p w14:paraId="34D927BC">
            <w:pPr>
              <w:spacing w:line="240" w:lineRule="exact"/>
              <w:jc w:val="right"/>
              <w:rPr>
                <w:rFonts w:ascii="宋体" w:hAnsi="宋体" w:eastAsia="宋体" w:cs="宋体"/>
                <w:sz w:val="18"/>
                <w:szCs w:val="18"/>
              </w:rPr>
            </w:pPr>
            <w:r>
              <w:rPr>
                <w:rFonts w:ascii="宋体" w:hAnsi="宋体" w:eastAsia="宋体" w:cs="宋体"/>
                <w:sz w:val="18"/>
                <w:szCs w:val="18"/>
              </w:rPr>
              <w:t>438,512,486.81</w:t>
            </w:r>
          </w:p>
        </w:tc>
        <w:tc>
          <w:tcPr>
            <w:tcW w:w="563" w:type="dxa"/>
            <w:tcBorders>
              <w:top w:val="single" w:color="auto" w:sz="2" w:space="0"/>
              <w:left w:val="single" w:color="auto" w:sz="2" w:space="0"/>
              <w:bottom w:val="single" w:color="auto" w:sz="2" w:space="0"/>
              <w:right w:val="single" w:color="auto" w:sz="2" w:space="0"/>
            </w:tcBorders>
            <w:vAlign w:val="center"/>
          </w:tcPr>
          <w:p w14:paraId="09D62394">
            <w:pPr>
              <w:spacing w:line="240" w:lineRule="exact"/>
              <w:jc w:val="right"/>
              <w:rPr>
                <w:rFonts w:ascii="宋体" w:hAnsi="宋体" w:eastAsia="宋体" w:cs="宋体"/>
                <w:sz w:val="18"/>
                <w:szCs w:val="18"/>
              </w:rPr>
            </w:pPr>
            <w:r>
              <w:rPr>
                <w:rFonts w:ascii="宋体" w:hAnsi="宋体" w:eastAsia="宋体" w:cs="宋体"/>
                <w:sz w:val="18"/>
                <w:szCs w:val="18"/>
              </w:rPr>
              <w:t>550,125,646.64</w:t>
            </w:r>
          </w:p>
        </w:tc>
      </w:tr>
      <w:tr w14:paraId="3EB0A22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19C1A26">
            <w:pPr>
              <w:spacing w:before="40" w:after="40" w:line="240" w:lineRule="exact"/>
              <w:rPr>
                <w:rFonts w:ascii="宋体" w:hAnsi="宋体" w:eastAsia="宋体" w:cs="宋体"/>
                <w:sz w:val="18"/>
                <w:szCs w:val="18"/>
              </w:rPr>
            </w:pPr>
            <w:r>
              <w:rPr>
                <w:rFonts w:ascii="宋体" w:hAnsi="宋体" w:eastAsia="宋体" w:cs="宋体"/>
                <w:sz w:val="18"/>
                <w:szCs w:val="18"/>
              </w:rPr>
              <w:t>三、本期增减变动金额（减少以“—”号填列）</w:t>
            </w:r>
          </w:p>
        </w:tc>
        <w:tc>
          <w:tcPr>
            <w:tcW w:w="563" w:type="dxa"/>
            <w:tcBorders>
              <w:top w:val="single" w:color="auto" w:sz="2" w:space="0"/>
              <w:left w:val="single" w:color="auto" w:sz="2" w:space="0"/>
              <w:bottom w:val="single" w:color="auto" w:sz="2" w:space="0"/>
              <w:right w:val="single" w:color="auto" w:sz="2" w:space="0"/>
            </w:tcBorders>
            <w:vAlign w:val="center"/>
          </w:tcPr>
          <w:p w14:paraId="2CA3D49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1F3B7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39D85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2D68B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16BF3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B1BA0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3A88B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09BBD2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B477D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66DB9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03BB59">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563" w:type="dxa"/>
            <w:tcBorders>
              <w:top w:val="single" w:color="auto" w:sz="2" w:space="0"/>
              <w:left w:val="single" w:color="auto" w:sz="2" w:space="0"/>
              <w:bottom w:val="single" w:color="auto" w:sz="2" w:space="0"/>
              <w:right w:val="single" w:color="auto" w:sz="2" w:space="0"/>
            </w:tcBorders>
            <w:vAlign w:val="center"/>
          </w:tcPr>
          <w:p w14:paraId="363730B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544E77">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563" w:type="dxa"/>
            <w:tcBorders>
              <w:top w:val="single" w:color="auto" w:sz="2" w:space="0"/>
              <w:left w:val="single" w:color="auto" w:sz="2" w:space="0"/>
              <w:bottom w:val="single" w:color="auto" w:sz="2" w:space="0"/>
              <w:right w:val="single" w:color="auto" w:sz="2" w:space="0"/>
            </w:tcBorders>
            <w:vAlign w:val="center"/>
          </w:tcPr>
          <w:p w14:paraId="03532CB6">
            <w:pPr>
              <w:spacing w:line="240" w:lineRule="exact"/>
              <w:jc w:val="right"/>
              <w:rPr>
                <w:rFonts w:ascii="宋体" w:hAnsi="宋体" w:eastAsia="宋体" w:cs="宋体"/>
                <w:sz w:val="18"/>
                <w:szCs w:val="18"/>
              </w:rPr>
            </w:pPr>
            <w:r>
              <w:rPr>
                <w:rFonts w:ascii="宋体" w:hAnsi="宋体" w:eastAsia="宋体" w:cs="宋体"/>
                <w:sz w:val="18"/>
                <w:szCs w:val="18"/>
              </w:rPr>
              <w:t>21,116,124.93</w:t>
            </w:r>
          </w:p>
        </w:tc>
        <w:tc>
          <w:tcPr>
            <w:tcW w:w="563" w:type="dxa"/>
            <w:tcBorders>
              <w:top w:val="single" w:color="auto" w:sz="2" w:space="0"/>
              <w:left w:val="single" w:color="auto" w:sz="2" w:space="0"/>
              <w:bottom w:val="single" w:color="auto" w:sz="2" w:space="0"/>
              <w:right w:val="single" w:color="auto" w:sz="2" w:space="0"/>
            </w:tcBorders>
            <w:vAlign w:val="center"/>
          </w:tcPr>
          <w:p w14:paraId="28E6F0CD">
            <w:pPr>
              <w:spacing w:line="240" w:lineRule="exact"/>
              <w:jc w:val="right"/>
              <w:rPr>
                <w:rFonts w:ascii="宋体" w:hAnsi="宋体" w:eastAsia="宋体" w:cs="宋体"/>
                <w:sz w:val="18"/>
                <w:szCs w:val="18"/>
              </w:rPr>
            </w:pPr>
            <w:r>
              <w:rPr>
                <w:rFonts w:ascii="宋体" w:hAnsi="宋体" w:eastAsia="宋体" w:cs="宋体"/>
                <w:sz w:val="18"/>
                <w:szCs w:val="18"/>
              </w:rPr>
              <w:t>31,189,978.38</w:t>
            </w:r>
          </w:p>
        </w:tc>
      </w:tr>
      <w:tr w14:paraId="74F0F5D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94A3739">
            <w:pPr>
              <w:spacing w:before="40" w:after="40" w:line="240" w:lineRule="exact"/>
              <w:rPr>
                <w:rFonts w:ascii="宋体" w:hAnsi="宋体" w:eastAsia="宋体" w:cs="宋体"/>
                <w:sz w:val="18"/>
                <w:szCs w:val="18"/>
              </w:rPr>
            </w:pPr>
            <w:r>
              <w:rPr>
                <w:rFonts w:ascii="宋体" w:hAnsi="宋体" w:eastAsia="宋体" w:cs="宋体"/>
                <w:sz w:val="18"/>
                <w:szCs w:val="18"/>
              </w:rPr>
              <w:t>（一）综合收益总额</w:t>
            </w:r>
          </w:p>
        </w:tc>
        <w:tc>
          <w:tcPr>
            <w:tcW w:w="563" w:type="dxa"/>
            <w:tcBorders>
              <w:top w:val="single" w:color="auto" w:sz="2" w:space="0"/>
              <w:left w:val="single" w:color="auto" w:sz="2" w:space="0"/>
              <w:bottom w:val="single" w:color="auto" w:sz="2" w:space="0"/>
              <w:right w:val="single" w:color="auto" w:sz="2" w:space="0"/>
            </w:tcBorders>
            <w:vAlign w:val="center"/>
          </w:tcPr>
          <w:p w14:paraId="4F3532E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EE1C9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CC66F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96C07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633C1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04756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17C0D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4EA1B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9EFBF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3510B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CE279A">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563" w:type="dxa"/>
            <w:tcBorders>
              <w:top w:val="single" w:color="auto" w:sz="2" w:space="0"/>
              <w:left w:val="single" w:color="auto" w:sz="2" w:space="0"/>
              <w:bottom w:val="single" w:color="auto" w:sz="2" w:space="0"/>
              <w:right w:val="single" w:color="auto" w:sz="2" w:space="0"/>
            </w:tcBorders>
            <w:vAlign w:val="center"/>
          </w:tcPr>
          <w:p w14:paraId="15D1F57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C3D3F9">
            <w:pPr>
              <w:spacing w:line="240" w:lineRule="exact"/>
              <w:jc w:val="right"/>
              <w:rPr>
                <w:rFonts w:ascii="宋体" w:hAnsi="宋体" w:eastAsia="宋体" w:cs="宋体"/>
                <w:sz w:val="18"/>
                <w:szCs w:val="18"/>
              </w:rPr>
            </w:pPr>
            <w:r>
              <w:rPr>
                <w:rFonts w:ascii="宋体" w:hAnsi="宋体" w:eastAsia="宋体" w:cs="宋体"/>
                <w:sz w:val="18"/>
                <w:szCs w:val="18"/>
              </w:rPr>
              <w:t>10,073,853.45</w:t>
            </w:r>
          </w:p>
        </w:tc>
        <w:tc>
          <w:tcPr>
            <w:tcW w:w="563" w:type="dxa"/>
            <w:tcBorders>
              <w:top w:val="single" w:color="auto" w:sz="2" w:space="0"/>
              <w:left w:val="single" w:color="auto" w:sz="2" w:space="0"/>
              <w:bottom w:val="single" w:color="auto" w:sz="2" w:space="0"/>
              <w:right w:val="single" w:color="auto" w:sz="2" w:space="0"/>
            </w:tcBorders>
            <w:vAlign w:val="center"/>
          </w:tcPr>
          <w:p w14:paraId="1DA7C464">
            <w:pPr>
              <w:spacing w:line="240" w:lineRule="exact"/>
              <w:jc w:val="right"/>
              <w:rPr>
                <w:rFonts w:ascii="宋体" w:hAnsi="宋体" w:eastAsia="宋体" w:cs="宋体"/>
                <w:sz w:val="18"/>
                <w:szCs w:val="18"/>
              </w:rPr>
            </w:pPr>
            <w:r>
              <w:rPr>
                <w:rFonts w:ascii="宋体" w:hAnsi="宋体" w:eastAsia="宋体" w:cs="宋体"/>
                <w:sz w:val="18"/>
                <w:szCs w:val="18"/>
              </w:rPr>
              <w:t>21,116,124.93</w:t>
            </w:r>
          </w:p>
        </w:tc>
        <w:tc>
          <w:tcPr>
            <w:tcW w:w="563" w:type="dxa"/>
            <w:tcBorders>
              <w:top w:val="single" w:color="auto" w:sz="2" w:space="0"/>
              <w:left w:val="single" w:color="auto" w:sz="2" w:space="0"/>
              <w:bottom w:val="single" w:color="auto" w:sz="2" w:space="0"/>
              <w:right w:val="single" w:color="auto" w:sz="2" w:space="0"/>
            </w:tcBorders>
            <w:vAlign w:val="center"/>
          </w:tcPr>
          <w:p w14:paraId="48260093">
            <w:pPr>
              <w:spacing w:line="240" w:lineRule="exact"/>
              <w:jc w:val="right"/>
              <w:rPr>
                <w:rFonts w:ascii="宋体" w:hAnsi="宋体" w:eastAsia="宋体" w:cs="宋体"/>
                <w:sz w:val="18"/>
                <w:szCs w:val="18"/>
              </w:rPr>
            </w:pPr>
            <w:r>
              <w:rPr>
                <w:rFonts w:ascii="宋体" w:hAnsi="宋体" w:eastAsia="宋体" w:cs="宋体"/>
                <w:sz w:val="18"/>
                <w:szCs w:val="18"/>
              </w:rPr>
              <w:t>31,189,978.38</w:t>
            </w:r>
          </w:p>
        </w:tc>
      </w:tr>
      <w:tr w14:paraId="36A02F4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B1455A1">
            <w:pPr>
              <w:spacing w:before="40" w:after="40" w:line="240" w:lineRule="exact"/>
              <w:rPr>
                <w:rFonts w:ascii="宋体" w:hAnsi="宋体" w:eastAsia="宋体" w:cs="宋体"/>
                <w:sz w:val="18"/>
                <w:szCs w:val="18"/>
              </w:rPr>
            </w:pPr>
            <w:r>
              <w:rPr>
                <w:rFonts w:ascii="宋体" w:hAnsi="宋体" w:eastAsia="宋体" w:cs="宋体"/>
                <w:sz w:val="18"/>
                <w:szCs w:val="18"/>
              </w:rPr>
              <w:t>（二）所有者投入和减少资本</w:t>
            </w:r>
          </w:p>
        </w:tc>
        <w:tc>
          <w:tcPr>
            <w:tcW w:w="563" w:type="dxa"/>
            <w:tcBorders>
              <w:top w:val="single" w:color="auto" w:sz="2" w:space="0"/>
              <w:left w:val="single" w:color="auto" w:sz="2" w:space="0"/>
              <w:bottom w:val="single" w:color="auto" w:sz="2" w:space="0"/>
              <w:right w:val="single" w:color="auto" w:sz="2" w:space="0"/>
            </w:tcBorders>
            <w:vAlign w:val="center"/>
          </w:tcPr>
          <w:p w14:paraId="3625EC9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F1197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69E8A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1032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7CA92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71CE4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0256F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CF739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9309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EA020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F5CF3B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FE118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F3AA2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D498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F4E920">
            <w:pPr>
              <w:spacing w:line="240" w:lineRule="exact"/>
              <w:jc w:val="right"/>
              <w:rPr>
                <w:rFonts w:ascii="宋体" w:hAnsi="宋体" w:eastAsia="宋体" w:cs="宋体"/>
                <w:sz w:val="18"/>
                <w:szCs w:val="18"/>
              </w:rPr>
            </w:pPr>
          </w:p>
        </w:tc>
      </w:tr>
      <w:tr w14:paraId="486396F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A4217D9">
            <w:pPr>
              <w:spacing w:before="40" w:after="40" w:line="240" w:lineRule="exact"/>
              <w:rPr>
                <w:rFonts w:ascii="宋体" w:hAnsi="宋体" w:eastAsia="宋体" w:cs="宋体"/>
                <w:sz w:val="18"/>
                <w:szCs w:val="18"/>
              </w:rPr>
            </w:pPr>
            <w:r>
              <w:rPr>
                <w:rFonts w:ascii="宋体" w:hAnsi="宋体" w:eastAsia="宋体" w:cs="宋体"/>
                <w:sz w:val="18"/>
                <w:szCs w:val="18"/>
              </w:rPr>
              <w:t>1．所有者投入的普通股</w:t>
            </w:r>
          </w:p>
        </w:tc>
        <w:tc>
          <w:tcPr>
            <w:tcW w:w="563" w:type="dxa"/>
            <w:tcBorders>
              <w:top w:val="single" w:color="auto" w:sz="2" w:space="0"/>
              <w:left w:val="single" w:color="auto" w:sz="2" w:space="0"/>
              <w:bottom w:val="single" w:color="auto" w:sz="2" w:space="0"/>
              <w:right w:val="single" w:color="auto" w:sz="2" w:space="0"/>
            </w:tcBorders>
            <w:vAlign w:val="center"/>
          </w:tcPr>
          <w:p w14:paraId="1499B90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5AEE5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7597E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516A2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6185C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56CF1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5328A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4B68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E9956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15ED6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40955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AD915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AE21B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50DC5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212A61">
            <w:pPr>
              <w:spacing w:line="240" w:lineRule="exact"/>
              <w:jc w:val="right"/>
              <w:rPr>
                <w:rFonts w:ascii="宋体" w:hAnsi="宋体" w:eastAsia="宋体" w:cs="宋体"/>
                <w:sz w:val="18"/>
                <w:szCs w:val="18"/>
              </w:rPr>
            </w:pPr>
          </w:p>
        </w:tc>
      </w:tr>
      <w:tr w14:paraId="3EC7799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FA468A3">
            <w:pPr>
              <w:spacing w:before="40" w:after="40" w:line="240" w:lineRule="exact"/>
              <w:rPr>
                <w:rFonts w:ascii="宋体" w:hAnsi="宋体" w:eastAsia="宋体" w:cs="宋体"/>
                <w:sz w:val="18"/>
                <w:szCs w:val="18"/>
              </w:rPr>
            </w:pPr>
            <w:r>
              <w:rPr>
                <w:rFonts w:ascii="宋体" w:hAnsi="宋体" w:eastAsia="宋体" w:cs="宋体"/>
                <w:sz w:val="18"/>
                <w:szCs w:val="18"/>
              </w:rPr>
              <w:t>2．其他权益工具持有者投入资本</w:t>
            </w:r>
          </w:p>
        </w:tc>
        <w:tc>
          <w:tcPr>
            <w:tcW w:w="563" w:type="dxa"/>
            <w:tcBorders>
              <w:top w:val="single" w:color="auto" w:sz="2" w:space="0"/>
              <w:left w:val="single" w:color="auto" w:sz="2" w:space="0"/>
              <w:bottom w:val="single" w:color="auto" w:sz="2" w:space="0"/>
              <w:right w:val="single" w:color="auto" w:sz="2" w:space="0"/>
            </w:tcBorders>
            <w:vAlign w:val="center"/>
          </w:tcPr>
          <w:p w14:paraId="514F114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5799E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B71D9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F6DCF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87785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20C3E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08390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809FB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7C88C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97E47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25174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FADB6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BFEB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C38C0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DF9E45">
            <w:pPr>
              <w:spacing w:line="240" w:lineRule="exact"/>
              <w:jc w:val="right"/>
              <w:rPr>
                <w:rFonts w:ascii="宋体" w:hAnsi="宋体" w:eastAsia="宋体" w:cs="宋体"/>
                <w:sz w:val="18"/>
                <w:szCs w:val="18"/>
              </w:rPr>
            </w:pPr>
          </w:p>
        </w:tc>
      </w:tr>
      <w:tr w14:paraId="7A55519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5912686">
            <w:pPr>
              <w:spacing w:before="40" w:after="40" w:line="240" w:lineRule="exact"/>
              <w:rPr>
                <w:rFonts w:ascii="宋体" w:hAnsi="宋体" w:eastAsia="宋体" w:cs="宋体"/>
                <w:sz w:val="18"/>
                <w:szCs w:val="18"/>
              </w:rPr>
            </w:pPr>
            <w:r>
              <w:rPr>
                <w:rFonts w:ascii="宋体" w:hAnsi="宋体" w:eastAsia="宋体" w:cs="宋体"/>
                <w:sz w:val="18"/>
                <w:szCs w:val="18"/>
              </w:rPr>
              <w:t>3．股份支付计入所有者权益的金额</w:t>
            </w:r>
          </w:p>
        </w:tc>
        <w:tc>
          <w:tcPr>
            <w:tcW w:w="563" w:type="dxa"/>
            <w:tcBorders>
              <w:top w:val="single" w:color="auto" w:sz="2" w:space="0"/>
              <w:left w:val="single" w:color="auto" w:sz="2" w:space="0"/>
              <w:bottom w:val="single" w:color="auto" w:sz="2" w:space="0"/>
              <w:right w:val="single" w:color="auto" w:sz="2" w:space="0"/>
            </w:tcBorders>
            <w:vAlign w:val="center"/>
          </w:tcPr>
          <w:p w14:paraId="2C7F95C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A1EED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54E8D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74D95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C3C88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F009A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AF311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FC49D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AA170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41169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0BA20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53A90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8769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EBE5E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E0CE3F">
            <w:pPr>
              <w:spacing w:line="240" w:lineRule="exact"/>
              <w:jc w:val="right"/>
              <w:rPr>
                <w:rFonts w:ascii="宋体" w:hAnsi="宋体" w:eastAsia="宋体" w:cs="宋体"/>
                <w:sz w:val="18"/>
                <w:szCs w:val="18"/>
              </w:rPr>
            </w:pPr>
          </w:p>
        </w:tc>
      </w:tr>
      <w:tr w14:paraId="050CD3D7">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6277CFF">
            <w:pPr>
              <w:spacing w:before="40" w:after="40" w:line="240" w:lineRule="exact"/>
              <w:rPr>
                <w:rFonts w:ascii="宋体" w:hAnsi="宋体" w:eastAsia="宋体" w:cs="宋体"/>
                <w:sz w:val="18"/>
                <w:szCs w:val="18"/>
              </w:rPr>
            </w:pPr>
            <w:r>
              <w:rPr>
                <w:rFonts w:ascii="宋体" w:hAnsi="宋体" w:eastAsia="宋体" w:cs="宋体"/>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23F3219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5BBD3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761B3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FF67C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3CD96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6CAF9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98FAA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D5183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0DA76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DBFC9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756B4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A1F88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C9576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2AA88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9090B9">
            <w:pPr>
              <w:spacing w:line="240" w:lineRule="exact"/>
              <w:jc w:val="right"/>
              <w:rPr>
                <w:rFonts w:ascii="宋体" w:hAnsi="宋体" w:eastAsia="宋体" w:cs="宋体"/>
                <w:sz w:val="18"/>
                <w:szCs w:val="18"/>
              </w:rPr>
            </w:pPr>
          </w:p>
        </w:tc>
      </w:tr>
      <w:tr w14:paraId="5DBD404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8278F49">
            <w:pPr>
              <w:spacing w:before="40" w:after="40" w:line="240" w:lineRule="exact"/>
              <w:rPr>
                <w:rFonts w:ascii="宋体" w:hAnsi="宋体" w:eastAsia="宋体" w:cs="宋体"/>
                <w:sz w:val="18"/>
                <w:szCs w:val="18"/>
              </w:rPr>
            </w:pPr>
            <w:r>
              <w:rPr>
                <w:rFonts w:ascii="宋体" w:hAnsi="宋体" w:eastAsia="宋体" w:cs="宋体"/>
                <w:sz w:val="18"/>
                <w:szCs w:val="18"/>
              </w:rPr>
              <w:t>（三）利润分配</w:t>
            </w:r>
          </w:p>
        </w:tc>
        <w:tc>
          <w:tcPr>
            <w:tcW w:w="563" w:type="dxa"/>
            <w:tcBorders>
              <w:top w:val="single" w:color="auto" w:sz="2" w:space="0"/>
              <w:left w:val="single" w:color="auto" w:sz="2" w:space="0"/>
              <w:bottom w:val="single" w:color="auto" w:sz="2" w:space="0"/>
              <w:right w:val="single" w:color="auto" w:sz="2" w:space="0"/>
            </w:tcBorders>
            <w:vAlign w:val="center"/>
          </w:tcPr>
          <w:p w14:paraId="00B0B57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2F71A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28B79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17F49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0FD13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D9E04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7CFD1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05851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D080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E8301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89191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93D56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6DBE3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27CF0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3E011B">
            <w:pPr>
              <w:spacing w:line="240" w:lineRule="exact"/>
              <w:jc w:val="right"/>
              <w:rPr>
                <w:rFonts w:ascii="宋体" w:hAnsi="宋体" w:eastAsia="宋体" w:cs="宋体"/>
                <w:sz w:val="18"/>
                <w:szCs w:val="18"/>
              </w:rPr>
            </w:pPr>
          </w:p>
        </w:tc>
      </w:tr>
      <w:tr w14:paraId="684D867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056B01E">
            <w:pPr>
              <w:spacing w:before="40" w:after="40" w:line="240" w:lineRule="exact"/>
              <w:rPr>
                <w:rFonts w:ascii="宋体" w:hAnsi="宋体" w:eastAsia="宋体" w:cs="宋体"/>
                <w:sz w:val="18"/>
                <w:szCs w:val="18"/>
              </w:rPr>
            </w:pPr>
            <w:r>
              <w:rPr>
                <w:rFonts w:ascii="宋体" w:hAnsi="宋体" w:eastAsia="宋体" w:cs="宋体"/>
                <w:sz w:val="18"/>
                <w:szCs w:val="18"/>
              </w:rPr>
              <w:t>1．提取盈余公积</w:t>
            </w:r>
          </w:p>
        </w:tc>
        <w:tc>
          <w:tcPr>
            <w:tcW w:w="563" w:type="dxa"/>
            <w:tcBorders>
              <w:top w:val="single" w:color="auto" w:sz="2" w:space="0"/>
              <w:left w:val="single" w:color="auto" w:sz="2" w:space="0"/>
              <w:bottom w:val="single" w:color="auto" w:sz="2" w:space="0"/>
              <w:right w:val="single" w:color="auto" w:sz="2" w:space="0"/>
            </w:tcBorders>
            <w:vAlign w:val="center"/>
          </w:tcPr>
          <w:p w14:paraId="58AF32B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39325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4D966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9033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1B658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12417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67054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42E09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AEF29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9DA71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1F9FC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4081C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BED6B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4082F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EC74E6">
            <w:pPr>
              <w:spacing w:line="240" w:lineRule="exact"/>
              <w:jc w:val="right"/>
              <w:rPr>
                <w:rFonts w:ascii="宋体" w:hAnsi="宋体" w:eastAsia="宋体" w:cs="宋体"/>
                <w:sz w:val="18"/>
                <w:szCs w:val="18"/>
              </w:rPr>
            </w:pPr>
          </w:p>
        </w:tc>
      </w:tr>
      <w:tr w14:paraId="3E56BDF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12CD7F5">
            <w:pPr>
              <w:spacing w:before="40" w:after="40" w:line="240" w:lineRule="exact"/>
              <w:rPr>
                <w:rFonts w:ascii="宋体" w:hAnsi="宋体" w:eastAsia="宋体" w:cs="宋体"/>
                <w:sz w:val="18"/>
                <w:szCs w:val="18"/>
              </w:rPr>
            </w:pPr>
            <w:r>
              <w:rPr>
                <w:rFonts w:ascii="宋体" w:hAnsi="宋体" w:eastAsia="宋体" w:cs="宋体"/>
                <w:sz w:val="18"/>
                <w:szCs w:val="18"/>
              </w:rPr>
              <w:t>2．提取一般风险准备</w:t>
            </w:r>
          </w:p>
        </w:tc>
        <w:tc>
          <w:tcPr>
            <w:tcW w:w="563" w:type="dxa"/>
            <w:tcBorders>
              <w:top w:val="single" w:color="auto" w:sz="2" w:space="0"/>
              <w:left w:val="single" w:color="auto" w:sz="2" w:space="0"/>
              <w:bottom w:val="single" w:color="auto" w:sz="2" w:space="0"/>
              <w:right w:val="single" w:color="auto" w:sz="2" w:space="0"/>
            </w:tcBorders>
            <w:vAlign w:val="center"/>
          </w:tcPr>
          <w:p w14:paraId="3065791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E446B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78F4F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5B79A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57038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2E9E7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8322D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DB53A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24786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2B8EE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1660C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8B8DD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CDE30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8C310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F42BCED">
            <w:pPr>
              <w:spacing w:line="240" w:lineRule="exact"/>
              <w:jc w:val="right"/>
              <w:rPr>
                <w:rFonts w:ascii="宋体" w:hAnsi="宋体" w:eastAsia="宋体" w:cs="宋体"/>
                <w:sz w:val="18"/>
                <w:szCs w:val="18"/>
              </w:rPr>
            </w:pPr>
          </w:p>
        </w:tc>
      </w:tr>
      <w:tr w14:paraId="1503B67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0C1AB7B">
            <w:pPr>
              <w:spacing w:before="40" w:after="40" w:line="240" w:lineRule="exact"/>
              <w:rPr>
                <w:rFonts w:ascii="宋体" w:hAnsi="宋体" w:eastAsia="宋体" w:cs="宋体"/>
                <w:sz w:val="18"/>
                <w:szCs w:val="18"/>
              </w:rPr>
            </w:pPr>
            <w:r>
              <w:rPr>
                <w:rFonts w:ascii="宋体" w:hAnsi="宋体" w:eastAsia="宋体" w:cs="宋体"/>
                <w:sz w:val="18"/>
                <w:szCs w:val="18"/>
              </w:rPr>
              <w:t>3．对所有者（或股东）的分配</w:t>
            </w:r>
          </w:p>
        </w:tc>
        <w:tc>
          <w:tcPr>
            <w:tcW w:w="563" w:type="dxa"/>
            <w:tcBorders>
              <w:top w:val="single" w:color="auto" w:sz="2" w:space="0"/>
              <w:left w:val="single" w:color="auto" w:sz="2" w:space="0"/>
              <w:bottom w:val="single" w:color="auto" w:sz="2" w:space="0"/>
              <w:right w:val="single" w:color="auto" w:sz="2" w:space="0"/>
            </w:tcBorders>
            <w:vAlign w:val="center"/>
          </w:tcPr>
          <w:p w14:paraId="40DC5AD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9687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CDDB9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6CFEF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7D8F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0008D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612A3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9DDD6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433BD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5C74C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DF830C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736D1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2D442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9B7CF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167E9A">
            <w:pPr>
              <w:spacing w:line="240" w:lineRule="exact"/>
              <w:jc w:val="right"/>
              <w:rPr>
                <w:rFonts w:ascii="宋体" w:hAnsi="宋体" w:eastAsia="宋体" w:cs="宋体"/>
                <w:sz w:val="18"/>
                <w:szCs w:val="18"/>
              </w:rPr>
            </w:pPr>
          </w:p>
        </w:tc>
      </w:tr>
      <w:tr w14:paraId="4CDD408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A7C7309">
            <w:pPr>
              <w:spacing w:before="40" w:after="40" w:line="240" w:lineRule="exact"/>
              <w:rPr>
                <w:rFonts w:ascii="宋体" w:hAnsi="宋体" w:eastAsia="宋体" w:cs="宋体"/>
                <w:sz w:val="18"/>
                <w:szCs w:val="18"/>
              </w:rPr>
            </w:pPr>
            <w:r>
              <w:rPr>
                <w:rFonts w:ascii="宋体" w:hAnsi="宋体" w:eastAsia="宋体" w:cs="宋体"/>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2355FEC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1B0DD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EE3E1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D06A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9AEC7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6D453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049E6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3EA0D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ACA7B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AA715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CB056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9BF2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C151C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6AB69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EC148E">
            <w:pPr>
              <w:spacing w:line="240" w:lineRule="exact"/>
              <w:jc w:val="right"/>
              <w:rPr>
                <w:rFonts w:ascii="宋体" w:hAnsi="宋体" w:eastAsia="宋体" w:cs="宋体"/>
                <w:sz w:val="18"/>
                <w:szCs w:val="18"/>
              </w:rPr>
            </w:pPr>
          </w:p>
        </w:tc>
      </w:tr>
      <w:tr w14:paraId="1D55630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F0297E5">
            <w:pPr>
              <w:spacing w:before="40" w:after="40" w:line="240" w:lineRule="exact"/>
              <w:rPr>
                <w:rFonts w:ascii="宋体" w:hAnsi="宋体" w:eastAsia="宋体" w:cs="宋体"/>
                <w:sz w:val="18"/>
                <w:szCs w:val="18"/>
              </w:rPr>
            </w:pPr>
            <w:r>
              <w:rPr>
                <w:rFonts w:ascii="宋体" w:hAnsi="宋体" w:eastAsia="宋体" w:cs="宋体"/>
                <w:sz w:val="18"/>
                <w:szCs w:val="18"/>
              </w:rPr>
              <w:t>（四）所有者权益内部结转</w:t>
            </w:r>
          </w:p>
        </w:tc>
        <w:tc>
          <w:tcPr>
            <w:tcW w:w="563" w:type="dxa"/>
            <w:tcBorders>
              <w:top w:val="single" w:color="auto" w:sz="2" w:space="0"/>
              <w:left w:val="single" w:color="auto" w:sz="2" w:space="0"/>
              <w:bottom w:val="single" w:color="auto" w:sz="2" w:space="0"/>
              <w:right w:val="single" w:color="auto" w:sz="2" w:space="0"/>
            </w:tcBorders>
            <w:vAlign w:val="center"/>
          </w:tcPr>
          <w:p w14:paraId="018A264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EA3AF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E50E2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5C5C7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53700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FCDA7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55C3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3E940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C215F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D2098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C5A8C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EA02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75EC9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01F76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7C299F">
            <w:pPr>
              <w:spacing w:line="240" w:lineRule="exact"/>
              <w:jc w:val="right"/>
              <w:rPr>
                <w:rFonts w:ascii="宋体" w:hAnsi="宋体" w:eastAsia="宋体" w:cs="宋体"/>
                <w:sz w:val="18"/>
                <w:szCs w:val="18"/>
              </w:rPr>
            </w:pPr>
          </w:p>
        </w:tc>
      </w:tr>
      <w:tr w14:paraId="54B296C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FC4A1BD">
            <w:pPr>
              <w:spacing w:before="40" w:after="40" w:line="240" w:lineRule="exact"/>
              <w:rPr>
                <w:rFonts w:ascii="宋体" w:hAnsi="宋体" w:eastAsia="宋体" w:cs="宋体"/>
                <w:sz w:val="18"/>
                <w:szCs w:val="18"/>
              </w:rPr>
            </w:pPr>
            <w:r>
              <w:rPr>
                <w:rFonts w:ascii="宋体" w:hAnsi="宋体" w:eastAsia="宋体" w:cs="宋体"/>
                <w:sz w:val="18"/>
                <w:szCs w:val="18"/>
              </w:rPr>
              <w:t>1．资本公积转增资本（或股本）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657DB13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04780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7C7CD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CEA3C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6D779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927A9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766B7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05A87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1BECB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53FC8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0B595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6EAB4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ADB2D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B19E3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1091B4">
            <w:pPr>
              <w:spacing w:line="240" w:lineRule="exact"/>
              <w:jc w:val="right"/>
              <w:rPr>
                <w:rFonts w:ascii="宋体" w:hAnsi="宋体" w:eastAsia="宋体" w:cs="宋体"/>
                <w:sz w:val="18"/>
                <w:szCs w:val="18"/>
              </w:rPr>
            </w:pPr>
          </w:p>
        </w:tc>
      </w:tr>
      <w:tr w14:paraId="0BB7431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24F622D">
            <w:pPr>
              <w:spacing w:before="40" w:after="40" w:line="240" w:lineRule="exact"/>
              <w:rPr>
                <w:rFonts w:ascii="宋体" w:hAnsi="宋体" w:eastAsia="宋体" w:cs="宋体"/>
                <w:sz w:val="18"/>
                <w:szCs w:val="18"/>
              </w:rPr>
            </w:pPr>
            <w:r>
              <w:rPr>
                <w:rFonts w:ascii="宋体" w:hAnsi="宋体" w:eastAsia="宋体" w:cs="宋体"/>
                <w:sz w:val="18"/>
                <w:szCs w:val="18"/>
              </w:rPr>
              <w:t>2．盈余公积转增资本（或股本）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1A764B4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3321C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A3F5F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1EAA7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7E6C7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15391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3C62A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A2649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F98AE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051E96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72F53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35598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B86C2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1910E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A9F20A">
            <w:pPr>
              <w:spacing w:line="240" w:lineRule="exact"/>
              <w:jc w:val="right"/>
              <w:rPr>
                <w:rFonts w:ascii="宋体" w:hAnsi="宋体" w:eastAsia="宋体" w:cs="宋体"/>
                <w:sz w:val="18"/>
                <w:szCs w:val="18"/>
              </w:rPr>
            </w:pPr>
          </w:p>
        </w:tc>
      </w:tr>
      <w:tr w14:paraId="3E1B0C0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095EB47">
            <w:pPr>
              <w:spacing w:before="40" w:after="40" w:line="240" w:lineRule="exact"/>
              <w:rPr>
                <w:rFonts w:ascii="宋体" w:hAnsi="宋体" w:eastAsia="宋体" w:cs="宋体"/>
                <w:sz w:val="18"/>
                <w:szCs w:val="18"/>
              </w:rPr>
            </w:pPr>
            <w:r>
              <w:rPr>
                <w:rFonts w:ascii="宋体" w:hAnsi="宋体" w:eastAsia="宋体" w:cs="宋体"/>
                <w:sz w:val="18"/>
                <w:szCs w:val="18"/>
              </w:rPr>
              <w:t>3．盈余公积弥补亏损</w:t>
            </w:r>
          </w:p>
        </w:tc>
        <w:tc>
          <w:tcPr>
            <w:tcW w:w="563" w:type="dxa"/>
            <w:tcBorders>
              <w:top w:val="single" w:color="auto" w:sz="2" w:space="0"/>
              <w:left w:val="single" w:color="auto" w:sz="2" w:space="0"/>
              <w:bottom w:val="single" w:color="auto" w:sz="2" w:space="0"/>
              <w:right w:val="single" w:color="auto" w:sz="2" w:space="0"/>
            </w:tcBorders>
            <w:vAlign w:val="center"/>
          </w:tcPr>
          <w:p w14:paraId="626FCA6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5B583F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93DEA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D0F9A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05EE0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8980A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192E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F20A2E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163BA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FB574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50F27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720F9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CC668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8600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D644D2">
            <w:pPr>
              <w:spacing w:line="240" w:lineRule="exact"/>
              <w:jc w:val="right"/>
              <w:rPr>
                <w:rFonts w:ascii="宋体" w:hAnsi="宋体" w:eastAsia="宋体" w:cs="宋体"/>
                <w:sz w:val="18"/>
                <w:szCs w:val="18"/>
              </w:rPr>
            </w:pPr>
          </w:p>
        </w:tc>
      </w:tr>
      <w:tr w14:paraId="68F9E68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EAA0772">
            <w:pPr>
              <w:spacing w:before="40" w:after="40" w:line="240" w:lineRule="exact"/>
              <w:rPr>
                <w:rFonts w:ascii="宋体" w:hAnsi="宋体" w:eastAsia="宋体" w:cs="宋体"/>
                <w:sz w:val="18"/>
                <w:szCs w:val="18"/>
              </w:rPr>
            </w:pPr>
            <w:r>
              <w:rPr>
                <w:rFonts w:ascii="宋体" w:hAnsi="宋体" w:eastAsia="宋体" w:cs="宋体"/>
                <w:sz w:val="18"/>
                <w:szCs w:val="18"/>
              </w:rPr>
              <w:t>4．设定受益计划变动额结转留存收益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4BEC672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3DE24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1E0CC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DD832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FDBDA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623A0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59613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F3045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FA98E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C9D10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65E3D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E1D20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43D94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F30DC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64395F">
            <w:pPr>
              <w:spacing w:line="240" w:lineRule="exact"/>
              <w:jc w:val="right"/>
              <w:rPr>
                <w:rFonts w:ascii="宋体" w:hAnsi="宋体" w:eastAsia="宋体" w:cs="宋体"/>
                <w:sz w:val="18"/>
                <w:szCs w:val="18"/>
              </w:rPr>
            </w:pPr>
          </w:p>
        </w:tc>
      </w:tr>
      <w:tr w14:paraId="5E99779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60E7E6C">
            <w:pPr>
              <w:spacing w:before="40" w:after="40" w:line="240" w:lineRule="exact"/>
              <w:rPr>
                <w:rFonts w:ascii="宋体" w:hAnsi="宋体" w:eastAsia="宋体" w:cs="宋体"/>
                <w:sz w:val="18"/>
                <w:szCs w:val="18"/>
              </w:rPr>
            </w:pPr>
            <w:r>
              <w:rPr>
                <w:rFonts w:ascii="宋体" w:hAnsi="宋体" w:eastAsia="宋体" w:cs="宋体"/>
                <w:sz w:val="18"/>
                <w:szCs w:val="18"/>
              </w:rPr>
              <w:t>5．其他综合收益结转留存收益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0514CED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503DF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65EC1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202E5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9F7C1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68D4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BB70A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DD003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05D55F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B8538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69379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87462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9AD78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4C1B7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C62C2C">
            <w:pPr>
              <w:spacing w:line="240" w:lineRule="exact"/>
              <w:jc w:val="right"/>
              <w:rPr>
                <w:rFonts w:ascii="宋体" w:hAnsi="宋体" w:eastAsia="宋体" w:cs="宋体"/>
                <w:sz w:val="18"/>
                <w:szCs w:val="18"/>
              </w:rPr>
            </w:pPr>
          </w:p>
        </w:tc>
      </w:tr>
      <w:tr w14:paraId="653EF7F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08CB883">
            <w:pPr>
              <w:spacing w:before="40" w:after="40" w:line="240" w:lineRule="exact"/>
              <w:rPr>
                <w:rFonts w:ascii="宋体" w:hAnsi="宋体" w:eastAsia="宋体" w:cs="宋体"/>
                <w:sz w:val="18"/>
                <w:szCs w:val="18"/>
              </w:rPr>
            </w:pPr>
            <w:r>
              <w:rPr>
                <w:rFonts w:ascii="宋体" w:hAnsi="宋体" w:eastAsia="宋体" w:cs="宋体"/>
                <w:sz w:val="18"/>
                <w:szCs w:val="18"/>
              </w:rPr>
              <w:t>6．其他</w:t>
            </w:r>
          </w:p>
        </w:tc>
        <w:tc>
          <w:tcPr>
            <w:tcW w:w="563" w:type="dxa"/>
            <w:tcBorders>
              <w:top w:val="single" w:color="auto" w:sz="2" w:space="0"/>
              <w:left w:val="single" w:color="auto" w:sz="2" w:space="0"/>
              <w:bottom w:val="single" w:color="auto" w:sz="2" w:space="0"/>
              <w:right w:val="single" w:color="auto" w:sz="2" w:space="0"/>
            </w:tcBorders>
            <w:vAlign w:val="center"/>
          </w:tcPr>
          <w:p w14:paraId="718F545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A2F31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543B1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6B4EE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BF99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78BD1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FC3E9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F9985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55527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4A50F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0FE4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C2950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DB411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5E227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5D381F">
            <w:pPr>
              <w:spacing w:line="240" w:lineRule="exact"/>
              <w:jc w:val="right"/>
              <w:rPr>
                <w:rFonts w:ascii="宋体" w:hAnsi="宋体" w:eastAsia="宋体" w:cs="宋体"/>
                <w:sz w:val="18"/>
                <w:szCs w:val="18"/>
              </w:rPr>
            </w:pPr>
          </w:p>
        </w:tc>
      </w:tr>
      <w:tr w14:paraId="1773887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BBCB97E">
            <w:pPr>
              <w:spacing w:before="40" w:after="40" w:line="240" w:lineRule="exact"/>
              <w:rPr>
                <w:rFonts w:ascii="宋体" w:hAnsi="宋体" w:eastAsia="宋体" w:cs="宋体"/>
                <w:sz w:val="18"/>
                <w:szCs w:val="18"/>
              </w:rPr>
            </w:pPr>
            <w:r>
              <w:rPr>
                <w:rFonts w:ascii="宋体" w:hAnsi="宋体" w:eastAsia="宋体" w:cs="宋体"/>
                <w:sz w:val="18"/>
                <w:szCs w:val="18"/>
              </w:rPr>
              <w:t>（五）专项储备</w:t>
            </w:r>
          </w:p>
        </w:tc>
        <w:tc>
          <w:tcPr>
            <w:tcW w:w="563" w:type="dxa"/>
            <w:tcBorders>
              <w:top w:val="single" w:color="auto" w:sz="2" w:space="0"/>
              <w:left w:val="single" w:color="auto" w:sz="2" w:space="0"/>
              <w:bottom w:val="single" w:color="auto" w:sz="2" w:space="0"/>
              <w:right w:val="single" w:color="auto" w:sz="2" w:space="0"/>
            </w:tcBorders>
            <w:vAlign w:val="center"/>
          </w:tcPr>
          <w:p w14:paraId="5224F80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4C1BE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D7545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CA9AB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9F336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83E21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8566D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C83CA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CC6D3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86FC5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8BB79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0F5D8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848C1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FF2C1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4B511C">
            <w:pPr>
              <w:spacing w:line="240" w:lineRule="exact"/>
              <w:jc w:val="right"/>
              <w:rPr>
                <w:rFonts w:ascii="宋体" w:hAnsi="宋体" w:eastAsia="宋体" w:cs="宋体"/>
                <w:sz w:val="18"/>
                <w:szCs w:val="18"/>
              </w:rPr>
            </w:pPr>
          </w:p>
        </w:tc>
      </w:tr>
      <w:tr w14:paraId="3860CC2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6465F1F">
            <w:pPr>
              <w:spacing w:before="40" w:after="40" w:line="240" w:lineRule="exact"/>
              <w:rPr>
                <w:rFonts w:ascii="宋体" w:hAnsi="宋体" w:eastAsia="宋体" w:cs="宋体"/>
                <w:sz w:val="18"/>
                <w:szCs w:val="18"/>
              </w:rPr>
            </w:pPr>
            <w:r>
              <w:rPr>
                <w:rFonts w:ascii="宋体" w:hAnsi="宋体" w:eastAsia="宋体" w:cs="宋体"/>
                <w:sz w:val="18"/>
                <w:szCs w:val="18"/>
              </w:rPr>
              <w:t>1．本期提取</w:t>
            </w:r>
          </w:p>
        </w:tc>
        <w:tc>
          <w:tcPr>
            <w:tcW w:w="563" w:type="dxa"/>
            <w:tcBorders>
              <w:top w:val="single" w:color="auto" w:sz="2" w:space="0"/>
              <w:left w:val="single" w:color="auto" w:sz="2" w:space="0"/>
              <w:bottom w:val="single" w:color="auto" w:sz="2" w:space="0"/>
              <w:right w:val="single" w:color="auto" w:sz="2" w:space="0"/>
            </w:tcBorders>
            <w:vAlign w:val="center"/>
          </w:tcPr>
          <w:p w14:paraId="14BBFCB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DA7A6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979D2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75078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ADE95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DE2DD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9051A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99BD1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F7655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F7492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BDCD0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70904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5B560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00DFE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9B7191">
            <w:pPr>
              <w:spacing w:line="240" w:lineRule="exact"/>
              <w:jc w:val="right"/>
              <w:rPr>
                <w:rFonts w:ascii="宋体" w:hAnsi="宋体" w:eastAsia="宋体" w:cs="宋体"/>
                <w:sz w:val="18"/>
                <w:szCs w:val="18"/>
              </w:rPr>
            </w:pPr>
          </w:p>
        </w:tc>
      </w:tr>
      <w:tr w14:paraId="0292776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484AD09">
            <w:pPr>
              <w:spacing w:before="40" w:after="40" w:line="240" w:lineRule="exact"/>
              <w:rPr>
                <w:rFonts w:ascii="宋体" w:hAnsi="宋体" w:eastAsia="宋体" w:cs="宋体"/>
                <w:sz w:val="18"/>
                <w:szCs w:val="18"/>
              </w:rPr>
            </w:pPr>
            <w:r>
              <w:rPr>
                <w:rFonts w:ascii="宋体" w:hAnsi="宋体" w:eastAsia="宋体" w:cs="宋体"/>
                <w:sz w:val="18"/>
                <w:szCs w:val="18"/>
              </w:rPr>
              <w:t>2．本期使用</w:t>
            </w:r>
          </w:p>
        </w:tc>
        <w:tc>
          <w:tcPr>
            <w:tcW w:w="563" w:type="dxa"/>
            <w:tcBorders>
              <w:top w:val="single" w:color="auto" w:sz="2" w:space="0"/>
              <w:left w:val="single" w:color="auto" w:sz="2" w:space="0"/>
              <w:bottom w:val="single" w:color="auto" w:sz="2" w:space="0"/>
              <w:right w:val="single" w:color="auto" w:sz="2" w:space="0"/>
            </w:tcBorders>
            <w:vAlign w:val="center"/>
          </w:tcPr>
          <w:p w14:paraId="20EF2D4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A9C6B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38B82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FDF5C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C9C66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CE313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43013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928CF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36045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50808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6074F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7510F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187B4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3EC27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B811DE">
            <w:pPr>
              <w:spacing w:line="240" w:lineRule="exact"/>
              <w:jc w:val="right"/>
              <w:rPr>
                <w:rFonts w:ascii="宋体" w:hAnsi="宋体" w:eastAsia="宋体" w:cs="宋体"/>
                <w:sz w:val="18"/>
                <w:szCs w:val="18"/>
              </w:rPr>
            </w:pPr>
          </w:p>
        </w:tc>
      </w:tr>
      <w:tr w14:paraId="0714B7C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7FB405F">
            <w:pPr>
              <w:spacing w:before="40" w:after="40" w:line="240" w:lineRule="exact"/>
              <w:rPr>
                <w:rFonts w:ascii="宋体" w:hAnsi="宋体" w:eastAsia="宋体" w:cs="宋体"/>
                <w:sz w:val="18"/>
                <w:szCs w:val="18"/>
              </w:rPr>
            </w:pPr>
            <w:r>
              <w:rPr>
                <w:rFonts w:ascii="宋体" w:hAnsi="宋体" w:eastAsia="宋体" w:cs="宋体"/>
                <w:sz w:val="18"/>
                <w:szCs w:val="18"/>
              </w:rPr>
              <w:t>（六）其他</w:t>
            </w:r>
          </w:p>
        </w:tc>
        <w:tc>
          <w:tcPr>
            <w:tcW w:w="563" w:type="dxa"/>
            <w:tcBorders>
              <w:top w:val="single" w:color="auto" w:sz="2" w:space="0"/>
              <w:left w:val="single" w:color="auto" w:sz="2" w:space="0"/>
              <w:bottom w:val="single" w:color="auto" w:sz="2" w:space="0"/>
              <w:right w:val="single" w:color="auto" w:sz="2" w:space="0"/>
            </w:tcBorders>
            <w:vAlign w:val="center"/>
          </w:tcPr>
          <w:p w14:paraId="0CE15ED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FF74C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2F017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589EB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CD431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CD4D2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8AA4C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DFCC8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B5D19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35C44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B7A36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043E1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CF07D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6CBD3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A4A9D9">
            <w:pPr>
              <w:spacing w:line="240" w:lineRule="exact"/>
              <w:jc w:val="right"/>
              <w:rPr>
                <w:rFonts w:ascii="宋体" w:hAnsi="宋体" w:eastAsia="宋体" w:cs="宋体"/>
                <w:sz w:val="18"/>
                <w:szCs w:val="18"/>
              </w:rPr>
            </w:pPr>
          </w:p>
        </w:tc>
      </w:tr>
      <w:tr w14:paraId="7E81675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0DA63B8">
            <w:pPr>
              <w:spacing w:before="40" w:after="40" w:line="240" w:lineRule="exact"/>
              <w:rPr>
                <w:rFonts w:ascii="宋体" w:hAnsi="宋体" w:eastAsia="宋体" w:cs="宋体"/>
                <w:sz w:val="18"/>
                <w:szCs w:val="18"/>
              </w:rPr>
            </w:pPr>
            <w:r>
              <w:rPr>
                <w:rFonts w:ascii="宋体" w:hAnsi="宋体" w:eastAsia="宋体" w:cs="宋体"/>
                <w:sz w:val="18"/>
                <w:szCs w:val="18"/>
              </w:rPr>
              <w:t>四、本期期末余额</w:t>
            </w:r>
          </w:p>
        </w:tc>
        <w:tc>
          <w:tcPr>
            <w:tcW w:w="563" w:type="dxa"/>
            <w:tcBorders>
              <w:top w:val="single" w:color="auto" w:sz="2" w:space="0"/>
              <w:left w:val="single" w:color="auto" w:sz="2" w:space="0"/>
              <w:bottom w:val="single" w:color="auto" w:sz="2" w:space="0"/>
              <w:right w:val="single" w:color="auto" w:sz="2" w:space="0"/>
            </w:tcBorders>
            <w:vAlign w:val="center"/>
          </w:tcPr>
          <w:p w14:paraId="1530664F">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563" w:type="dxa"/>
            <w:tcBorders>
              <w:top w:val="single" w:color="auto" w:sz="2" w:space="0"/>
              <w:left w:val="single" w:color="auto" w:sz="2" w:space="0"/>
              <w:bottom w:val="single" w:color="auto" w:sz="2" w:space="0"/>
              <w:right w:val="single" w:color="auto" w:sz="2" w:space="0"/>
            </w:tcBorders>
            <w:vAlign w:val="center"/>
          </w:tcPr>
          <w:p w14:paraId="7CD19D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9C7E7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ABDD1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4E8B7D">
            <w:pPr>
              <w:spacing w:line="240" w:lineRule="exact"/>
              <w:jc w:val="right"/>
              <w:rPr>
                <w:rFonts w:ascii="宋体" w:hAnsi="宋体" w:eastAsia="宋体" w:cs="宋体"/>
                <w:sz w:val="18"/>
                <w:szCs w:val="18"/>
              </w:rPr>
            </w:pPr>
            <w:r>
              <w:rPr>
                <w:rFonts w:ascii="宋体" w:hAnsi="宋体" w:eastAsia="宋体" w:cs="宋体"/>
                <w:sz w:val="18"/>
                <w:szCs w:val="18"/>
              </w:rPr>
              <w:t>213,840,428.27</w:t>
            </w:r>
          </w:p>
        </w:tc>
        <w:tc>
          <w:tcPr>
            <w:tcW w:w="563" w:type="dxa"/>
            <w:tcBorders>
              <w:top w:val="single" w:color="auto" w:sz="2" w:space="0"/>
              <w:left w:val="single" w:color="auto" w:sz="2" w:space="0"/>
              <w:bottom w:val="single" w:color="auto" w:sz="2" w:space="0"/>
              <w:right w:val="single" w:color="auto" w:sz="2" w:space="0"/>
            </w:tcBorders>
            <w:vAlign w:val="center"/>
          </w:tcPr>
          <w:p w14:paraId="1A49E7B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4C39B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50171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9200B4">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563" w:type="dxa"/>
            <w:tcBorders>
              <w:top w:val="single" w:color="auto" w:sz="2" w:space="0"/>
              <w:left w:val="single" w:color="auto" w:sz="2" w:space="0"/>
              <w:bottom w:val="single" w:color="auto" w:sz="2" w:space="0"/>
              <w:right w:val="single" w:color="auto" w:sz="2" w:space="0"/>
            </w:tcBorders>
            <w:vAlign w:val="center"/>
          </w:tcPr>
          <w:p w14:paraId="6A31DA3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8CA415">
            <w:pPr>
              <w:spacing w:line="240" w:lineRule="exact"/>
              <w:jc w:val="right"/>
              <w:rPr>
                <w:rFonts w:ascii="宋体" w:hAnsi="宋体" w:eastAsia="宋体" w:cs="宋体"/>
                <w:sz w:val="18"/>
                <w:szCs w:val="18"/>
              </w:rPr>
            </w:pPr>
            <w:r>
              <w:rPr>
                <w:rFonts w:ascii="宋体" w:hAnsi="宋体" w:eastAsia="宋体" w:cs="宋体"/>
                <w:sz w:val="18"/>
                <w:szCs w:val="18"/>
              </w:rPr>
              <w:t>-425,136,992.26</w:t>
            </w:r>
          </w:p>
        </w:tc>
        <w:tc>
          <w:tcPr>
            <w:tcW w:w="563" w:type="dxa"/>
            <w:tcBorders>
              <w:top w:val="single" w:color="auto" w:sz="2" w:space="0"/>
              <w:left w:val="single" w:color="auto" w:sz="2" w:space="0"/>
              <w:bottom w:val="single" w:color="auto" w:sz="2" w:space="0"/>
              <w:right w:val="single" w:color="auto" w:sz="2" w:space="0"/>
            </w:tcBorders>
            <w:vAlign w:val="center"/>
          </w:tcPr>
          <w:p w14:paraId="4F7F6D0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86969C">
            <w:pPr>
              <w:spacing w:line="240" w:lineRule="exact"/>
              <w:jc w:val="right"/>
              <w:rPr>
                <w:rFonts w:ascii="宋体" w:hAnsi="宋体" w:eastAsia="宋体" w:cs="宋体"/>
                <w:sz w:val="18"/>
                <w:szCs w:val="18"/>
              </w:rPr>
            </w:pPr>
            <w:r>
              <w:rPr>
                <w:rFonts w:ascii="宋体" w:hAnsi="宋体" w:eastAsia="宋体" w:cs="宋体"/>
                <w:sz w:val="18"/>
                <w:szCs w:val="18"/>
              </w:rPr>
              <w:t>121,687,013.28</w:t>
            </w:r>
          </w:p>
        </w:tc>
        <w:tc>
          <w:tcPr>
            <w:tcW w:w="563" w:type="dxa"/>
            <w:tcBorders>
              <w:top w:val="single" w:color="auto" w:sz="2" w:space="0"/>
              <w:left w:val="single" w:color="auto" w:sz="2" w:space="0"/>
              <w:bottom w:val="single" w:color="auto" w:sz="2" w:space="0"/>
              <w:right w:val="single" w:color="auto" w:sz="2" w:space="0"/>
            </w:tcBorders>
            <w:vAlign w:val="center"/>
          </w:tcPr>
          <w:p w14:paraId="544CBC2E">
            <w:pPr>
              <w:spacing w:line="240" w:lineRule="exact"/>
              <w:jc w:val="right"/>
              <w:rPr>
                <w:rFonts w:ascii="宋体" w:hAnsi="宋体" w:eastAsia="宋体" w:cs="宋体"/>
                <w:sz w:val="18"/>
                <w:szCs w:val="18"/>
              </w:rPr>
            </w:pPr>
            <w:r>
              <w:rPr>
                <w:rFonts w:ascii="宋体" w:hAnsi="宋体" w:eastAsia="宋体" w:cs="宋体"/>
                <w:sz w:val="18"/>
                <w:szCs w:val="18"/>
              </w:rPr>
              <w:t>459,628,611.74</w:t>
            </w:r>
          </w:p>
        </w:tc>
        <w:tc>
          <w:tcPr>
            <w:tcW w:w="563" w:type="dxa"/>
            <w:tcBorders>
              <w:top w:val="single" w:color="auto" w:sz="2" w:space="0"/>
              <w:left w:val="single" w:color="auto" w:sz="2" w:space="0"/>
              <w:bottom w:val="single" w:color="auto" w:sz="2" w:space="0"/>
              <w:right w:val="single" w:color="auto" w:sz="2" w:space="0"/>
            </w:tcBorders>
            <w:vAlign w:val="center"/>
          </w:tcPr>
          <w:p w14:paraId="1EDC24ED">
            <w:pPr>
              <w:spacing w:line="240" w:lineRule="exact"/>
              <w:jc w:val="right"/>
              <w:rPr>
                <w:rFonts w:ascii="宋体" w:hAnsi="宋体" w:eastAsia="宋体" w:cs="宋体"/>
                <w:sz w:val="18"/>
                <w:szCs w:val="18"/>
              </w:rPr>
            </w:pPr>
            <w:r>
              <w:rPr>
                <w:rFonts w:ascii="宋体" w:hAnsi="宋体" w:eastAsia="宋体" w:cs="宋体"/>
                <w:sz w:val="18"/>
                <w:szCs w:val="18"/>
              </w:rPr>
              <w:t>581,315,625.02</w:t>
            </w:r>
          </w:p>
        </w:tc>
      </w:tr>
    </w:tbl>
    <w:p w14:paraId="45678818">
      <w:pPr>
        <w:spacing w:before="100" w:after="100" w:line="240" w:lineRule="exact"/>
        <w:rPr>
          <w:rFonts w:ascii="宋体" w:hAnsi="宋体" w:eastAsia="宋体" w:cs="宋体"/>
          <w:sz w:val="18"/>
          <w:szCs w:val="18"/>
        </w:rPr>
      </w:pPr>
      <w:r>
        <w:rPr>
          <w:rFonts w:ascii="宋体" w:hAnsi="宋体" w:eastAsia="宋体" w:cs="宋体"/>
          <w:sz w:val="18"/>
          <w:szCs w:val="18"/>
        </w:rPr>
        <w:t>上年金额</w:t>
      </w:r>
    </w:p>
    <w:p w14:paraId="2FDCDFC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98"/>
        <w:gridCol w:w="562"/>
        <w:gridCol w:w="562"/>
        <w:gridCol w:w="562"/>
        <w:gridCol w:w="562"/>
        <w:gridCol w:w="563"/>
        <w:gridCol w:w="563"/>
        <w:gridCol w:w="563"/>
        <w:gridCol w:w="563"/>
        <w:gridCol w:w="563"/>
        <w:gridCol w:w="563"/>
        <w:gridCol w:w="563"/>
        <w:gridCol w:w="563"/>
        <w:gridCol w:w="563"/>
        <w:gridCol w:w="563"/>
        <w:gridCol w:w="563"/>
      </w:tblGrid>
      <w:tr w14:paraId="0EF82697">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82A89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439"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7A89AE7F">
            <w:pPr>
              <w:spacing w:before="40" w:after="40" w:line="240" w:lineRule="exact"/>
              <w:jc w:val="center"/>
              <w:rPr>
                <w:rFonts w:ascii="宋体" w:hAnsi="宋体" w:eastAsia="宋体" w:cs="宋体"/>
                <w:sz w:val="18"/>
                <w:szCs w:val="18"/>
              </w:rPr>
            </w:pPr>
            <w:r>
              <w:rPr>
                <w:rFonts w:ascii="宋体" w:hAnsi="宋体" w:eastAsia="宋体" w:cs="宋体"/>
                <w:sz w:val="18"/>
                <w:szCs w:val="18"/>
              </w:rPr>
              <w:t>2023年半年度</w:t>
            </w:r>
          </w:p>
        </w:tc>
      </w:tr>
      <w:tr w14:paraId="63B864F1">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ED2A6C"/>
        </w:tc>
        <w:tc>
          <w:tcPr>
            <w:tcW w:w="7314"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05815A96">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7CEECE">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E22529">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5DD2C12E">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056398"/>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CA833A">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1688"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D192D12">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E3060B">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6BD39A">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A17B4F">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20460AA">
            <w:pPr>
              <w:spacing w:before="40" w:after="40" w:line="240" w:lineRule="exact"/>
              <w:rPr>
                <w:rFonts w:ascii="宋体" w:hAnsi="宋体" w:eastAsia="宋体" w:cs="宋体"/>
                <w:sz w:val="18"/>
                <w:szCs w:val="18"/>
              </w:rPr>
            </w:pPr>
            <w:r>
              <w:rPr>
                <w:rFonts w:ascii="宋体" w:hAnsi="宋体" w:eastAsia="宋体" w:cs="宋体"/>
                <w:sz w:val="18"/>
                <w:szCs w:val="18"/>
              </w:rPr>
              <w:t>专项储备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FD20DE">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5E2A696">
            <w:pPr>
              <w:spacing w:before="40" w:after="40" w:line="240" w:lineRule="exact"/>
              <w:jc w:val="center"/>
              <w:rPr>
                <w:rFonts w:ascii="宋体" w:hAnsi="宋体" w:eastAsia="宋体" w:cs="宋体"/>
                <w:sz w:val="18"/>
                <w:szCs w:val="18"/>
              </w:rPr>
            </w:pPr>
            <w:r>
              <w:rPr>
                <w:rFonts w:ascii="宋体" w:hAnsi="宋体" w:eastAsia="宋体" w:cs="宋体"/>
                <w:sz w:val="18"/>
                <w:szCs w:val="18"/>
              </w:rPr>
              <w:t>一般风险准备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31D9C56">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20372E6">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5BAB5C">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C9BF0A"/>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B2BB93"/>
        </w:tc>
      </w:tr>
      <w:tr w14:paraId="68AE9CC8">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49E630"/>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10AF88"/>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522AC40E">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4DB02A25">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7A4DBE35">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86DF42"/>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2F9EF3"/>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F19E0E"/>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71494764"/>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44AC09"/>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888D8B"/>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AAD0C8"/>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5D1866D7"/>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0C2E2C50"/>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266A33F"/>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6918BD8"/>
        </w:tc>
      </w:tr>
      <w:tr w14:paraId="3B6EC54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DC19128">
            <w:pPr>
              <w:spacing w:before="40" w:after="40" w:line="240" w:lineRule="exact"/>
              <w:rPr>
                <w:rFonts w:ascii="宋体" w:hAnsi="宋体" w:eastAsia="宋体" w:cs="宋体"/>
                <w:sz w:val="18"/>
                <w:szCs w:val="18"/>
              </w:rPr>
            </w:pPr>
            <w:r>
              <w:rPr>
                <w:rFonts w:ascii="宋体" w:hAnsi="宋体" w:eastAsia="宋体" w:cs="宋体"/>
                <w:sz w:val="18"/>
                <w:szCs w:val="18"/>
              </w:rPr>
              <w:t>一、上年期末余额</w:t>
            </w:r>
          </w:p>
        </w:tc>
        <w:tc>
          <w:tcPr>
            <w:tcW w:w="563" w:type="dxa"/>
            <w:tcBorders>
              <w:top w:val="single" w:color="auto" w:sz="2" w:space="0"/>
              <w:left w:val="single" w:color="auto" w:sz="2" w:space="0"/>
              <w:bottom w:val="single" w:color="auto" w:sz="2" w:space="0"/>
              <w:right w:val="single" w:color="auto" w:sz="2" w:space="0"/>
            </w:tcBorders>
            <w:vAlign w:val="center"/>
          </w:tcPr>
          <w:p w14:paraId="55EA5F9B">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563" w:type="dxa"/>
            <w:tcBorders>
              <w:top w:val="single" w:color="auto" w:sz="2" w:space="0"/>
              <w:left w:val="single" w:color="auto" w:sz="2" w:space="0"/>
              <w:bottom w:val="single" w:color="auto" w:sz="2" w:space="0"/>
              <w:right w:val="single" w:color="auto" w:sz="2" w:space="0"/>
            </w:tcBorders>
            <w:vAlign w:val="center"/>
          </w:tcPr>
          <w:p w14:paraId="1B62A05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AEEE9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03284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2C6848">
            <w:pPr>
              <w:spacing w:line="240" w:lineRule="exact"/>
              <w:jc w:val="right"/>
              <w:rPr>
                <w:rFonts w:ascii="宋体" w:hAnsi="宋体" w:eastAsia="宋体" w:cs="宋体"/>
                <w:sz w:val="18"/>
                <w:szCs w:val="18"/>
              </w:rPr>
            </w:pPr>
            <w:r>
              <w:rPr>
                <w:rFonts w:ascii="宋体" w:hAnsi="宋体" w:eastAsia="宋体" w:cs="宋体"/>
                <w:sz w:val="18"/>
                <w:szCs w:val="18"/>
              </w:rPr>
              <w:t>24,059,607.52</w:t>
            </w:r>
          </w:p>
        </w:tc>
        <w:tc>
          <w:tcPr>
            <w:tcW w:w="563" w:type="dxa"/>
            <w:tcBorders>
              <w:top w:val="single" w:color="auto" w:sz="2" w:space="0"/>
              <w:left w:val="single" w:color="auto" w:sz="2" w:space="0"/>
              <w:bottom w:val="single" w:color="auto" w:sz="2" w:space="0"/>
              <w:right w:val="single" w:color="auto" w:sz="2" w:space="0"/>
            </w:tcBorders>
            <w:vAlign w:val="center"/>
          </w:tcPr>
          <w:p w14:paraId="5DA9791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97F0A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4F8FDF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336311">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563" w:type="dxa"/>
            <w:tcBorders>
              <w:top w:val="single" w:color="auto" w:sz="2" w:space="0"/>
              <w:left w:val="single" w:color="auto" w:sz="2" w:space="0"/>
              <w:bottom w:val="single" w:color="auto" w:sz="2" w:space="0"/>
              <w:right w:val="single" w:color="auto" w:sz="2" w:space="0"/>
            </w:tcBorders>
            <w:vAlign w:val="center"/>
          </w:tcPr>
          <w:p w14:paraId="316C4C7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BDF0B5">
            <w:pPr>
              <w:spacing w:line="240" w:lineRule="exact"/>
              <w:jc w:val="right"/>
              <w:rPr>
                <w:rFonts w:ascii="宋体" w:hAnsi="宋体" w:eastAsia="宋体" w:cs="宋体"/>
                <w:sz w:val="18"/>
                <w:szCs w:val="18"/>
              </w:rPr>
            </w:pPr>
            <w:r>
              <w:rPr>
                <w:rFonts w:ascii="宋体" w:hAnsi="宋体" w:eastAsia="宋体" w:cs="宋体"/>
                <w:sz w:val="18"/>
                <w:szCs w:val="18"/>
              </w:rPr>
              <w:t>-409,437,595.69</w:t>
            </w:r>
          </w:p>
        </w:tc>
        <w:tc>
          <w:tcPr>
            <w:tcW w:w="563" w:type="dxa"/>
            <w:tcBorders>
              <w:top w:val="single" w:color="auto" w:sz="2" w:space="0"/>
              <w:left w:val="single" w:color="auto" w:sz="2" w:space="0"/>
              <w:bottom w:val="single" w:color="auto" w:sz="2" w:space="0"/>
              <w:right w:val="single" w:color="auto" w:sz="2" w:space="0"/>
            </w:tcBorders>
            <w:vAlign w:val="center"/>
          </w:tcPr>
          <w:p w14:paraId="6BC81F2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60EFDD">
            <w:pPr>
              <w:spacing w:line="240" w:lineRule="exact"/>
              <w:jc w:val="right"/>
              <w:rPr>
                <w:rFonts w:ascii="宋体" w:hAnsi="宋体" w:eastAsia="宋体" w:cs="宋体"/>
                <w:sz w:val="18"/>
                <w:szCs w:val="18"/>
              </w:rPr>
            </w:pPr>
            <w:r>
              <w:rPr>
                <w:rFonts w:ascii="宋体" w:hAnsi="宋体" w:eastAsia="宋体" w:cs="宋体"/>
                <w:sz w:val="18"/>
                <w:szCs w:val="18"/>
              </w:rPr>
              <w:t>-52,394,410.90</w:t>
            </w:r>
          </w:p>
        </w:tc>
        <w:tc>
          <w:tcPr>
            <w:tcW w:w="563" w:type="dxa"/>
            <w:tcBorders>
              <w:top w:val="single" w:color="auto" w:sz="2" w:space="0"/>
              <w:left w:val="single" w:color="auto" w:sz="2" w:space="0"/>
              <w:bottom w:val="single" w:color="auto" w:sz="2" w:space="0"/>
              <w:right w:val="single" w:color="auto" w:sz="2" w:space="0"/>
            </w:tcBorders>
            <w:vAlign w:val="center"/>
          </w:tcPr>
          <w:p w14:paraId="5CDEEE7D">
            <w:pPr>
              <w:spacing w:line="240" w:lineRule="exact"/>
              <w:jc w:val="right"/>
              <w:rPr>
                <w:rFonts w:ascii="宋体" w:hAnsi="宋体" w:eastAsia="宋体" w:cs="宋体"/>
                <w:sz w:val="18"/>
                <w:szCs w:val="18"/>
              </w:rPr>
            </w:pPr>
            <w:r>
              <w:rPr>
                <w:rFonts w:ascii="宋体" w:hAnsi="宋体" w:eastAsia="宋体" w:cs="宋体"/>
                <w:sz w:val="18"/>
                <w:szCs w:val="18"/>
              </w:rPr>
              <w:t>395,908,879.91</w:t>
            </w:r>
          </w:p>
        </w:tc>
        <w:tc>
          <w:tcPr>
            <w:tcW w:w="563" w:type="dxa"/>
            <w:tcBorders>
              <w:top w:val="single" w:color="auto" w:sz="2" w:space="0"/>
              <w:left w:val="single" w:color="auto" w:sz="2" w:space="0"/>
              <w:bottom w:val="single" w:color="auto" w:sz="2" w:space="0"/>
              <w:right w:val="single" w:color="auto" w:sz="2" w:space="0"/>
            </w:tcBorders>
            <w:vAlign w:val="center"/>
          </w:tcPr>
          <w:p w14:paraId="6F701F54">
            <w:pPr>
              <w:spacing w:line="240" w:lineRule="exact"/>
              <w:jc w:val="right"/>
              <w:rPr>
                <w:rFonts w:ascii="宋体" w:hAnsi="宋体" w:eastAsia="宋体" w:cs="宋体"/>
                <w:sz w:val="18"/>
                <w:szCs w:val="18"/>
              </w:rPr>
            </w:pPr>
            <w:r>
              <w:rPr>
                <w:rFonts w:ascii="宋体" w:hAnsi="宋体" w:eastAsia="宋体" w:cs="宋体"/>
                <w:sz w:val="18"/>
                <w:szCs w:val="18"/>
              </w:rPr>
              <w:t>343,514,469.01</w:t>
            </w:r>
          </w:p>
        </w:tc>
      </w:tr>
      <w:tr w14:paraId="1C61A18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3927CF9">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加：会计政策变更</w:t>
            </w:r>
          </w:p>
        </w:tc>
        <w:tc>
          <w:tcPr>
            <w:tcW w:w="563" w:type="dxa"/>
            <w:tcBorders>
              <w:top w:val="single" w:color="auto" w:sz="2" w:space="0"/>
              <w:left w:val="single" w:color="auto" w:sz="2" w:space="0"/>
              <w:bottom w:val="single" w:color="auto" w:sz="2" w:space="0"/>
              <w:right w:val="single" w:color="auto" w:sz="2" w:space="0"/>
            </w:tcBorders>
            <w:vAlign w:val="center"/>
          </w:tcPr>
          <w:p w14:paraId="45D129E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4288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800A9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22F9A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CF66D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A9E9C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7B3C2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C0A15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F9ED9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1C2D5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0455F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63E6F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A1391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184EF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9A66AB">
            <w:pPr>
              <w:spacing w:line="240" w:lineRule="exact"/>
              <w:jc w:val="right"/>
              <w:rPr>
                <w:rFonts w:ascii="宋体" w:hAnsi="宋体" w:eastAsia="宋体" w:cs="宋体"/>
                <w:sz w:val="18"/>
                <w:szCs w:val="18"/>
              </w:rPr>
            </w:pPr>
          </w:p>
        </w:tc>
      </w:tr>
      <w:tr w14:paraId="030B9DC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87DEDF0">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前期差错更正</w:t>
            </w:r>
          </w:p>
        </w:tc>
        <w:tc>
          <w:tcPr>
            <w:tcW w:w="563" w:type="dxa"/>
            <w:tcBorders>
              <w:top w:val="single" w:color="auto" w:sz="2" w:space="0"/>
              <w:left w:val="single" w:color="auto" w:sz="2" w:space="0"/>
              <w:bottom w:val="single" w:color="auto" w:sz="2" w:space="0"/>
              <w:right w:val="single" w:color="auto" w:sz="2" w:space="0"/>
            </w:tcBorders>
            <w:vAlign w:val="center"/>
          </w:tcPr>
          <w:p w14:paraId="421DF7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B5E88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A7295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EA9AD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4323F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C6955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5CEF3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5125E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281FD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59ED1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E98CD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CC9C6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99BB4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B300D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3414B7">
            <w:pPr>
              <w:spacing w:line="240" w:lineRule="exact"/>
              <w:jc w:val="right"/>
              <w:rPr>
                <w:rFonts w:ascii="宋体" w:hAnsi="宋体" w:eastAsia="宋体" w:cs="宋体"/>
                <w:sz w:val="18"/>
                <w:szCs w:val="18"/>
              </w:rPr>
            </w:pPr>
          </w:p>
        </w:tc>
      </w:tr>
      <w:tr w14:paraId="15BDB17D">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FB19BD5">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其他</w:t>
            </w:r>
          </w:p>
        </w:tc>
        <w:tc>
          <w:tcPr>
            <w:tcW w:w="563" w:type="dxa"/>
            <w:tcBorders>
              <w:top w:val="single" w:color="auto" w:sz="2" w:space="0"/>
              <w:left w:val="single" w:color="auto" w:sz="2" w:space="0"/>
              <w:bottom w:val="single" w:color="auto" w:sz="2" w:space="0"/>
              <w:right w:val="single" w:color="auto" w:sz="2" w:space="0"/>
            </w:tcBorders>
            <w:vAlign w:val="center"/>
          </w:tcPr>
          <w:p w14:paraId="0BB43CD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8E8AE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746DE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A82B0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8780A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5FBA6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7F91B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05C0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C019C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A8EE2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C473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847E7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F4564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9E9A5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94C104">
            <w:pPr>
              <w:spacing w:line="240" w:lineRule="exact"/>
              <w:jc w:val="right"/>
              <w:rPr>
                <w:rFonts w:ascii="宋体" w:hAnsi="宋体" w:eastAsia="宋体" w:cs="宋体"/>
                <w:sz w:val="18"/>
                <w:szCs w:val="18"/>
              </w:rPr>
            </w:pPr>
          </w:p>
        </w:tc>
      </w:tr>
      <w:tr w14:paraId="6B084A1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94EC5C7">
            <w:pPr>
              <w:spacing w:before="40" w:after="40" w:line="240" w:lineRule="exact"/>
              <w:rPr>
                <w:rFonts w:ascii="宋体" w:hAnsi="宋体" w:eastAsia="宋体" w:cs="宋体"/>
                <w:sz w:val="18"/>
                <w:szCs w:val="18"/>
              </w:rPr>
            </w:pPr>
            <w:r>
              <w:rPr>
                <w:rFonts w:ascii="宋体" w:hAnsi="宋体" w:eastAsia="宋体" w:cs="宋体"/>
                <w:sz w:val="18"/>
                <w:szCs w:val="18"/>
              </w:rPr>
              <w:t>二、本年期初余额</w:t>
            </w:r>
          </w:p>
        </w:tc>
        <w:tc>
          <w:tcPr>
            <w:tcW w:w="563" w:type="dxa"/>
            <w:tcBorders>
              <w:top w:val="single" w:color="auto" w:sz="2" w:space="0"/>
              <w:left w:val="single" w:color="auto" w:sz="2" w:space="0"/>
              <w:bottom w:val="single" w:color="auto" w:sz="2" w:space="0"/>
              <w:right w:val="single" w:color="auto" w:sz="2" w:space="0"/>
            </w:tcBorders>
            <w:vAlign w:val="center"/>
          </w:tcPr>
          <w:p w14:paraId="4E063411">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563" w:type="dxa"/>
            <w:tcBorders>
              <w:top w:val="single" w:color="auto" w:sz="2" w:space="0"/>
              <w:left w:val="single" w:color="auto" w:sz="2" w:space="0"/>
              <w:bottom w:val="single" w:color="auto" w:sz="2" w:space="0"/>
              <w:right w:val="single" w:color="auto" w:sz="2" w:space="0"/>
            </w:tcBorders>
            <w:vAlign w:val="center"/>
          </w:tcPr>
          <w:p w14:paraId="5F0842A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F299C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0314B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3F19CF">
            <w:pPr>
              <w:spacing w:line="240" w:lineRule="exact"/>
              <w:jc w:val="right"/>
              <w:rPr>
                <w:rFonts w:ascii="宋体" w:hAnsi="宋体" w:eastAsia="宋体" w:cs="宋体"/>
                <w:sz w:val="18"/>
                <w:szCs w:val="18"/>
              </w:rPr>
            </w:pPr>
            <w:r>
              <w:rPr>
                <w:rFonts w:ascii="宋体" w:hAnsi="宋体" w:eastAsia="宋体" w:cs="宋体"/>
                <w:sz w:val="18"/>
                <w:szCs w:val="18"/>
              </w:rPr>
              <w:t>24,059,607.52</w:t>
            </w:r>
          </w:p>
        </w:tc>
        <w:tc>
          <w:tcPr>
            <w:tcW w:w="563" w:type="dxa"/>
            <w:tcBorders>
              <w:top w:val="single" w:color="auto" w:sz="2" w:space="0"/>
              <w:left w:val="single" w:color="auto" w:sz="2" w:space="0"/>
              <w:bottom w:val="single" w:color="auto" w:sz="2" w:space="0"/>
              <w:right w:val="single" w:color="auto" w:sz="2" w:space="0"/>
            </w:tcBorders>
            <w:vAlign w:val="center"/>
          </w:tcPr>
          <w:p w14:paraId="24CDE5C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F5CD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E7F38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754946">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563" w:type="dxa"/>
            <w:tcBorders>
              <w:top w:val="single" w:color="auto" w:sz="2" w:space="0"/>
              <w:left w:val="single" w:color="auto" w:sz="2" w:space="0"/>
              <w:bottom w:val="single" w:color="auto" w:sz="2" w:space="0"/>
              <w:right w:val="single" w:color="auto" w:sz="2" w:space="0"/>
            </w:tcBorders>
            <w:vAlign w:val="center"/>
          </w:tcPr>
          <w:p w14:paraId="1488B8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24920A">
            <w:pPr>
              <w:spacing w:line="240" w:lineRule="exact"/>
              <w:jc w:val="right"/>
              <w:rPr>
                <w:rFonts w:ascii="宋体" w:hAnsi="宋体" w:eastAsia="宋体" w:cs="宋体"/>
                <w:sz w:val="18"/>
                <w:szCs w:val="18"/>
              </w:rPr>
            </w:pPr>
            <w:r>
              <w:rPr>
                <w:rFonts w:ascii="宋体" w:hAnsi="宋体" w:eastAsia="宋体" w:cs="宋体"/>
                <w:sz w:val="18"/>
                <w:szCs w:val="18"/>
              </w:rPr>
              <w:t>-409,437,595.69</w:t>
            </w:r>
          </w:p>
        </w:tc>
        <w:tc>
          <w:tcPr>
            <w:tcW w:w="563" w:type="dxa"/>
            <w:tcBorders>
              <w:top w:val="single" w:color="auto" w:sz="2" w:space="0"/>
              <w:left w:val="single" w:color="auto" w:sz="2" w:space="0"/>
              <w:bottom w:val="single" w:color="auto" w:sz="2" w:space="0"/>
              <w:right w:val="single" w:color="auto" w:sz="2" w:space="0"/>
            </w:tcBorders>
            <w:vAlign w:val="center"/>
          </w:tcPr>
          <w:p w14:paraId="02035F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81F0D6">
            <w:pPr>
              <w:spacing w:line="240" w:lineRule="exact"/>
              <w:jc w:val="right"/>
              <w:rPr>
                <w:rFonts w:ascii="宋体" w:hAnsi="宋体" w:eastAsia="宋体" w:cs="宋体"/>
                <w:sz w:val="18"/>
                <w:szCs w:val="18"/>
              </w:rPr>
            </w:pPr>
            <w:r>
              <w:rPr>
                <w:rFonts w:ascii="宋体" w:hAnsi="宋体" w:eastAsia="宋体" w:cs="宋体"/>
                <w:sz w:val="18"/>
                <w:szCs w:val="18"/>
              </w:rPr>
              <w:t>-52,394,410.90</w:t>
            </w:r>
          </w:p>
        </w:tc>
        <w:tc>
          <w:tcPr>
            <w:tcW w:w="563" w:type="dxa"/>
            <w:tcBorders>
              <w:top w:val="single" w:color="auto" w:sz="2" w:space="0"/>
              <w:left w:val="single" w:color="auto" w:sz="2" w:space="0"/>
              <w:bottom w:val="single" w:color="auto" w:sz="2" w:space="0"/>
              <w:right w:val="single" w:color="auto" w:sz="2" w:space="0"/>
            </w:tcBorders>
            <w:vAlign w:val="center"/>
          </w:tcPr>
          <w:p w14:paraId="52012121">
            <w:pPr>
              <w:spacing w:line="240" w:lineRule="exact"/>
              <w:jc w:val="right"/>
              <w:rPr>
                <w:rFonts w:ascii="宋体" w:hAnsi="宋体" w:eastAsia="宋体" w:cs="宋体"/>
                <w:sz w:val="18"/>
                <w:szCs w:val="18"/>
              </w:rPr>
            </w:pPr>
            <w:r>
              <w:rPr>
                <w:rFonts w:ascii="宋体" w:hAnsi="宋体" w:eastAsia="宋体" w:cs="宋体"/>
                <w:sz w:val="18"/>
                <w:szCs w:val="18"/>
              </w:rPr>
              <w:t>395,908,879.91</w:t>
            </w:r>
          </w:p>
        </w:tc>
        <w:tc>
          <w:tcPr>
            <w:tcW w:w="563" w:type="dxa"/>
            <w:tcBorders>
              <w:top w:val="single" w:color="auto" w:sz="2" w:space="0"/>
              <w:left w:val="single" w:color="auto" w:sz="2" w:space="0"/>
              <w:bottom w:val="single" w:color="auto" w:sz="2" w:space="0"/>
              <w:right w:val="single" w:color="auto" w:sz="2" w:space="0"/>
            </w:tcBorders>
            <w:vAlign w:val="center"/>
          </w:tcPr>
          <w:p w14:paraId="1060C23D">
            <w:pPr>
              <w:spacing w:line="240" w:lineRule="exact"/>
              <w:jc w:val="right"/>
              <w:rPr>
                <w:rFonts w:ascii="宋体" w:hAnsi="宋体" w:eastAsia="宋体" w:cs="宋体"/>
                <w:sz w:val="18"/>
                <w:szCs w:val="18"/>
              </w:rPr>
            </w:pPr>
            <w:r>
              <w:rPr>
                <w:rFonts w:ascii="宋体" w:hAnsi="宋体" w:eastAsia="宋体" w:cs="宋体"/>
                <w:sz w:val="18"/>
                <w:szCs w:val="18"/>
              </w:rPr>
              <w:t>343,514,469.01</w:t>
            </w:r>
          </w:p>
        </w:tc>
      </w:tr>
      <w:tr w14:paraId="315E774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80E58F3">
            <w:pPr>
              <w:spacing w:before="40" w:after="40" w:line="240" w:lineRule="exact"/>
              <w:rPr>
                <w:rFonts w:ascii="宋体" w:hAnsi="宋体" w:eastAsia="宋体" w:cs="宋体"/>
                <w:sz w:val="18"/>
                <w:szCs w:val="18"/>
              </w:rPr>
            </w:pPr>
            <w:r>
              <w:rPr>
                <w:rFonts w:ascii="宋体" w:hAnsi="宋体" w:eastAsia="宋体" w:cs="宋体"/>
                <w:sz w:val="18"/>
                <w:szCs w:val="18"/>
              </w:rPr>
              <w:t>三、本期增减变动金额（减少以“—”号填列）</w:t>
            </w:r>
          </w:p>
        </w:tc>
        <w:tc>
          <w:tcPr>
            <w:tcW w:w="563" w:type="dxa"/>
            <w:tcBorders>
              <w:top w:val="single" w:color="auto" w:sz="2" w:space="0"/>
              <w:left w:val="single" w:color="auto" w:sz="2" w:space="0"/>
              <w:bottom w:val="single" w:color="auto" w:sz="2" w:space="0"/>
              <w:right w:val="single" w:color="auto" w:sz="2" w:space="0"/>
            </w:tcBorders>
            <w:vAlign w:val="center"/>
          </w:tcPr>
          <w:p w14:paraId="197735F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D5E672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A8FB6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C1278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177916">
            <w:pPr>
              <w:spacing w:line="240" w:lineRule="exact"/>
              <w:jc w:val="right"/>
              <w:rPr>
                <w:rFonts w:ascii="宋体" w:hAnsi="宋体" w:eastAsia="宋体" w:cs="宋体"/>
                <w:sz w:val="18"/>
                <w:szCs w:val="18"/>
              </w:rPr>
            </w:pPr>
            <w:r>
              <w:rPr>
                <w:rFonts w:ascii="宋体" w:hAnsi="宋体" w:eastAsia="宋体" w:cs="宋体"/>
                <w:sz w:val="18"/>
                <w:szCs w:val="18"/>
              </w:rPr>
              <w:t>247,387.93</w:t>
            </w:r>
          </w:p>
        </w:tc>
        <w:tc>
          <w:tcPr>
            <w:tcW w:w="563" w:type="dxa"/>
            <w:tcBorders>
              <w:top w:val="single" w:color="auto" w:sz="2" w:space="0"/>
              <w:left w:val="single" w:color="auto" w:sz="2" w:space="0"/>
              <w:bottom w:val="single" w:color="auto" w:sz="2" w:space="0"/>
              <w:right w:val="single" w:color="auto" w:sz="2" w:space="0"/>
            </w:tcBorders>
            <w:vAlign w:val="center"/>
          </w:tcPr>
          <w:p w14:paraId="4A8CF63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CD8E4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D89A9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AEF69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37862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226AF3">
            <w:pPr>
              <w:spacing w:line="240" w:lineRule="exact"/>
              <w:jc w:val="right"/>
              <w:rPr>
                <w:rFonts w:ascii="宋体" w:hAnsi="宋体" w:eastAsia="宋体" w:cs="宋体"/>
                <w:sz w:val="18"/>
                <w:szCs w:val="18"/>
              </w:rPr>
            </w:pPr>
            <w:r>
              <w:rPr>
                <w:rFonts w:ascii="宋体" w:hAnsi="宋体" w:eastAsia="宋体" w:cs="宋体"/>
                <w:sz w:val="18"/>
                <w:szCs w:val="18"/>
              </w:rPr>
              <w:t>-39,953,574.25</w:t>
            </w:r>
          </w:p>
        </w:tc>
        <w:tc>
          <w:tcPr>
            <w:tcW w:w="563" w:type="dxa"/>
            <w:tcBorders>
              <w:top w:val="single" w:color="auto" w:sz="2" w:space="0"/>
              <w:left w:val="single" w:color="auto" w:sz="2" w:space="0"/>
              <w:bottom w:val="single" w:color="auto" w:sz="2" w:space="0"/>
              <w:right w:val="single" w:color="auto" w:sz="2" w:space="0"/>
            </w:tcBorders>
            <w:vAlign w:val="center"/>
          </w:tcPr>
          <w:p w14:paraId="2B6DAB8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59CC7C">
            <w:pPr>
              <w:spacing w:line="240" w:lineRule="exact"/>
              <w:jc w:val="right"/>
              <w:rPr>
                <w:rFonts w:ascii="宋体" w:hAnsi="宋体" w:eastAsia="宋体" w:cs="宋体"/>
                <w:sz w:val="18"/>
                <w:szCs w:val="18"/>
              </w:rPr>
            </w:pPr>
            <w:r>
              <w:rPr>
                <w:rFonts w:ascii="宋体" w:hAnsi="宋体" w:eastAsia="宋体" w:cs="宋体"/>
                <w:sz w:val="18"/>
                <w:szCs w:val="18"/>
              </w:rPr>
              <w:t>-39,706,186.32</w:t>
            </w:r>
          </w:p>
        </w:tc>
        <w:tc>
          <w:tcPr>
            <w:tcW w:w="563" w:type="dxa"/>
            <w:tcBorders>
              <w:top w:val="single" w:color="auto" w:sz="2" w:space="0"/>
              <w:left w:val="single" w:color="auto" w:sz="2" w:space="0"/>
              <w:bottom w:val="single" w:color="auto" w:sz="2" w:space="0"/>
              <w:right w:val="single" w:color="auto" w:sz="2" w:space="0"/>
            </w:tcBorders>
            <w:vAlign w:val="center"/>
          </w:tcPr>
          <w:p w14:paraId="7506693D">
            <w:pPr>
              <w:spacing w:line="240" w:lineRule="exact"/>
              <w:jc w:val="right"/>
              <w:rPr>
                <w:rFonts w:ascii="宋体" w:hAnsi="宋体" w:eastAsia="宋体" w:cs="宋体"/>
                <w:sz w:val="18"/>
                <w:szCs w:val="18"/>
              </w:rPr>
            </w:pPr>
            <w:r>
              <w:rPr>
                <w:rFonts w:ascii="宋体" w:hAnsi="宋体" w:eastAsia="宋体" w:cs="宋体"/>
                <w:sz w:val="18"/>
                <w:szCs w:val="18"/>
              </w:rPr>
              <w:t>-9,273,111.25</w:t>
            </w:r>
          </w:p>
        </w:tc>
        <w:tc>
          <w:tcPr>
            <w:tcW w:w="563" w:type="dxa"/>
            <w:tcBorders>
              <w:top w:val="single" w:color="auto" w:sz="2" w:space="0"/>
              <w:left w:val="single" w:color="auto" w:sz="2" w:space="0"/>
              <w:bottom w:val="single" w:color="auto" w:sz="2" w:space="0"/>
              <w:right w:val="single" w:color="auto" w:sz="2" w:space="0"/>
            </w:tcBorders>
            <w:vAlign w:val="center"/>
          </w:tcPr>
          <w:p w14:paraId="12005235">
            <w:pPr>
              <w:spacing w:line="240" w:lineRule="exact"/>
              <w:jc w:val="right"/>
              <w:rPr>
                <w:rFonts w:ascii="宋体" w:hAnsi="宋体" w:eastAsia="宋体" w:cs="宋体"/>
                <w:sz w:val="18"/>
                <w:szCs w:val="18"/>
              </w:rPr>
            </w:pPr>
            <w:r>
              <w:rPr>
                <w:rFonts w:ascii="宋体" w:hAnsi="宋体" w:eastAsia="宋体" w:cs="宋体"/>
                <w:sz w:val="18"/>
                <w:szCs w:val="18"/>
              </w:rPr>
              <w:t>-48,979,297.57</w:t>
            </w:r>
          </w:p>
        </w:tc>
      </w:tr>
      <w:tr w14:paraId="64D372A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0127EDE">
            <w:pPr>
              <w:spacing w:before="40" w:after="40" w:line="240" w:lineRule="exact"/>
              <w:rPr>
                <w:rFonts w:ascii="宋体" w:hAnsi="宋体" w:eastAsia="宋体" w:cs="宋体"/>
                <w:sz w:val="18"/>
                <w:szCs w:val="18"/>
              </w:rPr>
            </w:pPr>
            <w:r>
              <w:rPr>
                <w:rFonts w:ascii="宋体" w:hAnsi="宋体" w:eastAsia="宋体" w:cs="宋体"/>
                <w:sz w:val="18"/>
                <w:szCs w:val="18"/>
              </w:rPr>
              <w:t>（一）综合收益总额</w:t>
            </w:r>
          </w:p>
        </w:tc>
        <w:tc>
          <w:tcPr>
            <w:tcW w:w="563" w:type="dxa"/>
            <w:tcBorders>
              <w:top w:val="single" w:color="auto" w:sz="2" w:space="0"/>
              <w:left w:val="single" w:color="auto" w:sz="2" w:space="0"/>
              <w:bottom w:val="single" w:color="auto" w:sz="2" w:space="0"/>
              <w:right w:val="single" w:color="auto" w:sz="2" w:space="0"/>
            </w:tcBorders>
            <w:vAlign w:val="center"/>
          </w:tcPr>
          <w:p w14:paraId="3099B43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A4345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79DA6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BD977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685A1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55F8F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3D84F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237C2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5FD93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1DBB8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B0C127">
            <w:pPr>
              <w:spacing w:line="240" w:lineRule="exact"/>
              <w:jc w:val="right"/>
              <w:rPr>
                <w:rFonts w:ascii="宋体" w:hAnsi="宋体" w:eastAsia="宋体" w:cs="宋体"/>
                <w:sz w:val="18"/>
                <w:szCs w:val="18"/>
              </w:rPr>
            </w:pPr>
            <w:r>
              <w:rPr>
                <w:rFonts w:ascii="宋体" w:hAnsi="宋体" w:eastAsia="宋体" w:cs="宋体"/>
                <w:sz w:val="18"/>
                <w:szCs w:val="18"/>
              </w:rPr>
              <w:t>-39,953,574.25</w:t>
            </w:r>
          </w:p>
        </w:tc>
        <w:tc>
          <w:tcPr>
            <w:tcW w:w="563" w:type="dxa"/>
            <w:tcBorders>
              <w:top w:val="single" w:color="auto" w:sz="2" w:space="0"/>
              <w:left w:val="single" w:color="auto" w:sz="2" w:space="0"/>
              <w:bottom w:val="single" w:color="auto" w:sz="2" w:space="0"/>
              <w:right w:val="single" w:color="auto" w:sz="2" w:space="0"/>
            </w:tcBorders>
            <w:vAlign w:val="center"/>
          </w:tcPr>
          <w:p w14:paraId="62EEC01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4C4B22">
            <w:pPr>
              <w:spacing w:line="240" w:lineRule="exact"/>
              <w:jc w:val="right"/>
              <w:rPr>
                <w:rFonts w:ascii="宋体" w:hAnsi="宋体" w:eastAsia="宋体" w:cs="宋体"/>
                <w:sz w:val="18"/>
                <w:szCs w:val="18"/>
              </w:rPr>
            </w:pPr>
            <w:r>
              <w:rPr>
                <w:rFonts w:ascii="宋体" w:hAnsi="宋体" w:eastAsia="宋体" w:cs="宋体"/>
                <w:sz w:val="18"/>
                <w:szCs w:val="18"/>
              </w:rPr>
              <w:t>-39,953,574.25</w:t>
            </w:r>
          </w:p>
        </w:tc>
        <w:tc>
          <w:tcPr>
            <w:tcW w:w="563" w:type="dxa"/>
            <w:tcBorders>
              <w:top w:val="single" w:color="auto" w:sz="2" w:space="0"/>
              <w:left w:val="single" w:color="auto" w:sz="2" w:space="0"/>
              <w:bottom w:val="single" w:color="auto" w:sz="2" w:space="0"/>
              <w:right w:val="single" w:color="auto" w:sz="2" w:space="0"/>
            </w:tcBorders>
            <w:vAlign w:val="center"/>
          </w:tcPr>
          <w:p w14:paraId="15EB3F35">
            <w:pPr>
              <w:spacing w:line="240" w:lineRule="exact"/>
              <w:jc w:val="right"/>
              <w:rPr>
                <w:rFonts w:ascii="宋体" w:hAnsi="宋体" w:eastAsia="宋体" w:cs="宋体"/>
                <w:sz w:val="18"/>
                <w:szCs w:val="18"/>
              </w:rPr>
            </w:pPr>
            <w:r>
              <w:rPr>
                <w:rFonts w:ascii="宋体" w:hAnsi="宋体" w:eastAsia="宋体" w:cs="宋体"/>
                <w:sz w:val="18"/>
                <w:szCs w:val="18"/>
              </w:rPr>
              <w:t>-9,025,723.32</w:t>
            </w:r>
          </w:p>
        </w:tc>
        <w:tc>
          <w:tcPr>
            <w:tcW w:w="563" w:type="dxa"/>
            <w:tcBorders>
              <w:top w:val="single" w:color="auto" w:sz="2" w:space="0"/>
              <w:left w:val="single" w:color="auto" w:sz="2" w:space="0"/>
              <w:bottom w:val="single" w:color="auto" w:sz="2" w:space="0"/>
              <w:right w:val="single" w:color="auto" w:sz="2" w:space="0"/>
            </w:tcBorders>
            <w:vAlign w:val="center"/>
          </w:tcPr>
          <w:p w14:paraId="7CE47E6F">
            <w:pPr>
              <w:spacing w:line="240" w:lineRule="exact"/>
              <w:jc w:val="right"/>
              <w:rPr>
                <w:rFonts w:ascii="宋体" w:hAnsi="宋体" w:eastAsia="宋体" w:cs="宋体"/>
                <w:sz w:val="18"/>
                <w:szCs w:val="18"/>
              </w:rPr>
            </w:pPr>
            <w:r>
              <w:rPr>
                <w:rFonts w:ascii="宋体" w:hAnsi="宋体" w:eastAsia="宋体" w:cs="宋体"/>
                <w:sz w:val="18"/>
                <w:szCs w:val="18"/>
              </w:rPr>
              <w:t>-48,979,297.57</w:t>
            </w:r>
          </w:p>
        </w:tc>
      </w:tr>
      <w:tr w14:paraId="71CF6A4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EE1E368">
            <w:pPr>
              <w:spacing w:before="40" w:after="40" w:line="240" w:lineRule="exact"/>
              <w:rPr>
                <w:rFonts w:ascii="宋体" w:hAnsi="宋体" w:eastAsia="宋体" w:cs="宋体"/>
                <w:sz w:val="18"/>
                <w:szCs w:val="18"/>
              </w:rPr>
            </w:pPr>
            <w:r>
              <w:rPr>
                <w:rFonts w:ascii="宋体" w:hAnsi="宋体" w:eastAsia="宋体" w:cs="宋体"/>
                <w:sz w:val="18"/>
                <w:szCs w:val="18"/>
              </w:rPr>
              <w:t>（二）所有者投入和减少资本</w:t>
            </w:r>
          </w:p>
        </w:tc>
        <w:tc>
          <w:tcPr>
            <w:tcW w:w="563" w:type="dxa"/>
            <w:tcBorders>
              <w:top w:val="single" w:color="auto" w:sz="2" w:space="0"/>
              <w:left w:val="single" w:color="auto" w:sz="2" w:space="0"/>
              <w:bottom w:val="single" w:color="auto" w:sz="2" w:space="0"/>
              <w:right w:val="single" w:color="auto" w:sz="2" w:space="0"/>
            </w:tcBorders>
            <w:vAlign w:val="center"/>
          </w:tcPr>
          <w:p w14:paraId="5ADDE0D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D07DD6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C5292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C7D51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46C81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77316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AF0E3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C0B18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66D98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B3582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49705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66840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E4E28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D24B6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A36E68">
            <w:pPr>
              <w:spacing w:line="240" w:lineRule="exact"/>
              <w:jc w:val="right"/>
              <w:rPr>
                <w:rFonts w:ascii="宋体" w:hAnsi="宋体" w:eastAsia="宋体" w:cs="宋体"/>
                <w:sz w:val="18"/>
                <w:szCs w:val="18"/>
              </w:rPr>
            </w:pPr>
          </w:p>
        </w:tc>
      </w:tr>
      <w:tr w14:paraId="582B7A95">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D2C8E6A">
            <w:pPr>
              <w:spacing w:before="40" w:after="40" w:line="240" w:lineRule="exact"/>
              <w:rPr>
                <w:rFonts w:ascii="宋体" w:hAnsi="宋体" w:eastAsia="宋体" w:cs="宋体"/>
                <w:sz w:val="18"/>
                <w:szCs w:val="18"/>
              </w:rPr>
            </w:pPr>
            <w:r>
              <w:rPr>
                <w:rFonts w:ascii="宋体" w:hAnsi="宋体" w:eastAsia="宋体" w:cs="宋体"/>
                <w:sz w:val="18"/>
                <w:szCs w:val="18"/>
              </w:rPr>
              <w:t>1．所有者投入的普通股</w:t>
            </w:r>
          </w:p>
        </w:tc>
        <w:tc>
          <w:tcPr>
            <w:tcW w:w="563" w:type="dxa"/>
            <w:tcBorders>
              <w:top w:val="single" w:color="auto" w:sz="2" w:space="0"/>
              <w:left w:val="single" w:color="auto" w:sz="2" w:space="0"/>
              <w:bottom w:val="single" w:color="auto" w:sz="2" w:space="0"/>
              <w:right w:val="single" w:color="auto" w:sz="2" w:space="0"/>
            </w:tcBorders>
            <w:vAlign w:val="center"/>
          </w:tcPr>
          <w:p w14:paraId="71605EE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26DC4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DD678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D9C12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D3822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342D1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B275F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65524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13940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2225D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12480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62F53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66E8D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FE9AF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8B543E">
            <w:pPr>
              <w:spacing w:line="240" w:lineRule="exact"/>
              <w:jc w:val="right"/>
              <w:rPr>
                <w:rFonts w:ascii="宋体" w:hAnsi="宋体" w:eastAsia="宋体" w:cs="宋体"/>
                <w:sz w:val="18"/>
                <w:szCs w:val="18"/>
              </w:rPr>
            </w:pPr>
          </w:p>
        </w:tc>
      </w:tr>
      <w:tr w14:paraId="1661A52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70A787A">
            <w:pPr>
              <w:spacing w:before="40" w:after="40" w:line="240" w:lineRule="exact"/>
              <w:rPr>
                <w:rFonts w:ascii="宋体" w:hAnsi="宋体" w:eastAsia="宋体" w:cs="宋体"/>
                <w:sz w:val="18"/>
                <w:szCs w:val="18"/>
              </w:rPr>
            </w:pPr>
            <w:r>
              <w:rPr>
                <w:rFonts w:ascii="宋体" w:hAnsi="宋体" w:eastAsia="宋体" w:cs="宋体"/>
                <w:sz w:val="18"/>
                <w:szCs w:val="18"/>
              </w:rPr>
              <w:t>2．其他权益工具持有者投入资本</w:t>
            </w:r>
          </w:p>
        </w:tc>
        <w:tc>
          <w:tcPr>
            <w:tcW w:w="563" w:type="dxa"/>
            <w:tcBorders>
              <w:top w:val="single" w:color="auto" w:sz="2" w:space="0"/>
              <w:left w:val="single" w:color="auto" w:sz="2" w:space="0"/>
              <w:bottom w:val="single" w:color="auto" w:sz="2" w:space="0"/>
              <w:right w:val="single" w:color="auto" w:sz="2" w:space="0"/>
            </w:tcBorders>
            <w:vAlign w:val="center"/>
          </w:tcPr>
          <w:p w14:paraId="07BCABB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13C18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F4272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8F6F4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AC6AF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8FF80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2AA87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8CBB9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06313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9B6AF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62767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67A80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A68EB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BE628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D63FFD">
            <w:pPr>
              <w:spacing w:line="240" w:lineRule="exact"/>
              <w:jc w:val="right"/>
              <w:rPr>
                <w:rFonts w:ascii="宋体" w:hAnsi="宋体" w:eastAsia="宋体" w:cs="宋体"/>
                <w:sz w:val="18"/>
                <w:szCs w:val="18"/>
              </w:rPr>
            </w:pPr>
          </w:p>
        </w:tc>
      </w:tr>
      <w:tr w14:paraId="48E5573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B0A8823">
            <w:pPr>
              <w:spacing w:before="40" w:after="40" w:line="240" w:lineRule="exact"/>
              <w:rPr>
                <w:rFonts w:ascii="宋体" w:hAnsi="宋体" w:eastAsia="宋体" w:cs="宋体"/>
                <w:sz w:val="18"/>
                <w:szCs w:val="18"/>
              </w:rPr>
            </w:pPr>
            <w:r>
              <w:rPr>
                <w:rFonts w:ascii="宋体" w:hAnsi="宋体" w:eastAsia="宋体" w:cs="宋体"/>
                <w:sz w:val="18"/>
                <w:szCs w:val="18"/>
              </w:rPr>
              <w:t>3．股份支付计入所有者权益的金额</w:t>
            </w:r>
          </w:p>
        </w:tc>
        <w:tc>
          <w:tcPr>
            <w:tcW w:w="563" w:type="dxa"/>
            <w:tcBorders>
              <w:top w:val="single" w:color="auto" w:sz="2" w:space="0"/>
              <w:left w:val="single" w:color="auto" w:sz="2" w:space="0"/>
              <w:bottom w:val="single" w:color="auto" w:sz="2" w:space="0"/>
              <w:right w:val="single" w:color="auto" w:sz="2" w:space="0"/>
            </w:tcBorders>
            <w:vAlign w:val="center"/>
          </w:tcPr>
          <w:p w14:paraId="1E1589E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58E91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F306B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54D7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E48D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1EEBC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47C96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06FA7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C2A27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DF417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DE44D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04068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7B771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952FA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51382F">
            <w:pPr>
              <w:spacing w:line="240" w:lineRule="exact"/>
              <w:jc w:val="right"/>
              <w:rPr>
                <w:rFonts w:ascii="宋体" w:hAnsi="宋体" w:eastAsia="宋体" w:cs="宋体"/>
                <w:sz w:val="18"/>
                <w:szCs w:val="18"/>
              </w:rPr>
            </w:pPr>
          </w:p>
        </w:tc>
      </w:tr>
      <w:tr w14:paraId="2202843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14FA14A">
            <w:pPr>
              <w:spacing w:before="40" w:after="40" w:line="240" w:lineRule="exact"/>
              <w:rPr>
                <w:rFonts w:ascii="宋体" w:hAnsi="宋体" w:eastAsia="宋体" w:cs="宋体"/>
                <w:sz w:val="18"/>
                <w:szCs w:val="18"/>
              </w:rPr>
            </w:pPr>
            <w:r>
              <w:rPr>
                <w:rFonts w:ascii="宋体" w:hAnsi="宋体" w:eastAsia="宋体" w:cs="宋体"/>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06EB523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BE335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C47A4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92EDC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B9916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0B5A7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9B008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6FAE1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76253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7E4A7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FC1D8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06DEB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9B4F0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328D2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5D6543">
            <w:pPr>
              <w:spacing w:line="240" w:lineRule="exact"/>
              <w:jc w:val="right"/>
              <w:rPr>
                <w:rFonts w:ascii="宋体" w:hAnsi="宋体" w:eastAsia="宋体" w:cs="宋体"/>
                <w:sz w:val="18"/>
                <w:szCs w:val="18"/>
              </w:rPr>
            </w:pPr>
          </w:p>
        </w:tc>
      </w:tr>
      <w:tr w14:paraId="78881A85">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598349C">
            <w:pPr>
              <w:spacing w:before="40" w:after="40" w:line="240" w:lineRule="exact"/>
              <w:rPr>
                <w:rFonts w:ascii="宋体" w:hAnsi="宋体" w:eastAsia="宋体" w:cs="宋体"/>
                <w:sz w:val="18"/>
                <w:szCs w:val="18"/>
              </w:rPr>
            </w:pPr>
            <w:r>
              <w:rPr>
                <w:rFonts w:ascii="宋体" w:hAnsi="宋体" w:eastAsia="宋体" w:cs="宋体"/>
                <w:sz w:val="18"/>
                <w:szCs w:val="18"/>
              </w:rPr>
              <w:t>（三）利润分配</w:t>
            </w:r>
          </w:p>
        </w:tc>
        <w:tc>
          <w:tcPr>
            <w:tcW w:w="563" w:type="dxa"/>
            <w:tcBorders>
              <w:top w:val="single" w:color="auto" w:sz="2" w:space="0"/>
              <w:left w:val="single" w:color="auto" w:sz="2" w:space="0"/>
              <w:bottom w:val="single" w:color="auto" w:sz="2" w:space="0"/>
              <w:right w:val="single" w:color="auto" w:sz="2" w:space="0"/>
            </w:tcBorders>
            <w:vAlign w:val="center"/>
          </w:tcPr>
          <w:p w14:paraId="4B2728B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5147A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3779D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4AC7B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DD56D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58F38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84880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63F8B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48915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FBA34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B4706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48F87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6F8C1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5D6EE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7437A9">
            <w:pPr>
              <w:spacing w:line="240" w:lineRule="exact"/>
              <w:jc w:val="right"/>
              <w:rPr>
                <w:rFonts w:ascii="宋体" w:hAnsi="宋体" w:eastAsia="宋体" w:cs="宋体"/>
                <w:sz w:val="18"/>
                <w:szCs w:val="18"/>
              </w:rPr>
            </w:pPr>
          </w:p>
        </w:tc>
      </w:tr>
      <w:tr w14:paraId="6C46E06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86E4F23">
            <w:pPr>
              <w:spacing w:before="40" w:after="40" w:line="240" w:lineRule="exact"/>
              <w:rPr>
                <w:rFonts w:ascii="宋体" w:hAnsi="宋体" w:eastAsia="宋体" w:cs="宋体"/>
                <w:sz w:val="18"/>
                <w:szCs w:val="18"/>
              </w:rPr>
            </w:pPr>
            <w:r>
              <w:rPr>
                <w:rFonts w:ascii="宋体" w:hAnsi="宋体" w:eastAsia="宋体" w:cs="宋体"/>
                <w:sz w:val="18"/>
                <w:szCs w:val="18"/>
              </w:rPr>
              <w:t>1．提取盈余公积</w:t>
            </w:r>
          </w:p>
        </w:tc>
        <w:tc>
          <w:tcPr>
            <w:tcW w:w="563" w:type="dxa"/>
            <w:tcBorders>
              <w:top w:val="single" w:color="auto" w:sz="2" w:space="0"/>
              <w:left w:val="single" w:color="auto" w:sz="2" w:space="0"/>
              <w:bottom w:val="single" w:color="auto" w:sz="2" w:space="0"/>
              <w:right w:val="single" w:color="auto" w:sz="2" w:space="0"/>
            </w:tcBorders>
            <w:vAlign w:val="center"/>
          </w:tcPr>
          <w:p w14:paraId="5ADEBE1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2E6F8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79C10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EFC0E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C731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B7A44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272D4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021BE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4F5051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D2437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71FCF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02BBC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EA29D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53FC9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0D0A0A">
            <w:pPr>
              <w:spacing w:line="240" w:lineRule="exact"/>
              <w:jc w:val="right"/>
              <w:rPr>
                <w:rFonts w:ascii="宋体" w:hAnsi="宋体" w:eastAsia="宋体" w:cs="宋体"/>
                <w:sz w:val="18"/>
                <w:szCs w:val="18"/>
              </w:rPr>
            </w:pPr>
          </w:p>
        </w:tc>
      </w:tr>
      <w:tr w14:paraId="3EC777E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61C7150">
            <w:pPr>
              <w:spacing w:before="40" w:after="40" w:line="240" w:lineRule="exact"/>
              <w:rPr>
                <w:rFonts w:ascii="宋体" w:hAnsi="宋体" w:eastAsia="宋体" w:cs="宋体"/>
                <w:sz w:val="18"/>
                <w:szCs w:val="18"/>
              </w:rPr>
            </w:pPr>
            <w:r>
              <w:rPr>
                <w:rFonts w:ascii="宋体" w:hAnsi="宋体" w:eastAsia="宋体" w:cs="宋体"/>
                <w:sz w:val="18"/>
                <w:szCs w:val="18"/>
              </w:rPr>
              <w:t>2．提取一般风险准备</w:t>
            </w:r>
          </w:p>
        </w:tc>
        <w:tc>
          <w:tcPr>
            <w:tcW w:w="563" w:type="dxa"/>
            <w:tcBorders>
              <w:top w:val="single" w:color="auto" w:sz="2" w:space="0"/>
              <w:left w:val="single" w:color="auto" w:sz="2" w:space="0"/>
              <w:bottom w:val="single" w:color="auto" w:sz="2" w:space="0"/>
              <w:right w:val="single" w:color="auto" w:sz="2" w:space="0"/>
            </w:tcBorders>
            <w:vAlign w:val="center"/>
          </w:tcPr>
          <w:p w14:paraId="3C340CF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E21FC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EA943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44401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5CA5B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4DA5F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E4916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ABF23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7900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236EB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5C089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C1C6E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F905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4981F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0AE386">
            <w:pPr>
              <w:spacing w:line="240" w:lineRule="exact"/>
              <w:jc w:val="right"/>
              <w:rPr>
                <w:rFonts w:ascii="宋体" w:hAnsi="宋体" w:eastAsia="宋体" w:cs="宋体"/>
                <w:sz w:val="18"/>
                <w:szCs w:val="18"/>
              </w:rPr>
            </w:pPr>
          </w:p>
        </w:tc>
      </w:tr>
      <w:tr w14:paraId="401F4DF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54EB14F">
            <w:pPr>
              <w:spacing w:before="40" w:after="40" w:line="240" w:lineRule="exact"/>
              <w:rPr>
                <w:rFonts w:ascii="宋体" w:hAnsi="宋体" w:eastAsia="宋体" w:cs="宋体"/>
                <w:sz w:val="18"/>
                <w:szCs w:val="18"/>
              </w:rPr>
            </w:pPr>
            <w:r>
              <w:rPr>
                <w:rFonts w:ascii="宋体" w:hAnsi="宋体" w:eastAsia="宋体" w:cs="宋体"/>
                <w:sz w:val="18"/>
                <w:szCs w:val="18"/>
              </w:rPr>
              <w:t>3．对所有者（或股东）的分配</w:t>
            </w:r>
          </w:p>
        </w:tc>
        <w:tc>
          <w:tcPr>
            <w:tcW w:w="563" w:type="dxa"/>
            <w:tcBorders>
              <w:top w:val="single" w:color="auto" w:sz="2" w:space="0"/>
              <w:left w:val="single" w:color="auto" w:sz="2" w:space="0"/>
              <w:bottom w:val="single" w:color="auto" w:sz="2" w:space="0"/>
              <w:right w:val="single" w:color="auto" w:sz="2" w:space="0"/>
            </w:tcBorders>
            <w:vAlign w:val="center"/>
          </w:tcPr>
          <w:p w14:paraId="36F4CA8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09E0E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04D0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C6A5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BCE81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200A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44814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20630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83BC0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D1A3D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86A77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D3B44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B81A9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E0733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B1ABF9">
            <w:pPr>
              <w:spacing w:line="240" w:lineRule="exact"/>
              <w:jc w:val="right"/>
              <w:rPr>
                <w:rFonts w:ascii="宋体" w:hAnsi="宋体" w:eastAsia="宋体" w:cs="宋体"/>
                <w:sz w:val="18"/>
                <w:szCs w:val="18"/>
              </w:rPr>
            </w:pPr>
          </w:p>
        </w:tc>
      </w:tr>
      <w:tr w14:paraId="2E4E165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BFDF244">
            <w:pPr>
              <w:spacing w:before="40" w:after="40" w:line="240" w:lineRule="exact"/>
              <w:rPr>
                <w:rFonts w:ascii="宋体" w:hAnsi="宋体" w:eastAsia="宋体" w:cs="宋体"/>
                <w:sz w:val="18"/>
                <w:szCs w:val="18"/>
              </w:rPr>
            </w:pPr>
            <w:r>
              <w:rPr>
                <w:rFonts w:ascii="宋体" w:hAnsi="宋体" w:eastAsia="宋体" w:cs="宋体"/>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2843DAC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2C76A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D0E2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92D49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F17A3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EB85D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7BA4B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69C44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9B0D6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5D810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2AEEB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15874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F4691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717D1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D7AE7F">
            <w:pPr>
              <w:spacing w:line="240" w:lineRule="exact"/>
              <w:jc w:val="right"/>
              <w:rPr>
                <w:rFonts w:ascii="宋体" w:hAnsi="宋体" w:eastAsia="宋体" w:cs="宋体"/>
                <w:sz w:val="18"/>
                <w:szCs w:val="18"/>
              </w:rPr>
            </w:pPr>
          </w:p>
        </w:tc>
      </w:tr>
      <w:tr w14:paraId="0BF3307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4BB6657">
            <w:pPr>
              <w:spacing w:before="40" w:after="40" w:line="240" w:lineRule="exact"/>
              <w:rPr>
                <w:rFonts w:ascii="宋体" w:hAnsi="宋体" w:eastAsia="宋体" w:cs="宋体"/>
                <w:sz w:val="18"/>
                <w:szCs w:val="18"/>
              </w:rPr>
            </w:pPr>
            <w:r>
              <w:rPr>
                <w:rFonts w:ascii="宋体" w:hAnsi="宋体" w:eastAsia="宋体" w:cs="宋体"/>
                <w:sz w:val="18"/>
                <w:szCs w:val="18"/>
              </w:rPr>
              <w:t>（四）所有者权益内部结转</w:t>
            </w:r>
          </w:p>
        </w:tc>
        <w:tc>
          <w:tcPr>
            <w:tcW w:w="563" w:type="dxa"/>
            <w:tcBorders>
              <w:top w:val="single" w:color="auto" w:sz="2" w:space="0"/>
              <w:left w:val="single" w:color="auto" w:sz="2" w:space="0"/>
              <w:bottom w:val="single" w:color="auto" w:sz="2" w:space="0"/>
              <w:right w:val="single" w:color="auto" w:sz="2" w:space="0"/>
            </w:tcBorders>
            <w:vAlign w:val="center"/>
          </w:tcPr>
          <w:p w14:paraId="2451D89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EE1F0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28F5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65FF9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0ADC2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ABD87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9D594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77BEA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DA0B3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ED5B8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DD315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BBCF7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1407A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75E38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A5F6A0">
            <w:pPr>
              <w:spacing w:line="240" w:lineRule="exact"/>
              <w:jc w:val="right"/>
              <w:rPr>
                <w:rFonts w:ascii="宋体" w:hAnsi="宋体" w:eastAsia="宋体" w:cs="宋体"/>
                <w:sz w:val="18"/>
                <w:szCs w:val="18"/>
              </w:rPr>
            </w:pPr>
          </w:p>
        </w:tc>
      </w:tr>
      <w:tr w14:paraId="36A34AA7">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B9724FE">
            <w:pPr>
              <w:spacing w:before="40" w:after="40" w:line="240" w:lineRule="exact"/>
              <w:rPr>
                <w:rFonts w:ascii="宋体" w:hAnsi="宋体" w:eastAsia="宋体" w:cs="宋体"/>
                <w:sz w:val="18"/>
                <w:szCs w:val="18"/>
              </w:rPr>
            </w:pPr>
            <w:r>
              <w:rPr>
                <w:rFonts w:ascii="宋体" w:hAnsi="宋体" w:eastAsia="宋体" w:cs="宋体"/>
                <w:sz w:val="18"/>
                <w:szCs w:val="18"/>
              </w:rPr>
              <w:t>1．资本公积转增资本（或股本）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4072DCF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94E95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C9A6F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17608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DF964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94FD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C2A4D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3968C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754A0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A596B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935F0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B0FE6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1BDEF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44F8F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0F790A">
            <w:pPr>
              <w:spacing w:line="240" w:lineRule="exact"/>
              <w:jc w:val="right"/>
              <w:rPr>
                <w:rFonts w:ascii="宋体" w:hAnsi="宋体" w:eastAsia="宋体" w:cs="宋体"/>
                <w:sz w:val="18"/>
                <w:szCs w:val="18"/>
              </w:rPr>
            </w:pPr>
          </w:p>
        </w:tc>
      </w:tr>
      <w:tr w14:paraId="3334E489">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173B03A">
            <w:pPr>
              <w:spacing w:before="40" w:after="40" w:line="240" w:lineRule="exact"/>
              <w:rPr>
                <w:rFonts w:ascii="宋体" w:hAnsi="宋体" w:eastAsia="宋体" w:cs="宋体"/>
                <w:sz w:val="18"/>
                <w:szCs w:val="18"/>
              </w:rPr>
            </w:pPr>
            <w:r>
              <w:rPr>
                <w:rFonts w:ascii="宋体" w:hAnsi="宋体" w:eastAsia="宋体" w:cs="宋体"/>
                <w:sz w:val="18"/>
                <w:szCs w:val="18"/>
              </w:rPr>
              <w:t>2．盈余公积转增资本（或股本）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3E3C667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3351A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CF26A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0B22C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42BA2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ED984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F6B92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28CD5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5ACF8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D88C7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90A47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01514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97DC8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F4B2E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807C7F">
            <w:pPr>
              <w:spacing w:line="240" w:lineRule="exact"/>
              <w:jc w:val="right"/>
              <w:rPr>
                <w:rFonts w:ascii="宋体" w:hAnsi="宋体" w:eastAsia="宋体" w:cs="宋体"/>
                <w:sz w:val="18"/>
                <w:szCs w:val="18"/>
              </w:rPr>
            </w:pPr>
          </w:p>
        </w:tc>
      </w:tr>
      <w:tr w14:paraId="74D5BF3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F3031CA">
            <w:pPr>
              <w:spacing w:before="40" w:after="40" w:line="240" w:lineRule="exact"/>
              <w:rPr>
                <w:rFonts w:ascii="宋体" w:hAnsi="宋体" w:eastAsia="宋体" w:cs="宋体"/>
                <w:sz w:val="18"/>
                <w:szCs w:val="18"/>
              </w:rPr>
            </w:pPr>
            <w:r>
              <w:rPr>
                <w:rFonts w:ascii="宋体" w:hAnsi="宋体" w:eastAsia="宋体" w:cs="宋体"/>
                <w:sz w:val="18"/>
                <w:szCs w:val="18"/>
              </w:rPr>
              <w:t>3．盈余公积弥补亏损</w:t>
            </w:r>
          </w:p>
        </w:tc>
        <w:tc>
          <w:tcPr>
            <w:tcW w:w="563" w:type="dxa"/>
            <w:tcBorders>
              <w:top w:val="single" w:color="auto" w:sz="2" w:space="0"/>
              <w:left w:val="single" w:color="auto" w:sz="2" w:space="0"/>
              <w:bottom w:val="single" w:color="auto" w:sz="2" w:space="0"/>
              <w:right w:val="single" w:color="auto" w:sz="2" w:space="0"/>
            </w:tcBorders>
            <w:vAlign w:val="center"/>
          </w:tcPr>
          <w:p w14:paraId="46F2D9F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9FB7E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602D4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B6EF5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07B21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47267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9C946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F60B1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14126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12B0D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17F80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9249E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291ED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90463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E2835A">
            <w:pPr>
              <w:spacing w:line="240" w:lineRule="exact"/>
              <w:jc w:val="right"/>
              <w:rPr>
                <w:rFonts w:ascii="宋体" w:hAnsi="宋体" w:eastAsia="宋体" w:cs="宋体"/>
                <w:sz w:val="18"/>
                <w:szCs w:val="18"/>
              </w:rPr>
            </w:pPr>
          </w:p>
        </w:tc>
      </w:tr>
      <w:tr w14:paraId="45132ECD">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716025D">
            <w:pPr>
              <w:spacing w:before="40" w:after="40" w:line="240" w:lineRule="exact"/>
              <w:rPr>
                <w:rFonts w:ascii="宋体" w:hAnsi="宋体" w:eastAsia="宋体" w:cs="宋体"/>
                <w:sz w:val="18"/>
                <w:szCs w:val="18"/>
              </w:rPr>
            </w:pPr>
            <w:r>
              <w:rPr>
                <w:rFonts w:ascii="宋体" w:hAnsi="宋体" w:eastAsia="宋体" w:cs="宋体"/>
                <w:sz w:val="18"/>
                <w:szCs w:val="18"/>
              </w:rPr>
              <w:t>4．设定受益计划变动额结转留存收益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3265920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9F49F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E5708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19F4B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CE8B0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B8E80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AB50B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44E22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A4282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A4B53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C995A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7E7C2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6D101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0F70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63E9F4">
            <w:pPr>
              <w:spacing w:line="240" w:lineRule="exact"/>
              <w:jc w:val="right"/>
              <w:rPr>
                <w:rFonts w:ascii="宋体" w:hAnsi="宋体" w:eastAsia="宋体" w:cs="宋体"/>
                <w:sz w:val="18"/>
                <w:szCs w:val="18"/>
              </w:rPr>
            </w:pPr>
          </w:p>
        </w:tc>
      </w:tr>
      <w:tr w14:paraId="356E44E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BF73D4D">
            <w:pPr>
              <w:spacing w:before="40" w:after="40" w:line="240" w:lineRule="exact"/>
              <w:rPr>
                <w:rFonts w:ascii="宋体" w:hAnsi="宋体" w:eastAsia="宋体" w:cs="宋体"/>
                <w:sz w:val="18"/>
                <w:szCs w:val="18"/>
              </w:rPr>
            </w:pPr>
            <w:r>
              <w:rPr>
                <w:rFonts w:ascii="宋体" w:hAnsi="宋体" w:eastAsia="宋体" w:cs="宋体"/>
                <w:sz w:val="18"/>
                <w:szCs w:val="18"/>
              </w:rPr>
              <w:t>5．其他综合收益结转留存收益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26F769B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A095C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9E175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F2DCD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0F1BB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A62B3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D5D08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AE81B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B266A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18D82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2A297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84878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5017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AAA0E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EA593D">
            <w:pPr>
              <w:spacing w:line="240" w:lineRule="exact"/>
              <w:jc w:val="right"/>
              <w:rPr>
                <w:rFonts w:ascii="宋体" w:hAnsi="宋体" w:eastAsia="宋体" w:cs="宋体"/>
                <w:sz w:val="18"/>
                <w:szCs w:val="18"/>
              </w:rPr>
            </w:pPr>
          </w:p>
        </w:tc>
      </w:tr>
      <w:tr w14:paraId="2E2019C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2569C7C">
            <w:pPr>
              <w:spacing w:before="40" w:after="40" w:line="240" w:lineRule="exact"/>
              <w:rPr>
                <w:rFonts w:ascii="宋体" w:hAnsi="宋体" w:eastAsia="宋体" w:cs="宋体"/>
                <w:sz w:val="18"/>
                <w:szCs w:val="18"/>
              </w:rPr>
            </w:pPr>
            <w:r>
              <w:rPr>
                <w:rFonts w:ascii="宋体" w:hAnsi="宋体" w:eastAsia="宋体" w:cs="宋体"/>
                <w:sz w:val="18"/>
                <w:szCs w:val="18"/>
              </w:rPr>
              <w:t>6．其他</w:t>
            </w:r>
          </w:p>
        </w:tc>
        <w:tc>
          <w:tcPr>
            <w:tcW w:w="563" w:type="dxa"/>
            <w:tcBorders>
              <w:top w:val="single" w:color="auto" w:sz="2" w:space="0"/>
              <w:left w:val="single" w:color="auto" w:sz="2" w:space="0"/>
              <w:bottom w:val="single" w:color="auto" w:sz="2" w:space="0"/>
              <w:right w:val="single" w:color="auto" w:sz="2" w:space="0"/>
            </w:tcBorders>
            <w:vAlign w:val="center"/>
          </w:tcPr>
          <w:p w14:paraId="2FBE308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5902C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CBCA8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24A4A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CCB8A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D5151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98050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06A5C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13A0C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0B12E9">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E145B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3C6BD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02530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37FC4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D6D7C2">
            <w:pPr>
              <w:spacing w:line="240" w:lineRule="exact"/>
              <w:jc w:val="right"/>
              <w:rPr>
                <w:rFonts w:ascii="宋体" w:hAnsi="宋体" w:eastAsia="宋体" w:cs="宋体"/>
                <w:sz w:val="18"/>
                <w:szCs w:val="18"/>
              </w:rPr>
            </w:pPr>
          </w:p>
        </w:tc>
      </w:tr>
      <w:tr w14:paraId="74102B8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088A049">
            <w:pPr>
              <w:spacing w:before="40" w:after="40" w:line="240" w:lineRule="exact"/>
              <w:rPr>
                <w:rFonts w:ascii="宋体" w:hAnsi="宋体" w:eastAsia="宋体" w:cs="宋体"/>
                <w:sz w:val="18"/>
                <w:szCs w:val="18"/>
              </w:rPr>
            </w:pPr>
            <w:r>
              <w:rPr>
                <w:rFonts w:ascii="宋体" w:hAnsi="宋体" w:eastAsia="宋体" w:cs="宋体"/>
                <w:sz w:val="18"/>
                <w:szCs w:val="18"/>
              </w:rPr>
              <w:t>（五）专项储备</w:t>
            </w:r>
          </w:p>
        </w:tc>
        <w:tc>
          <w:tcPr>
            <w:tcW w:w="563" w:type="dxa"/>
            <w:tcBorders>
              <w:top w:val="single" w:color="auto" w:sz="2" w:space="0"/>
              <w:left w:val="single" w:color="auto" w:sz="2" w:space="0"/>
              <w:bottom w:val="single" w:color="auto" w:sz="2" w:space="0"/>
              <w:right w:val="single" w:color="auto" w:sz="2" w:space="0"/>
            </w:tcBorders>
            <w:vAlign w:val="center"/>
          </w:tcPr>
          <w:p w14:paraId="3479D99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9CBA1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9AD39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B481F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EB352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62F12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C988A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8B7C2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27B59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6D791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CBDD3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F19F9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83D77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EED7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D734C4">
            <w:pPr>
              <w:spacing w:line="240" w:lineRule="exact"/>
              <w:jc w:val="right"/>
              <w:rPr>
                <w:rFonts w:ascii="宋体" w:hAnsi="宋体" w:eastAsia="宋体" w:cs="宋体"/>
                <w:sz w:val="18"/>
                <w:szCs w:val="18"/>
              </w:rPr>
            </w:pPr>
          </w:p>
        </w:tc>
      </w:tr>
      <w:tr w14:paraId="44EEC25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B61C7B6">
            <w:pPr>
              <w:spacing w:before="40" w:after="40" w:line="240" w:lineRule="exact"/>
              <w:rPr>
                <w:rFonts w:ascii="宋体" w:hAnsi="宋体" w:eastAsia="宋体" w:cs="宋体"/>
                <w:sz w:val="18"/>
                <w:szCs w:val="18"/>
              </w:rPr>
            </w:pPr>
            <w:r>
              <w:rPr>
                <w:rFonts w:ascii="宋体" w:hAnsi="宋体" w:eastAsia="宋体" w:cs="宋体"/>
                <w:sz w:val="18"/>
                <w:szCs w:val="18"/>
              </w:rPr>
              <w:t>1．本期提取</w:t>
            </w:r>
          </w:p>
        </w:tc>
        <w:tc>
          <w:tcPr>
            <w:tcW w:w="563" w:type="dxa"/>
            <w:tcBorders>
              <w:top w:val="single" w:color="auto" w:sz="2" w:space="0"/>
              <w:left w:val="single" w:color="auto" w:sz="2" w:space="0"/>
              <w:bottom w:val="single" w:color="auto" w:sz="2" w:space="0"/>
              <w:right w:val="single" w:color="auto" w:sz="2" w:space="0"/>
            </w:tcBorders>
            <w:vAlign w:val="center"/>
          </w:tcPr>
          <w:p w14:paraId="61374E7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CABBD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9439C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79AD5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FB838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FF0955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9F4F7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B8DFC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6E853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F8EB8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70EA3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D54A91">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9A84A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E0BF2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133BEC">
            <w:pPr>
              <w:spacing w:line="240" w:lineRule="exact"/>
              <w:jc w:val="right"/>
              <w:rPr>
                <w:rFonts w:ascii="宋体" w:hAnsi="宋体" w:eastAsia="宋体" w:cs="宋体"/>
                <w:sz w:val="18"/>
                <w:szCs w:val="18"/>
              </w:rPr>
            </w:pPr>
          </w:p>
        </w:tc>
      </w:tr>
      <w:tr w14:paraId="6CADB39D">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6A39719">
            <w:pPr>
              <w:spacing w:before="40" w:after="40" w:line="240" w:lineRule="exact"/>
              <w:rPr>
                <w:rFonts w:ascii="宋体" w:hAnsi="宋体" w:eastAsia="宋体" w:cs="宋体"/>
                <w:sz w:val="18"/>
                <w:szCs w:val="18"/>
              </w:rPr>
            </w:pPr>
            <w:r>
              <w:rPr>
                <w:rFonts w:ascii="宋体" w:hAnsi="宋体" w:eastAsia="宋体" w:cs="宋体"/>
                <w:sz w:val="18"/>
                <w:szCs w:val="18"/>
              </w:rPr>
              <w:t>2．本期使用</w:t>
            </w:r>
          </w:p>
        </w:tc>
        <w:tc>
          <w:tcPr>
            <w:tcW w:w="563" w:type="dxa"/>
            <w:tcBorders>
              <w:top w:val="single" w:color="auto" w:sz="2" w:space="0"/>
              <w:left w:val="single" w:color="auto" w:sz="2" w:space="0"/>
              <w:bottom w:val="single" w:color="auto" w:sz="2" w:space="0"/>
              <w:right w:val="single" w:color="auto" w:sz="2" w:space="0"/>
            </w:tcBorders>
            <w:vAlign w:val="center"/>
          </w:tcPr>
          <w:p w14:paraId="1CE852B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BA8FB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278F9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BD156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EA35FA">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25AECE">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AFFFC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F3970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F5FAC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A27B37">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5D951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2C8DD6">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4A0A5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7C271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4F38121">
            <w:pPr>
              <w:spacing w:line="240" w:lineRule="exact"/>
              <w:jc w:val="right"/>
              <w:rPr>
                <w:rFonts w:ascii="宋体" w:hAnsi="宋体" w:eastAsia="宋体" w:cs="宋体"/>
                <w:sz w:val="18"/>
                <w:szCs w:val="18"/>
              </w:rPr>
            </w:pPr>
          </w:p>
        </w:tc>
      </w:tr>
      <w:tr w14:paraId="7EA0ED59">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ED08C10">
            <w:pPr>
              <w:spacing w:before="40" w:after="40" w:line="240" w:lineRule="exact"/>
              <w:rPr>
                <w:rFonts w:ascii="宋体" w:hAnsi="宋体" w:eastAsia="宋体" w:cs="宋体"/>
                <w:sz w:val="18"/>
                <w:szCs w:val="18"/>
              </w:rPr>
            </w:pPr>
            <w:r>
              <w:rPr>
                <w:rFonts w:ascii="宋体" w:hAnsi="宋体" w:eastAsia="宋体" w:cs="宋体"/>
                <w:sz w:val="18"/>
                <w:szCs w:val="18"/>
              </w:rPr>
              <w:t>（六）其他</w:t>
            </w:r>
          </w:p>
        </w:tc>
        <w:tc>
          <w:tcPr>
            <w:tcW w:w="563" w:type="dxa"/>
            <w:tcBorders>
              <w:top w:val="single" w:color="auto" w:sz="2" w:space="0"/>
              <w:left w:val="single" w:color="auto" w:sz="2" w:space="0"/>
              <w:bottom w:val="single" w:color="auto" w:sz="2" w:space="0"/>
              <w:right w:val="single" w:color="auto" w:sz="2" w:space="0"/>
            </w:tcBorders>
            <w:vAlign w:val="center"/>
          </w:tcPr>
          <w:p w14:paraId="019A2FBD">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2604A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8E68B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533FB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BFC613">
            <w:pPr>
              <w:spacing w:line="240" w:lineRule="exact"/>
              <w:jc w:val="right"/>
              <w:rPr>
                <w:rFonts w:ascii="宋体" w:hAnsi="宋体" w:eastAsia="宋体" w:cs="宋体"/>
                <w:sz w:val="18"/>
                <w:szCs w:val="18"/>
              </w:rPr>
            </w:pPr>
            <w:r>
              <w:rPr>
                <w:rFonts w:ascii="宋体" w:hAnsi="宋体" w:eastAsia="宋体" w:cs="宋体"/>
                <w:sz w:val="18"/>
                <w:szCs w:val="18"/>
              </w:rPr>
              <w:t>247,387.93</w:t>
            </w:r>
          </w:p>
        </w:tc>
        <w:tc>
          <w:tcPr>
            <w:tcW w:w="563" w:type="dxa"/>
            <w:tcBorders>
              <w:top w:val="single" w:color="auto" w:sz="2" w:space="0"/>
              <w:left w:val="single" w:color="auto" w:sz="2" w:space="0"/>
              <w:bottom w:val="single" w:color="auto" w:sz="2" w:space="0"/>
              <w:right w:val="single" w:color="auto" w:sz="2" w:space="0"/>
            </w:tcBorders>
            <w:vAlign w:val="center"/>
          </w:tcPr>
          <w:p w14:paraId="221EBBC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171C03">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9A5A9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91E88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91B00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1AA62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6412A2">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2BB81A">
            <w:pPr>
              <w:spacing w:line="240" w:lineRule="exact"/>
              <w:jc w:val="right"/>
              <w:rPr>
                <w:rFonts w:ascii="宋体" w:hAnsi="宋体" w:eastAsia="宋体" w:cs="宋体"/>
                <w:sz w:val="18"/>
                <w:szCs w:val="18"/>
              </w:rPr>
            </w:pPr>
            <w:r>
              <w:rPr>
                <w:rFonts w:ascii="宋体" w:hAnsi="宋体" w:eastAsia="宋体" w:cs="宋体"/>
                <w:sz w:val="18"/>
                <w:szCs w:val="18"/>
              </w:rPr>
              <w:t>247,387.93</w:t>
            </w:r>
          </w:p>
        </w:tc>
        <w:tc>
          <w:tcPr>
            <w:tcW w:w="563" w:type="dxa"/>
            <w:tcBorders>
              <w:top w:val="single" w:color="auto" w:sz="2" w:space="0"/>
              <w:left w:val="single" w:color="auto" w:sz="2" w:space="0"/>
              <w:bottom w:val="single" w:color="auto" w:sz="2" w:space="0"/>
              <w:right w:val="single" w:color="auto" w:sz="2" w:space="0"/>
            </w:tcBorders>
            <w:vAlign w:val="center"/>
          </w:tcPr>
          <w:p w14:paraId="6842A2D2">
            <w:pPr>
              <w:spacing w:line="240" w:lineRule="exact"/>
              <w:jc w:val="right"/>
              <w:rPr>
                <w:rFonts w:ascii="宋体" w:hAnsi="宋体" w:eastAsia="宋体" w:cs="宋体"/>
                <w:sz w:val="18"/>
                <w:szCs w:val="18"/>
              </w:rPr>
            </w:pPr>
            <w:r>
              <w:rPr>
                <w:rFonts w:ascii="宋体" w:hAnsi="宋体" w:eastAsia="宋体" w:cs="宋体"/>
                <w:sz w:val="18"/>
                <w:szCs w:val="18"/>
              </w:rPr>
              <w:t>-247,387.93</w:t>
            </w:r>
          </w:p>
        </w:tc>
        <w:tc>
          <w:tcPr>
            <w:tcW w:w="563" w:type="dxa"/>
            <w:tcBorders>
              <w:top w:val="single" w:color="auto" w:sz="2" w:space="0"/>
              <w:left w:val="single" w:color="auto" w:sz="2" w:space="0"/>
              <w:bottom w:val="single" w:color="auto" w:sz="2" w:space="0"/>
              <w:right w:val="single" w:color="auto" w:sz="2" w:space="0"/>
            </w:tcBorders>
            <w:vAlign w:val="center"/>
          </w:tcPr>
          <w:p w14:paraId="5F6D4946">
            <w:pPr>
              <w:spacing w:line="240" w:lineRule="exact"/>
              <w:jc w:val="right"/>
              <w:rPr>
                <w:rFonts w:ascii="宋体" w:hAnsi="宋体" w:eastAsia="宋体" w:cs="宋体"/>
                <w:sz w:val="18"/>
                <w:szCs w:val="18"/>
              </w:rPr>
            </w:pPr>
          </w:p>
        </w:tc>
      </w:tr>
      <w:tr w14:paraId="01A08A6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EBE7740">
            <w:pPr>
              <w:spacing w:before="40" w:after="40" w:line="240" w:lineRule="exact"/>
              <w:rPr>
                <w:rFonts w:ascii="宋体" w:hAnsi="宋体" w:eastAsia="宋体" w:cs="宋体"/>
                <w:sz w:val="18"/>
                <w:szCs w:val="18"/>
              </w:rPr>
            </w:pPr>
            <w:r>
              <w:rPr>
                <w:rFonts w:ascii="宋体" w:hAnsi="宋体" w:eastAsia="宋体" w:cs="宋体"/>
                <w:sz w:val="18"/>
                <w:szCs w:val="18"/>
              </w:rPr>
              <w:t>四、本期期末余额</w:t>
            </w:r>
          </w:p>
        </w:tc>
        <w:tc>
          <w:tcPr>
            <w:tcW w:w="563" w:type="dxa"/>
            <w:tcBorders>
              <w:top w:val="single" w:color="auto" w:sz="2" w:space="0"/>
              <w:left w:val="single" w:color="auto" w:sz="2" w:space="0"/>
              <w:bottom w:val="single" w:color="auto" w:sz="2" w:space="0"/>
              <w:right w:val="single" w:color="auto" w:sz="2" w:space="0"/>
            </w:tcBorders>
            <w:vAlign w:val="center"/>
          </w:tcPr>
          <w:p w14:paraId="6BF1BF45">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563" w:type="dxa"/>
            <w:tcBorders>
              <w:top w:val="single" w:color="auto" w:sz="2" w:space="0"/>
              <w:left w:val="single" w:color="auto" w:sz="2" w:space="0"/>
              <w:bottom w:val="single" w:color="auto" w:sz="2" w:space="0"/>
              <w:right w:val="single" w:color="auto" w:sz="2" w:space="0"/>
            </w:tcBorders>
            <w:vAlign w:val="center"/>
          </w:tcPr>
          <w:p w14:paraId="34439EF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3769E4">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E60DB8">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A92708">
            <w:pPr>
              <w:spacing w:line="240" w:lineRule="exact"/>
              <w:jc w:val="right"/>
              <w:rPr>
                <w:rFonts w:ascii="宋体" w:hAnsi="宋体" w:eastAsia="宋体" w:cs="宋体"/>
                <w:sz w:val="18"/>
                <w:szCs w:val="18"/>
              </w:rPr>
            </w:pPr>
            <w:r>
              <w:rPr>
                <w:rFonts w:ascii="宋体" w:hAnsi="宋体" w:eastAsia="宋体" w:cs="宋体"/>
                <w:sz w:val="18"/>
                <w:szCs w:val="18"/>
              </w:rPr>
              <w:t>24,306,995.45</w:t>
            </w:r>
          </w:p>
        </w:tc>
        <w:tc>
          <w:tcPr>
            <w:tcW w:w="563" w:type="dxa"/>
            <w:tcBorders>
              <w:top w:val="single" w:color="auto" w:sz="2" w:space="0"/>
              <w:left w:val="single" w:color="auto" w:sz="2" w:space="0"/>
              <w:bottom w:val="single" w:color="auto" w:sz="2" w:space="0"/>
              <w:right w:val="single" w:color="auto" w:sz="2" w:space="0"/>
            </w:tcBorders>
            <w:vAlign w:val="center"/>
          </w:tcPr>
          <w:p w14:paraId="054B39EC">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F9C84F">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8653AB">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44A035">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563" w:type="dxa"/>
            <w:tcBorders>
              <w:top w:val="single" w:color="auto" w:sz="2" w:space="0"/>
              <w:left w:val="single" w:color="auto" w:sz="2" w:space="0"/>
              <w:bottom w:val="single" w:color="auto" w:sz="2" w:space="0"/>
              <w:right w:val="single" w:color="auto" w:sz="2" w:space="0"/>
            </w:tcBorders>
            <w:vAlign w:val="center"/>
          </w:tcPr>
          <w:p w14:paraId="35C31055">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56691E">
            <w:pPr>
              <w:spacing w:line="240" w:lineRule="exact"/>
              <w:jc w:val="right"/>
              <w:rPr>
                <w:rFonts w:ascii="宋体" w:hAnsi="宋体" w:eastAsia="宋体" w:cs="宋体"/>
                <w:sz w:val="18"/>
                <w:szCs w:val="18"/>
              </w:rPr>
            </w:pPr>
            <w:r>
              <w:rPr>
                <w:rFonts w:ascii="宋体" w:hAnsi="宋体" w:eastAsia="宋体" w:cs="宋体"/>
                <w:sz w:val="18"/>
                <w:szCs w:val="18"/>
              </w:rPr>
              <w:t>-449,391,169.94</w:t>
            </w:r>
          </w:p>
        </w:tc>
        <w:tc>
          <w:tcPr>
            <w:tcW w:w="563" w:type="dxa"/>
            <w:tcBorders>
              <w:top w:val="single" w:color="auto" w:sz="2" w:space="0"/>
              <w:left w:val="single" w:color="auto" w:sz="2" w:space="0"/>
              <w:bottom w:val="single" w:color="auto" w:sz="2" w:space="0"/>
              <w:right w:val="single" w:color="auto" w:sz="2" w:space="0"/>
            </w:tcBorders>
            <w:vAlign w:val="center"/>
          </w:tcPr>
          <w:p w14:paraId="690B6E60">
            <w:pPr>
              <w:spacing w:line="240" w:lineRule="exact"/>
              <w:jc w:val="right"/>
              <w:rPr>
                <w:rFonts w:ascii="宋体" w:hAnsi="宋体" w:eastAsia="宋体" w:cs="宋体"/>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9647D7">
            <w:pPr>
              <w:spacing w:line="240" w:lineRule="exact"/>
              <w:jc w:val="right"/>
              <w:rPr>
                <w:rFonts w:ascii="宋体" w:hAnsi="宋体" w:eastAsia="宋体" w:cs="宋体"/>
                <w:sz w:val="18"/>
                <w:szCs w:val="18"/>
              </w:rPr>
            </w:pPr>
            <w:r>
              <w:rPr>
                <w:rFonts w:ascii="宋体" w:hAnsi="宋体" w:eastAsia="宋体" w:cs="宋体"/>
                <w:sz w:val="18"/>
                <w:szCs w:val="18"/>
              </w:rPr>
              <w:t>-92,100,597.22</w:t>
            </w:r>
          </w:p>
        </w:tc>
        <w:tc>
          <w:tcPr>
            <w:tcW w:w="563" w:type="dxa"/>
            <w:tcBorders>
              <w:top w:val="single" w:color="auto" w:sz="2" w:space="0"/>
              <w:left w:val="single" w:color="auto" w:sz="2" w:space="0"/>
              <w:bottom w:val="single" w:color="auto" w:sz="2" w:space="0"/>
              <w:right w:val="single" w:color="auto" w:sz="2" w:space="0"/>
            </w:tcBorders>
            <w:vAlign w:val="center"/>
          </w:tcPr>
          <w:p w14:paraId="7E4F03AE">
            <w:pPr>
              <w:spacing w:line="240" w:lineRule="exact"/>
              <w:jc w:val="right"/>
              <w:rPr>
                <w:rFonts w:ascii="宋体" w:hAnsi="宋体" w:eastAsia="宋体" w:cs="宋体"/>
                <w:sz w:val="18"/>
                <w:szCs w:val="18"/>
              </w:rPr>
            </w:pPr>
            <w:r>
              <w:rPr>
                <w:rFonts w:ascii="宋体" w:hAnsi="宋体" w:eastAsia="宋体" w:cs="宋体"/>
                <w:sz w:val="18"/>
                <w:szCs w:val="18"/>
              </w:rPr>
              <w:t>386,635,768.66</w:t>
            </w:r>
          </w:p>
        </w:tc>
        <w:tc>
          <w:tcPr>
            <w:tcW w:w="563" w:type="dxa"/>
            <w:tcBorders>
              <w:top w:val="single" w:color="auto" w:sz="2" w:space="0"/>
              <w:left w:val="single" w:color="auto" w:sz="2" w:space="0"/>
              <w:bottom w:val="single" w:color="auto" w:sz="2" w:space="0"/>
              <w:right w:val="single" w:color="auto" w:sz="2" w:space="0"/>
            </w:tcBorders>
            <w:vAlign w:val="center"/>
          </w:tcPr>
          <w:p w14:paraId="384D1EBA">
            <w:pPr>
              <w:spacing w:line="240" w:lineRule="exact"/>
              <w:jc w:val="right"/>
              <w:rPr>
                <w:rFonts w:ascii="宋体" w:hAnsi="宋体" w:eastAsia="宋体" w:cs="宋体"/>
                <w:sz w:val="18"/>
                <w:szCs w:val="18"/>
              </w:rPr>
            </w:pPr>
            <w:r>
              <w:rPr>
                <w:rFonts w:ascii="宋体" w:hAnsi="宋体" w:eastAsia="宋体" w:cs="宋体"/>
                <w:sz w:val="18"/>
                <w:szCs w:val="18"/>
              </w:rPr>
              <w:t>294,535,171.44</w:t>
            </w:r>
          </w:p>
        </w:tc>
      </w:tr>
    </w:tbl>
    <w:p w14:paraId="06EB7508">
      <w:pPr>
        <w:pStyle w:val="3"/>
        <w:spacing w:line="280" w:lineRule="exact"/>
        <w:jc w:val="left"/>
        <w:rPr>
          <w:rFonts w:ascii="宋体" w:hAnsi="宋体" w:cs="宋体"/>
          <w:b/>
          <w:bCs/>
        </w:rPr>
      </w:pPr>
      <w:bookmarkStart w:id="97" w:name="_Toc988986"/>
      <w:r>
        <w:rPr>
          <w:rFonts w:ascii="宋体" w:hAnsi="宋体" w:cs="宋体"/>
          <w:b/>
          <w:bCs/>
        </w:rPr>
        <w:t>8、母公司所有者权益变动表</w:t>
      </w:r>
      <w:bookmarkEnd w:id="97"/>
    </w:p>
    <w:p w14:paraId="11F569EF">
      <w:pPr>
        <w:spacing w:before="100" w:after="100" w:line="240" w:lineRule="exact"/>
        <w:rPr>
          <w:rFonts w:ascii="宋体" w:hAnsi="宋体" w:eastAsia="宋体" w:cs="宋体"/>
          <w:sz w:val="18"/>
          <w:szCs w:val="18"/>
        </w:rPr>
      </w:pPr>
      <w:r>
        <w:rPr>
          <w:rFonts w:ascii="宋体" w:hAnsi="宋体" w:eastAsia="宋体" w:cs="宋体"/>
          <w:sz w:val="18"/>
          <w:szCs w:val="18"/>
        </w:rPr>
        <w:t>本期金额</w:t>
      </w:r>
    </w:p>
    <w:p w14:paraId="0EEDB36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0"/>
        <w:gridCol w:w="703"/>
        <w:gridCol w:w="703"/>
        <w:gridCol w:w="703"/>
        <w:gridCol w:w="704"/>
        <w:gridCol w:w="703"/>
        <w:gridCol w:w="703"/>
        <w:gridCol w:w="703"/>
        <w:gridCol w:w="703"/>
        <w:gridCol w:w="703"/>
        <w:gridCol w:w="703"/>
        <w:gridCol w:w="703"/>
        <w:gridCol w:w="705"/>
      </w:tblGrid>
      <w:tr w14:paraId="6F24D556">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075F4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439"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45DDF5A0">
            <w:pPr>
              <w:spacing w:before="40" w:after="40" w:line="240" w:lineRule="exact"/>
              <w:jc w:val="center"/>
              <w:rPr>
                <w:rFonts w:ascii="宋体" w:hAnsi="宋体" w:eastAsia="宋体" w:cs="宋体"/>
                <w:sz w:val="18"/>
                <w:szCs w:val="18"/>
              </w:rPr>
            </w:pPr>
            <w:r>
              <w:rPr>
                <w:rFonts w:ascii="宋体" w:hAnsi="宋体" w:eastAsia="宋体" w:cs="宋体"/>
                <w:sz w:val="18"/>
                <w:szCs w:val="18"/>
              </w:rPr>
              <w:t>2024年半年度</w:t>
            </w:r>
          </w:p>
        </w:tc>
      </w:tr>
      <w:tr w14:paraId="666F85EA">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1938C1"/>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A32F56">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21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45BCD62">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0E30BF6">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4E8A73">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222C74">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31038D8">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0617868">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65501A1">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62C51C9">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4A4CC2">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269A2C4E">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71613C"/>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AC24F9"/>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361326B2">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17C04406">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45FE46FD">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F62337"/>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B1BD82"/>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C01DD6"/>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11456D17"/>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76D6BC"/>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18B9CB"/>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389C963C"/>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3C4E71"/>
        </w:tc>
      </w:tr>
      <w:tr w14:paraId="7ACF61C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3A26B5B">
            <w:pPr>
              <w:spacing w:before="40" w:after="40" w:line="240" w:lineRule="exact"/>
              <w:rPr>
                <w:rFonts w:ascii="宋体" w:hAnsi="宋体" w:eastAsia="宋体" w:cs="宋体"/>
                <w:sz w:val="18"/>
                <w:szCs w:val="18"/>
              </w:rPr>
            </w:pPr>
            <w:r>
              <w:rPr>
                <w:rFonts w:ascii="宋体" w:hAnsi="宋体" w:eastAsia="宋体" w:cs="宋体"/>
                <w:sz w:val="18"/>
                <w:szCs w:val="18"/>
              </w:rPr>
              <w:t>一、上年期末余额</w:t>
            </w:r>
          </w:p>
        </w:tc>
        <w:tc>
          <w:tcPr>
            <w:tcW w:w="703" w:type="dxa"/>
            <w:tcBorders>
              <w:top w:val="single" w:color="auto" w:sz="2" w:space="0"/>
              <w:left w:val="single" w:color="auto" w:sz="2" w:space="0"/>
              <w:bottom w:val="single" w:color="auto" w:sz="2" w:space="0"/>
              <w:right w:val="single" w:color="auto" w:sz="2" w:space="0"/>
            </w:tcBorders>
            <w:vAlign w:val="center"/>
          </w:tcPr>
          <w:p w14:paraId="08FD2C52">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703" w:type="dxa"/>
            <w:tcBorders>
              <w:top w:val="single" w:color="auto" w:sz="2" w:space="0"/>
              <w:left w:val="single" w:color="auto" w:sz="2" w:space="0"/>
              <w:bottom w:val="single" w:color="auto" w:sz="2" w:space="0"/>
              <w:right w:val="single" w:color="auto" w:sz="2" w:space="0"/>
            </w:tcBorders>
            <w:vAlign w:val="center"/>
          </w:tcPr>
          <w:p w14:paraId="739A0A5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8BD9E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32C67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5F567F9">
            <w:pPr>
              <w:spacing w:line="240" w:lineRule="exact"/>
              <w:jc w:val="right"/>
              <w:rPr>
                <w:rFonts w:ascii="宋体" w:hAnsi="宋体" w:eastAsia="宋体" w:cs="宋体"/>
                <w:sz w:val="18"/>
                <w:szCs w:val="18"/>
              </w:rPr>
            </w:pPr>
            <w:r>
              <w:rPr>
                <w:rFonts w:ascii="宋体" w:hAnsi="宋体" w:eastAsia="宋体" w:cs="宋体"/>
                <w:sz w:val="18"/>
                <w:szCs w:val="18"/>
              </w:rPr>
              <w:t>213,593,040.34</w:t>
            </w:r>
          </w:p>
        </w:tc>
        <w:tc>
          <w:tcPr>
            <w:tcW w:w="703" w:type="dxa"/>
            <w:tcBorders>
              <w:top w:val="single" w:color="auto" w:sz="2" w:space="0"/>
              <w:left w:val="single" w:color="auto" w:sz="2" w:space="0"/>
              <w:bottom w:val="single" w:color="auto" w:sz="2" w:space="0"/>
              <w:right w:val="single" w:color="auto" w:sz="2" w:space="0"/>
            </w:tcBorders>
            <w:vAlign w:val="center"/>
          </w:tcPr>
          <w:p w14:paraId="62A2AEF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204A1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C681C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6DCF6B">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703" w:type="dxa"/>
            <w:tcBorders>
              <w:top w:val="single" w:color="auto" w:sz="2" w:space="0"/>
              <w:left w:val="single" w:color="auto" w:sz="2" w:space="0"/>
              <w:bottom w:val="single" w:color="auto" w:sz="2" w:space="0"/>
              <w:right w:val="single" w:color="auto" w:sz="2" w:space="0"/>
            </w:tcBorders>
            <w:vAlign w:val="center"/>
          </w:tcPr>
          <w:p w14:paraId="68BAF5CA">
            <w:pPr>
              <w:spacing w:line="240" w:lineRule="exact"/>
              <w:jc w:val="right"/>
              <w:rPr>
                <w:rFonts w:ascii="宋体" w:hAnsi="宋体" w:eastAsia="宋体" w:cs="宋体"/>
                <w:sz w:val="18"/>
                <w:szCs w:val="18"/>
              </w:rPr>
            </w:pPr>
            <w:r>
              <w:rPr>
                <w:rFonts w:ascii="宋体" w:hAnsi="宋体" w:eastAsia="宋体" w:cs="宋体"/>
                <w:sz w:val="18"/>
                <w:szCs w:val="18"/>
              </w:rPr>
              <w:t>-676,442,220.33</w:t>
            </w:r>
          </w:p>
        </w:tc>
        <w:tc>
          <w:tcPr>
            <w:tcW w:w="703" w:type="dxa"/>
            <w:tcBorders>
              <w:top w:val="single" w:color="auto" w:sz="2" w:space="0"/>
              <w:left w:val="single" w:color="auto" w:sz="2" w:space="0"/>
              <w:bottom w:val="single" w:color="auto" w:sz="2" w:space="0"/>
              <w:right w:val="single" w:color="auto" w:sz="2" w:space="0"/>
            </w:tcBorders>
            <w:vAlign w:val="center"/>
          </w:tcPr>
          <w:p w14:paraId="67742FE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5DC159">
            <w:pPr>
              <w:spacing w:line="240" w:lineRule="exact"/>
              <w:jc w:val="right"/>
              <w:rPr>
                <w:rFonts w:ascii="宋体" w:hAnsi="宋体" w:eastAsia="宋体" w:cs="宋体"/>
                <w:sz w:val="18"/>
                <w:szCs w:val="18"/>
              </w:rPr>
            </w:pPr>
            <w:r>
              <w:rPr>
                <w:rFonts w:ascii="宋体" w:hAnsi="宋体" w:eastAsia="宋体" w:cs="宋体"/>
                <w:sz w:val="18"/>
                <w:szCs w:val="18"/>
              </w:rPr>
              <w:t>-129,865,602.72</w:t>
            </w:r>
          </w:p>
        </w:tc>
      </w:tr>
      <w:tr w14:paraId="2E449DE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0E6DF3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加：会计政策变更</w:t>
            </w:r>
          </w:p>
        </w:tc>
        <w:tc>
          <w:tcPr>
            <w:tcW w:w="703" w:type="dxa"/>
            <w:tcBorders>
              <w:top w:val="single" w:color="auto" w:sz="2" w:space="0"/>
              <w:left w:val="single" w:color="auto" w:sz="2" w:space="0"/>
              <w:bottom w:val="single" w:color="auto" w:sz="2" w:space="0"/>
              <w:right w:val="single" w:color="auto" w:sz="2" w:space="0"/>
            </w:tcBorders>
            <w:vAlign w:val="center"/>
          </w:tcPr>
          <w:p w14:paraId="340F202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351F8E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C573E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3FBD12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93075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8DE72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E9ACB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94CC3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6C2A7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1A6A73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69F6D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92EAA36">
            <w:pPr>
              <w:spacing w:line="240" w:lineRule="exact"/>
              <w:jc w:val="right"/>
              <w:rPr>
                <w:rFonts w:ascii="宋体" w:hAnsi="宋体" w:eastAsia="宋体" w:cs="宋体"/>
                <w:sz w:val="18"/>
                <w:szCs w:val="18"/>
              </w:rPr>
            </w:pPr>
          </w:p>
        </w:tc>
      </w:tr>
      <w:tr w14:paraId="63EF9A1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969866D">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前期差错更正</w:t>
            </w:r>
          </w:p>
        </w:tc>
        <w:tc>
          <w:tcPr>
            <w:tcW w:w="703" w:type="dxa"/>
            <w:tcBorders>
              <w:top w:val="single" w:color="auto" w:sz="2" w:space="0"/>
              <w:left w:val="single" w:color="auto" w:sz="2" w:space="0"/>
              <w:bottom w:val="single" w:color="auto" w:sz="2" w:space="0"/>
              <w:right w:val="single" w:color="auto" w:sz="2" w:space="0"/>
            </w:tcBorders>
            <w:vAlign w:val="center"/>
          </w:tcPr>
          <w:p w14:paraId="0056B43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94CEA7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CC99F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3ACDA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4EFA16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0FFFA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CF809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84C8F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1DA63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7E256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6CEA2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60CEEF">
            <w:pPr>
              <w:spacing w:line="240" w:lineRule="exact"/>
              <w:jc w:val="right"/>
              <w:rPr>
                <w:rFonts w:ascii="宋体" w:hAnsi="宋体" w:eastAsia="宋体" w:cs="宋体"/>
                <w:sz w:val="18"/>
                <w:szCs w:val="18"/>
              </w:rPr>
            </w:pPr>
          </w:p>
        </w:tc>
      </w:tr>
      <w:tr w14:paraId="403B35D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9F63FBC">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其他</w:t>
            </w:r>
          </w:p>
        </w:tc>
        <w:tc>
          <w:tcPr>
            <w:tcW w:w="703" w:type="dxa"/>
            <w:tcBorders>
              <w:top w:val="single" w:color="auto" w:sz="2" w:space="0"/>
              <w:left w:val="single" w:color="auto" w:sz="2" w:space="0"/>
              <w:bottom w:val="single" w:color="auto" w:sz="2" w:space="0"/>
              <w:right w:val="single" w:color="auto" w:sz="2" w:space="0"/>
            </w:tcBorders>
            <w:vAlign w:val="center"/>
          </w:tcPr>
          <w:p w14:paraId="76F80D0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18979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B7C51C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5AE61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38BD5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C3AD8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E523D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9C6BB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DDDDE7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AC6D0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E03BD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63FF05">
            <w:pPr>
              <w:spacing w:line="240" w:lineRule="exact"/>
              <w:jc w:val="right"/>
              <w:rPr>
                <w:rFonts w:ascii="宋体" w:hAnsi="宋体" w:eastAsia="宋体" w:cs="宋体"/>
                <w:sz w:val="18"/>
                <w:szCs w:val="18"/>
              </w:rPr>
            </w:pPr>
          </w:p>
        </w:tc>
      </w:tr>
      <w:tr w14:paraId="5D274B9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A8D3679">
            <w:pPr>
              <w:spacing w:before="40" w:after="40" w:line="240" w:lineRule="exact"/>
              <w:rPr>
                <w:rFonts w:ascii="宋体" w:hAnsi="宋体" w:eastAsia="宋体" w:cs="宋体"/>
                <w:sz w:val="18"/>
                <w:szCs w:val="18"/>
              </w:rPr>
            </w:pPr>
            <w:r>
              <w:rPr>
                <w:rFonts w:ascii="宋体" w:hAnsi="宋体" w:eastAsia="宋体" w:cs="宋体"/>
                <w:sz w:val="18"/>
                <w:szCs w:val="18"/>
              </w:rPr>
              <w:t>二、本年期初余额</w:t>
            </w:r>
          </w:p>
        </w:tc>
        <w:tc>
          <w:tcPr>
            <w:tcW w:w="703" w:type="dxa"/>
            <w:tcBorders>
              <w:top w:val="single" w:color="auto" w:sz="2" w:space="0"/>
              <w:left w:val="single" w:color="auto" w:sz="2" w:space="0"/>
              <w:bottom w:val="single" w:color="auto" w:sz="2" w:space="0"/>
              <w:right w:val="single" w:color="auto" w:sz="2" w:space="0"/>
            </w:tcBorders>
            <w:vAlign w:val="center"/>
          </w:tcPr>
          <w:p w14:paraId="566F90BB">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703" w:type="dxa"/>
            <w:tcBorders>
              <w:top w:val="single" w:color="auto" w:sz="2" w:space="0"/>
              <w:left w:val="single" w:color="auto" w:sz="2" w:space="0"/>
              <w:bottom w:val="single" w:color="auto" w:sz="2" w:space="0"/>
              <w:right w:val="single" w:color="auto" w:sz="2" w:space="0"/>
            </w:tcBorders>
            <w:vAlign w:val="center"/>
          </w:tcPr>
          <w:p w14:paraId="1110286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EBDD4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94B40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CC2699">
            <w:pPr>
              <w:spacing w:line="240" w:lineRule="exact"/>
              <w:jc w:val="right"/>
              <w:rPr>
                <w:rFonts w:ascii="宋体" w:hAnsi="宋体" w:eastAsia="宋体" w:cs="宋体"/>
                <w:sz w:val="18"/>
                <w:szCs w:val="18"/>
              </w:rPr>
            </w:pPr>
            <w:r>
              <w:rPr>
                <w:rFonts w:ascii="宋体" w:hAnsi="宋体" w:eastAsia="宋体" w:cs="宋体"/>
                <w:sz w:val="18"/>
                <w:szCs w:val="18"/>
              </w:rPr>
              <w:t>213,593,040.34</w:t>
            </w:r>
          </w:p>
        </w:tc>
        <w:tc>
          <w:tcPr>
            <w:tcW w:w="703" w:type="dxa"/>
            <w:tcBorders>
              <w:top w:val="single" w:color="auto" w:sz="2" w:space="0"/>
              <w:left w:val="single" w:color="auto" w:sz="2" w:space="0"/>
              <w:bottom w:val="single" w:color="auto" w:sz="2" w:space="0"/>
              <w:right w:val="single" w:color="auto" w:sz="2" w:space="0"/>
            </w:tcBorders>
            <w:vAlign w:val="center"/>
          </w:tcPr>
          <w:p w14:paraId="73F1875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E1BA3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B1D76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A06055">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703" w:type="dxa"/>
            <w:tcBorders>
              <w:top w:val="single" w:color="auto" w:sz="2" w:space="0"/>
              <w:left w:val="single" w:color="auto" w:sz="2" w:space="0"/>
              <w:bottom w:val="single" w:color="auto" w:sz="2" w:space="0"/>
              <w:right w:val="single" w:color="auto" w:sz="2" w:space="0"/>
            </w:tcBorders>
            <w:vAlign w:val="center"/>
          </w:tcPr>
          <w:p w14:paraId="7D9C6A47">
            <w:pPr>
              <w:spacing w:line="240" w:lineRule="exact"/>
              <w:jc w:val="right"/>
              <w:rPr>
                <w:rFonts w:ascii="宋体" w:hAnsi="宋体" w:eastAsia="宋体" w:cs="宋体"/>
                <w:sz w:val="18"/>
                <w:szCs w:val="18"/>
              </w:rPr>
            </w:pPr>
            <w:r>
              <w:rPr>
                <w:rFonts w:ascii="宋体" w:hAnsi="宋体" w:eastAsia="宋体" w:cs="宋体"/>
                <w:sz w:val="18"/>
                <w:szCs w:val="18"/>
              </w:rPr>
              <w:t>-676,442,220.33</w:t>
            </w:r>
          </w:p>
        </w:tc>
        <w:tc>
          <w:tcPr>
            <w:tcW w:w="703" w:type="dxa"/>
            <w:tcBorders>
              <w:top w:val="single" w:color="auto" w:sz="2" w:space="0"/>
              <w:left w:val="single" w:color="auto" w:sz="2" w:space="0"/>
              <w:bottom w:val="single" w:color="auto" w:sz="2" w:space="0"/>
              <w:right w:val="single" w:color="auto" w:sz="2" w:space="0"/>
            </w:tcBorders>
            <w:vAlign w:val="center"/>
          </w:tcPr>
          <w:p w14:paraId="74A617F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F2F17F">
            <w:pPr>
              <w:spacing w:line="240" w:lineRule="exact"/>
              <w:jc w:val="right"/>
              <w:rPr>
                <w:rFonts w:ascii="宋体" w:hAnsi="宋体" w:eastAsia="宋体" w:cs="宋体"/>
                <w:sz w:val="18"/>
                <w:szCs w:val="18"/>
              </w:rPr>
            </w:pPr>
            <w:r>
              <w:rPr>
                <w:rFonts w:ascii="宋体" w:hAnsi="宋体" w:eastAsia="宋体" w:cs="宋体"/>
                <w:sz w:val="18"/>
                <w:szCs w:val="18"/>
              </w:rPr>
              <w:t>-129,865,602.72</w:t>
            </w:r>
          </w:p>
        </w:tc>
      </w:tr>
      <w:tr w14:paraId="2540DD0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78C7B89">
            <w:pPr>
              <w:spacing w:before="40" w:after="40" w:line="240" w:lineRule="exact"/>
              <w:rPr>
                <w:rFonts w:ascii="宋体" w:hAnsi="宋体" w:eastAsia="宋体" w:cs="宋体"/>
                <w:sz w:val="18"/>
                <w:szCs w:val="18"/>
              </w:rPr>
            </w:pPr>
            <w:r>
              <w:rPr>
                <w:rFonts w:ascii="宋体" w:hAnsi="宋体" w:eastAsia="宋体" w:cs="宋体"/>
                <w:sz w:val="18"/>
                <w:szCs w:val="18"/>
              </w:rPr>
              <w:t>三、本期增减变动金额（减少以“—”号填列）</w:t>
            </w:r>
          </w:p>
        </w:tc>
        <w:tc>
          <w:tcPr>
            <w:tcW w:w="703" w:type="dxa"/>
            <w:tcBorders>
              <w:top w:val="single" w:color="auto" w:sz="2" w:space="0"/>
              <w:left w:val="single" w:color="auto" w:sz="2" w:space="0"/>
              <w:bottom w:val="single" w:color="auto" w:sz="2" w:space="0"/>
              <w:right w:val="single" w:color="auto" w:sz="2" w:space="0"/>
            </w:tcBorders>
            <w:vAlign w:val="center"/>
          </w:tcPr>
          <w:p w14:paraId="736C04C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1FFD6C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DF68A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BDEE9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77B5C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849A4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1FAEF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875E3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3752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6BB51B">
            <w:pPr>
              <w:spacing w:line="240" w:lineRule="exact"/>
              <w:jc w:val="right"/>
              <w:rPr>
                <w:rFonts w:ascii="宋体" w:hAnsi="宋体" w:eastAsia="宋体" w:cs="宋体"/>
                <w:sz w:val="18"/>
                <w:szCs w:val="18"/>
              </w:rPr>
            </w:pPr>
            <w:r>
              <w:rPr>
                <w:rFonts w:ascii="宋体" w:hAnsi="宋体" w:eastAsia="宋体" w:cs="宋体"/>
                <w:sz w:val="18"/>
                <w:szCs w:val="18"/>
              </w:rPr>
              <w:t>-19,757,935.10</w:t>
            </w:r>
          </w:p>
        </w:tc>
        <w:tc>
          <w:tcPr>
            <w:tcW w:w="703" w:type="dxa"/>
            <w:tcBorders>
              <w:top w:val="single" w:color="auto" w:sz="2" w:space="0"/>
              <w:left w:val="single" w:color="auto" w:sz="2" w:space="0"/>
              <w:bottom w:val="single" w:color="auto" w:sz="2" w:space="0"/>
              <w:right w:val="single" w:color="auto" w:sz="2" w:space="0"/>
            </w:tcBorders>
            <w:vAlign w:val="center"/>
          </w:tcPr>
          <w:p w14:paraId="3F0F82C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181DED">
            <w:pPr>
              <w:spacing w:line="240" w:lineRule="exact"/>
              <w:jc w:val="right"/>
              <w:rPr>
                <w:rFonts w:ascii="宋体" w:hAnsi="宋体" w:eastAsia="宋体" w:cs="宋体"/>
                <w:sz w:val="18"/>
                <w:szCs w:val="18"/>
              </w:rPr>
            </w:pPr>
            <w:r>
              <w:rPr>
                <w:rFonts w:ascii="宋体" w:hAnsi="宋体" w:eastAsia="宋体" w:cs="宋体"/>
                <w:sz w:val="18"/>
                <w:szCs w:val="18"/>
              </w:rPr>
              <w:t>-19,757,935.10</w:t>
            </w:r>
          </w:p>
        </w:tc>
      </w:tr>
      <w:tr w14:paraId="25EDFCC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46CE7EE">
            <w:pPr>
              <w:spacing w:before="40" w:after="40" w:line="240" w:lineRule="exact"/>
              <w:rPr>
                <w:rFonts w:ascii="宋体" w:hAnsi="宋体" w:eastAsia="宋体" w:cs="宋体"/>
                <w:sz w:val="18"/>
                <w:szCs w:val="18"/>
              </w:rPr>
            </w:pPr>
            <w:r>
              <w:rPr>
                <w:rFonts w:ascii="宋体" w:hAnsi="宋体" w:eastAsia="宋体" w:cs="宋体"/>
                <w:sz w:val="18"/>
                <w:szCs w:val="18"/>
              </w:rPr>
              <w:t>（一）综合收益总额</w:t>
            </w:r>
          </w:p>
        </w:tc>
        <w:tc>
          <w:tcPr>
            <w:tcW w:w="703" w:type="dxa"/>
            <w:tcBorders>
              <w:top w:val="single" w:color="auto" w:sz="2" w:space="0"/>
              <w:left w:val="single" w:color="auto" w:sz="2" w:space="0"/>
              <w:bottom w:val="single" w:color="auto" w:sz="2" w:space="0"/>
              <w:right w:val="single" w:color="auto" w:sz="2" w:space="0"/>
            </w:tcBorders>
            <w:vAlign w:val="center"/>
          </w:tcPr>
          <w:p w14:paraId="210A75B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53E38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4C5BE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6F818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C981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72053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40040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E8291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7DEE7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532163B">
            <w:pPr>
              <w:spacing w:line="240" w:lineRule="exact"/>
              <w:jc w:val="right"/>
              <w:rPr>
                <w:rFonts w:ascii="宋体" w:hAnsi="宋体" w:eastAsia="宋体" w:cs="宋体"/>
                <w:sz w:val="18"/>
                <w:szCs w:val="18"/>
              </w:rPr>
            </w:pPr>
            <w:r>
              <w:rPr>
                <w:rFonts w:ascii="宋体" w:hAnsi="宋体" w:eastAsia="宋体" w:cs="宋体"/>
                <w:sz w:val="18"/>
                <w:szCs w:val="18"/>
              </w:rPr>
              <w:t>-19,757,935.10</w:t>
            </w:r>
          </w:p>
        </w:tc>
        <w:tc>
          <w:tcPr>
            <w:tcW w:w="703" w:type="dxa"/>
            <w:tcBorders>
              <w:top w:val="single" w:color="auto" w:sz="2" w:space="0"/>
              <w:left w:val="single" w:color="auto" w:sz="2" w:space="0"/>
              <w:bottom w:val="single" w:color="auto" w:sz="2" w:space="0"/>
              <w:right w:val="single" w:color="auto" w:sz="2" w:space="0"/>
            </w:tcBorders>
            <w:vAlign w:val="center"/>
          </w:tcPr>
          <w:p w14:paraId="1D8BCED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8A0BA8">
            <w:pPr>
              <w:spacing w:line="240" w:lineRule="exact"/>
              <w:jc w:val="right"/>
              <w:rPr>
                <w:rFonts w:ascii="宋体" w:hAnsi="宋体" w:eastAsia="宋体" w:cs="宋体"/>
                <w:sz w:val="18"/>
                <w:szCs w:val="18"/>
              </w:rPr>
            </w:pPr>
            <w:r>
              <w:rPr>
                <w:rFonts w:ascii="宋体" w:hAnsi="宋体" w:eastAsia="宋体" w:cs="宋体"/>
                <w:sz w:val="18"/>
                <w:szCs w:val="18"/>
              </w:rPr>
              <w:t>-19,757,935.10</w:t>
            </w:r>
          </w:p>
        </w:tc>
      </w:tr>
      <w:tr w14:paraId="643B6FD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6083D55">
            <w:pPr>
              <w:spacing w:before="40" w:after="40" w:line="240" w:lineRule="exact"/>
              <w:rPr>
                <w:rFonts w:ascii="宋体" w:hAnsi="宋体" w:eastAsia="宋体" w:cs="宋体"/>
                <w:sz w:val="18"/>
                <w:szCs w:val="18"/>
              </w:rPr>
            </w:pPr>
            <w:r>
              <w:rPr>
                <w:rFonts w:ascii="宋体" w:hAnsi="宋体" w:eastAsia="宋体" w:cs="宋体"/>
                <w:sz w:val="18"/>
                <w:szCs w:val="18"/>
              </w:rPr>
              <w:t>（二）所有者投入和减少资本</w:t>
            </w:r>
          </w:p>
        </w:tc>
        <w:tc>
          <w:tcPr>
            <w:tcW w:w="703" w:type="dxa"/>
            <w:tcBorders>
              <w:top w:val="single" w:color="auto" w:sz="2" w:space="0"/>
              <w:left w:val="single" w:color="auto" w:sz="2" w:space="0"/>
              <w:bottom w:val="single" w:color="auto" w:sz="2" w:space="0"/>
              <w:right w:val="single" w:color="auto" w:sz="2" w:space="0"/>
            </w:tcBorders>
            <w:vAlign w:val="center"/>
          </w:tcPr>
          <w:p w14:paraId="7525BF3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24A86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5E072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4668A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29623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9AA0E3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EFD78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2B37F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0E0EB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5747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500C1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EB8434">
            <w:pPr>
              <w:spacing w:line="240" w:lineRule="exact"/>
              <w:jc w:val="right"/>
              <w:rPr>
                <w:rFonts w:ascii="宋体" w:hAnsi="宋体" w:eastAsia="宋体" w:cs="宋体"/>
                <w:sz w:val="18"/>
                <w:szCs w:val="18"/>
              </w:rPr>
            </w:pPr>
          </w:p>
        </w:tc>
      </w:tr>
      <w:tr w14:paraId="08C85DD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73D9637">
            <w:pPr>
              <w:spacing w:before="40" w:after="40" w:line="240" w:lineRule="exact"/>
              <w:rPr>
                <w:rFonts w:ascii="宋体" w:hAnsi="宋体" w:eastAsia="宋体" w:cs="宋体"/>
                <w:sz w:val="18"/>
                <w:szCs w:val="18"/>
              </w:rPr>
            </w:pPr>
            <w:r>
              <w:rPr>
                <w:rFonts w:ascii="宋体" w:hAnsi="宋体" w:eastAsia="宋体" w:cs="宋体"/>
                <w:sz w:val="18"/>
                <w:szCs w:val="18"/>
              </w:rPr>
              <w:t>1．所有者投入的普通股</w:t>
            </w:r>
          </w:p>
        </w:tc>
        <w:tc>
          <w:tcPr>
            <w:tcW w:w="703" w:type="dxa"/>
            <w:tcBorders>
              <w:top w:val="single" w:color="auto" w:sz="2" w:space="0"/>
              <w:left w:val="single" w:color="auto" w:sz="2" w:space="0"/>
              <w:bottom w:val="single" w:color="auto" w:sz="2" w:space="0"/>
              <w:right w:val="single" w:color="auto" w:sz="2" w:space="0"/>
            </w:tcBorders>
            <w:vAlign w:val="center"/>
          </w:tcPr>
          <w:p w14:paraId="70B8AE6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07408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43E50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B6BB0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931C1D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E5A40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D27B5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DD3319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225E6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8C422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D2968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7E49F84">
            <w:pPr>
              <w:spacing w:line="240" w:lineRule="exact"/>
              <w:jc w:val="right"/>
              <w:rPr>
                <w:rFonts w:ascii="宋体" w:hAnsi="宋体" w:eastAsia="宋体" w:cs="宋体"/>
                <w:sz w:val="18"/>
                <w:szCs w:val="18"/>
              </w:rPr>
            </w:pPr>
          </w:p>
        </w:tc>
      </w:tr>
      <w:tr w14:paraId="66767C8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9C43D73">
            <w:pPr>
              <w:spacing w:before="40" w:after="40" w:line="240" w:lineRule="exact"/>
              <w:rPr>
                <w:rFonts w:ascii="宋体" w:hAnsi="宋体" w:eastAsia="宋体" w:cs="宋体"/>
                <w:sz w:val="18"/>
                <w:szCs w:val="18"/>
              </w:rPr>
            </w:pPr>
            <w:r>
              <w:rPr>
                <w:rFonts w:ascii="宋体" w:hAnsi="宋体" w:eastAsia="宋体" w:cs="宋体"/>
                <w:sz w:val="18"/>
                <w:szCs w:val="18"/>
              </w:rPr>
              <w:t>2．其他权益工具持有者投入资本</w:t>
            </w:r>
          </w:p>
        </w:tc>
        <w:tc>
          <w:tcPr>
            <w:tcW w:w="703" w:type="dxa"/>
            <w:tcBorders>
              <w:top w:val="single" w:color="auto" w:sz="2" w:space="0"/>
              <w:left w:val="single" w:color="auto" w:sz="2" w:space="0"/>
              <w:bottom w:val="single" w:color="auto" w:sz="2" w:space="0"/>
              <w:right w:val="single" w:color="auto" w:sz="2" w:space="0"/>
            </w:tcBorders>
            <w:vAlign w:val="center"/>
          </w:tcPr>
          <w:p w14:paraId="4876176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56DA8B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EE08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BA0AC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3CC17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9D618F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89954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317A5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2E835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717B7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9B775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3E84B9">
            <w:pPr>
              <w:spacing w:line="240" w:lineRule="exact"/>
              <w:jc w:val="right"/>
              <w:rPr>
                <w:rFonts w:ascii="宋体" w:hAnsi="宋体" w:eastAsia="宋体" w:cs="宋体"/>
                <w:sz w:val="18"/>
                <w:szCs w:val="18"/>
              </w:rPr>
            </w:pPr>
          </w:p>
        </w:tc>
      </w:tr>
      <w:tr w14:paraId="539A498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A953B22">
            <w:pPr>
              <w:spacing w:before="40" w:after="40" w:line="240" w:lineRule="exact"/>
              <w:rPr>
                <w:rFonts w:ascii="宋体" w:hAnsi="宋体" w:eastAsia="宋体" w:cs="宋体"/>
                <w:sz w:val="18"/>
                <w:szCs w:val="18"/>
              </w:rPr>
            </w:pPr>
            <w:r>
              <w:rPr>
                <w:rFonts w:ascii="宋体" w:hAnsi="宋体" w:eastAsia="宋体" w:cs="宋体"/>
                <w:sz w:val="18"/>
                <w:szCs w:val="18"/>
              </w:rPr>
              <w:t>3．股份支付计入所有者权益的金额</w:t>
            </w:r>
          </w:p>
        </w:tc>
        <w:tc>
          <w:tcPr>
            <w:tcW w:w="703" w:type="dxa"/>
            <w:tcBorders>
              <w:top w:val="single" w:color="auto" w:sz="2" w:space="0"/>
              <w:left w:val="single" w:color="auto" w:sz="2" w:space="0"/>
              <w:bottom w:val="single" w:color="auto" w:sz="2" w:space="0"/>
              <w:right w:val="single" w:color="auto" w:sz="2" w:space="0"/>
            </w:tcBorders>
            <w:vAlign w:val="center"/>
          </w:tcPr>
          <w:p w14:paraId="7A0A889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27627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F89BD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7F343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02EE4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7B305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FB878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8BFA4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D0E19C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002E9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08AA1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719CD4">
            <w:pPr>
              <w:spacing w:line="240" w:lineRule="exact"/>
              <w:jc w:val="right"/>
              <w:rPr>
                <w:rFonts w:ascii="宋体" w:hAnsi="宋体" w:eastAsia="宋体" w:cs="宋体"/>
                <w:sz w:val="18"/>
                <w:szCs w:val="18"/>
              </w:rPr>
            </w:pPr>
          </w:p>
        </w:tc>
      </w:tr>
      <w:tr w14:paraId="5E7C1D6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102C78E">
            <w:pPr>
              <w:spacing w:before="40" w:after="40" w:line="240" w:lineRule="exact"/>
              <w:rPr>
                <w:rFonts w:ascii="宋体" w:hAnsi="宋体" w:eastAsia="宋体" w:cs="宋体"/>
                <w:sz w:val="18"/>
                <w:szCs w:val="18"/>
              </w:rPr>
            </w:pPr>
            <w:r>
              <w:rPr>
                <w:rFonts w:ascii="宋体" w:hAnsi="宋体" w:eastAsia="宋体" w:cs="宋体"/>
                <w:sz w:val="18"/>
                <w:szCs w:val="18"/>
              </w:rPr>
              <w:t>4．其他</w:t>
            </w:r>
          </w:p>
        </w:tc>
        <w:tc>
          <w:tcPr>
            <w:tcW w:w="703" w:type="dxa"/>
            <w:tcBorders>
              <w:top w:val="single" w:color="auto" w:sz="2" w:space="0"/>
              <w:left w:val="single" w:color="auto" w:sz="2" w:space="0"/>
              <w:bottom w:val="single" w:color="auto" w:sz="2" w:space="0"/>
              <w:right w:val="single" w:color="auto" w:sz="2" w:space="0"/>
            </w:tcBorders>
            <w:vAlign w:val="center"/>
          </w:tcPr>
          <w:p w14:paraId="42AE8FC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CF263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FA63D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D5616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07C4D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C17BDD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5DA57B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64D2D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AF857A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4725D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846FB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BEB6EA">
            <w:pPr>
              <w:spacing w:line="240" w:lineRule="exact"/>
              <w:jc w:val="right"/>
              <w:rPr>
                <w:rFonts w:ascii="宋体" w:hAnsi="宋体" w:eastAsia="宋体" w:cs="宋体"/>
                <w:sz w:val="18"/>
                <w:szCs w:val="18"/>
              </w:rPr>
            </w:pPr>
          </w:p>
        </w:tc>
      </w:tr>
      <w:tr w14:paraId="143805B2">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A7FDB24">
            <w:pPr>
              <w:spacing w:before="40" w:after="40" w:line="240" w:lineRule="exact"/>
              <w:rPr>
                <w:rFonts w:ascii="宋体" w:hAnsi="宋体" w:eastAsia="宋体" w:cs="宋体"/>
                <w:sz w:val="18"/>
                <w:szCs w:val="18"/>
              </w:rPr>
            </w:pPr>
            <w:r>
              <w:rPr>
                <w:rFonts w:ascii="宋体" w:hAnsi="宋体" w:eastAsia="宋体" w:cs="宋体"/>
                <w:sz w:val="18"/>
                <w:szCs w:val="18"/>
              </w:rPr>
              <w:t>（三）利润分配</w:t>
            </w:r>
          </w:p>
        </w:tc>
        <w:tc>
          <w:tcPr>
            <w:tcW w:w="703" w:type="dxa"/>
            <w:tcBorders>
              <w:top w:val="single" w:color="auto" w:sz="2" w:space="0"/>
              <w:left w:val="single" w:color="auto" w:sz="2" w:space="0"/>
              <w:bottom w:val="single" w:color="auto" w:sz="2" w:space="0"/>
              <w:right w:val="single" w:color="auto" w:sz="2" w:space="0"/>
            </w:tcBorders>
            <w:vAlign w:val="center"/>
          </w:tcPr>
          <w:p w14:paraId="7606EA2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5231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39AA3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44D58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BFA38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F27BC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83E23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8AAFD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88FD8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7250B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8FAF1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3DA035">
            <w:pPr>
              <w:spacing w:line="240" w:lineRule="exact"/>
              <w:jc w:val="right"/>
              <w:rPr>
                <w:rFonts w:ascii="宋体" w:hAnsi="宋体" w:eastAsia="宋体" w:cs="宋体"/>
                <w:sz w:val="18"/>
                <w:szCs w:val="18"/>
              </w:rPr>
            </w:pPr>
          </w:p>
        </w:tc>
      </w:tr>
      <w:tr w14:paraId="18DD3E3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43F3B7B">
            <w:pPr>
              <w:spacing w:before="40" w:after="40" w:line="240" w:lineRule="exact"/>
              <w:rPr>
                <w:rFonts w:ascii="宋体" w:hAnsi="宋体" w:eastAsia="宋体" w:cs="宋体"/>
                <w:sz w:val="18"/>
                <w:szCs w:val="18"/>
              </w:rPr>
            </w:pPr>
            <w:r>
              <w:rPr>
                <w:rFonts w:ascii="宋体" w:hAnsi="宋体" w:eastAsia="宋体" w:cs="宋体"/>
                <w:sz w:val="18"/>
                <w:szCs w:val="18"/>
              </w:rPr>
              <w:t>1．提取盈余公积</w:t>
            </w:r>
          </w:p>
        </w:tc>
        <w:tc>
          <w:tcPr>
            <w:tcW w:w="703" w:type="dxa"/>
            <w:tcBorders>
              <w:top w:val="single" w:color="auto" w:sz="2" w:space="0"/>
              <w:left w:val="single" w:color="auto" w:sz="2" w:space="0"/>
              <w:bottom w:val="single" w:color="auto" w:sz="2" w:space="0"/>
              <w:right w:val="single" w:color="auto" w:sz="2" w:space="0"/>
            </w:tcBorders>
            <w:vAlign w:val="center"/>
          </w:tcPr>
          <w:p w14:paraId="48D9B1E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8ACB0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9C8D4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DE5020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58AF46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CFB59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7734D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329F5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172C1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03284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2CEEE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D6F0B5">
            <w:pPr>
              <w:spacing w:line="240" w:lineRule="exact"/>
              <w:jc w:val="right"/>
              <w:rPr>
                <w:rFonts w:ascii="宋体" w:hAnsi="宋体" w:eastAsia="宋体" w:cs="宋体"/>
                <w:sz w:val="18"/>
                <w:szCs w:val="18"/>
              </w:rPr>
            </w:pPr>
          </w:p>
        </w:tc>
      </w:tr>
      <w:tr w14:paraId="0F0B5A2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AA7FA53">
            <w:pPr>
              <w:spacing w:before="40" w:after="40" w:line="240" w:lineRule="exact"/>
              <w:rPr>
                <w:rFonts w:ascii="宋体" w:hAnsi="宋体" w:eastAsia="宋体" w:cs="宋体"/>
                <w:sz w:val="18"/>
                <w:szCs w:val="18"/>
              </w:rPr>
            </w:pPr>
            <w:r>
              <w:rPr>
                <w:rFonts w:ascii="宋体" w:hAnsi="宋体" w:eastAsia="宋体" w:cs="宋体"/>
                <w:sz w:val="18"/>
                <w:szCs w:val="18"/>
              </w:rPr>
              <w:t>2．对所有者（或股东）的分配</w:t>
            </w:r>
          </w:p>
        </w:tc>
        <w:tc>
          <w:tcPr>
            <w:tcW w:w="703" w:type="dxa"/>
            <w:tcBorders>
              <w:top w:val="single" w:color="auto" w:sz="2" w:space="0"/>
              <w:left w:val="single" w:color="auto" w:sz="2" w:space="0"/>
              <w:bottom w:val="single" w:color="auto" w:sz="2" w:space="0"/>
              <w:right w:val="single" w:color="auto" w:sz="2" w:space="0"/>
            </w:tcBorders>
            <w:vAlign w:val="center"/>
          </w:tcPr>
          <w:p w14:paraId="193B2D2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3FF35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66C64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D0F5F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7A029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9C140B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DD076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728AA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3D3ED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A1B89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327E8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2BB6AA">
            <w:pPr>
              <w:spacing w:line="240" w:lineRule="exact"/>
              <w:jc w:val="right"/>
              <w:rPr>
                <w:rFonts w:ascii="宋体" w:hAnsi="宋体" w:eastAsia="宋体" w:cs="宋体"/>
                <w:sz w:val="18"/>
                <w:szCs w:val="18"/>
              </w:rPr>
            </w:pPr>
          </w:p>
        </w:tc>
      </w:tr>
      <w:tr w14:paraId="44DE709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18E14BC">
            <w:pPr>
              <w:spacing w:before="40" w:after="40" w:line="240" w:lineRule="exact"/>
              <w:rPr>
                <w:rFonts w:ascii="宋体" w:hAnsi="宋体" w:eastAsia="宋体" w:cs="宋体"/>
                <w:sz w:val="18"/>
                <w:szCs w:val="18"/>
              </w:rPr>
            </w:pPr>
            <w:r>
              <w:rPr>
                <w:rFonts w:ascii="宋体" w:hAnsi="宋体" w:eastAsia="宋体" w:cs="宋体"/>
                <w:sz w:val="18"/>
                <w:szCs w:val="18"/>
              </w:rPr>
              <w:t>3．其他</w:t>
            </w:r>
          </w:p>
        </w:tc>
        <w:tc>
          <w:tcPr>
            <w:tcW w:w="703" w:type="dxa"/>
            <w:tcBorders>
              <w:top w:val="single" w:color="auto" w:sz="2" w:space="0"/>
              <w:left w:val="single" w:color="auto" w:sz="2" w:space="0"/>
              <w:bottom w:val="single" w:color="auto" w:sz="2" w:space="0"/>
              <w:right w:val="single" w:color="auto" w:sz="2" w:space="0"/>
            </w:tcBorders>
            <w:vAlign w:val="center"/>
          </w:tcPr>
          <w:p w14:paraId="02BE3B3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F2EC1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59491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56C4F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CDF82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B5457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36852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9FE9D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BDB86F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FD4CC9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B91B5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5B9135">
            <w:pPr>
              <w:spacing w:line="240" w:lineRule="exact"/>
              <w:jc w:val="right"/>
              <w:rPr>
                <w:rFonts w:ascii="宋体" w:hAnsi="宋体" w:eastAsia="宋体" w:cs="宋体"/>
                <w:sz w:val="18"/>
                <w:szCs w:val="18"/>
              </w:rPr>
            </w:pPr>
          </w:p>
        </w:tc>
      </w:tr>
      <w:tr w14:paraId="3846C896">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4928F53">
            <w:pPr>
              <w:spacing w:before="40" w:after="40" w:line="240" w:lineRule="exact"/>
              <w:rPr>
                <w:rFonts w:ascii="宋体" w:hAnsi="宋体" w:eastAsia="宋体" w:cs="宋体"/>
                <w:sz w:val="18"/>
                <w:szCs w:val="18"/>
              </w:rPr>
            </w:pPr>
            <w:r>
              <w:rPr>
                <w:rFonts w:ascii="宋体" w:hAnsi="宋体" w:eastAsia="宋体" w:cs="宋体"/>
                <w:sz w:val="18"/>
                <w:szCs w:val="18"/>
              </w:rPr>
              <w:t>（四）所有者权益内部结转</w:t>
            </w:r>
          </w:p>
        </w:tc>
        <w:tc>
          <w:tcPr>
            <w:tcW w:w="703" w:type="dxa"/>
            <w:tcBorders>
              <w:top w:val="single" w:color="auto" w:sz="2" w:space="0"/>
              <w:left w:val="single" w:color="auto" w:sz="2" w:space="0"/>
              <w:bottom w:val="single" w:color="auto" w:sz="2" w:space="0"/>
              <w:right w:val="single" w:color="auto" w:sz="2" w:space="0"/>
            </w:tcBorders>
            <w:vAlign w:val="center"/>
          </w:tcPr>
          <w:p w14:paraId="259132A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50FFC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71E16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E0A09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7D332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1FE32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59A79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7FC2B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5EE04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CE8A7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1A2B12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72E84E">
            <w:pPr>
              <w:spacing w:line="240" w:lineRule="exact"/>
              <w:jc w:val="right"/>
              <w:rPr>
                <w:rFonts w:ascii="宋体" w:hAnsi="宋体" w:eastAsia="宋体" w:cs="宋体"/>
                <w:sz w:val="18"/>
                <w:szCs w:val="18"/>
              </w:rPr>
            </w:pPr>
          </w:p>
        </w:tc>
      </w:tr>
      <w:tr w14:paraId="1C6DEBA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E89EA94">
            <w:pPr>
              <w:spacing w:before="40" w:after="40" w:line="240" w:lineRule="exact"/>
              <w:rPr>
                <w:rFonts w:ascii="宋体" w:hAnsi="宋体" w:eastAsia="宋体" w:cs="宋体"/>
                <w:sz w:val="18"/>
                <w:szCs w:val="18"/>
              </w:rPr>
            </w:pPr>
            <w:r>
              <w:rPr>
                <w:rFonts w:ascii="宋体" w:hAnsi="宋体" w:eastAsia="宋体" w:cs="宋体"/>
                <w:sz w:val="18"/>
                <w:szCs w:val="18"/>
              </w:rPr>
              <w:t>1．资本公积转增资本（或股本）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5BF8D93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B1648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6A513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BA20B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85EAB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48B41D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D6954C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CE7472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FA1F87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C6B25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B4B92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2EF4B0">
            <w:pPr>
              <w:spacing w:line="240" w:lineRule="exact"/>
              <w:jc w:val="right"/>
              <w:rPr>
                <w:rFonts w:ascii="宋体" w:hAnsi="宋体" w:eastAsia="宋体" w:cs="宋体"/>
                <w:sz w:val="18"/>
                <w:szCs w:val="18"/>
              </w:rPr>
            </w:pPr>
          </w:p>
        </w:tc>
      </w:tr>
      <w:tr w14:paraId="35834CE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FF5B50A">
            <w:pPr>
              <w:spacing w:before="40" w:after="40" w:line="240" w:lineRule="exact"/>
              <w:rPr>
                <w:rFonts w:ascii="宋体" w:hAnsi="宋体" w:eastAsia="宋体" w:cs="宋体"/>
                <w:sz w:val="18"/>
                <w:szCs w:val="18"/>
              </w:rPr>
            </w:pPr>
            <w:r>
              <w:rPr>
                <w:rFonts w:ascii="宋体" w:hAnsi="宋体" w:eastAsia="宋体" w:cs="宋体"/>
                <w:sz w:val="18"/>
                <w:szCs w:val="18"/>
              </w:rPr>
              <w:t>2．盈余公积转增资本（或股本）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502F1EE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C0FE0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DD126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18C3E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5213D4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37BEA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99F6F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A53E7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5982E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FF38C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30E20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5B52C5">
            <w:pPr>
              <w:spacing w:line="240" w:lineRule="exact"/>
              <w:jc w:val="right"/>
              <w:rPr>
                <w:rFonts w:ascii="宋体" w:hAnsi="宋体" w:eastAsia="宋体" w:cs="宋体"/>
                <w:sz w:val="18"/>
                <w:szCs w:val="18"/>
              </w:rPr>
            </w:pPr>
          </w:p>
        </w:tc>
      </w:tr>
      <w:tr w14:paraId="41C1C40B">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92ACF28">
            <w:pPr>
              <w:spacing w:before="40" w:after="40" w:line="240" w:lineRule="exact"/>
              <w:rPr>
                <w:rFonts w:ascii="宋体" w:hAnsi="宋体" w:eastAsia="宋体" w:cs="宋体"/>
                <w:sz w:val="18"/>
                <w:szCs w:val="18"/>
              </w:rPr>
            </w:pPr>
            <w:r>
              <w:rPr>
                <w:rFonts w:ascii="宋体" w:hAnsi="宋体" w:eastAsia="宋体" w:cs="宋体"/>
                <w:sz w:val="18"/>
                <w:szCs w:val="18"/>
              </w:rPr>
              <w:t>3．盈余公积弥补亏损</w:t>
            </w:r>
          </w:p>
        </w:tc>
        <w:tc>
          <w:tcPr>
            <w:tcW w:w="703" w:type="dxa"/>
            <w:tcBorders>
              <w:top w:val="single" w:color="auto" w:sz="2" w:space="0"/>
              <w:left w:val="single" w:color="auto" w:sz="2" w:space="0"/>
              <w:bottom w:val="single" w:color="auto" w:sz="2" w:space="0"/>
              <w:right w:val="single" w:color="auto" w:sz="2" w:space="0"/>
            </w:tcBorders>
            <w:vAlign w:val="center"/>
          </w:tcPr>
          <w:p w14:paraId="4A59E7B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1ACAB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CE0B98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398C0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BD3C8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CC9223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33C51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1D0D7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99C58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3C84B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BC602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C1CC27">
            <w:pPr>
              <w:spacing w:line="240" w:lineRule="exact"/>
              <w:jc w:val="right"/>
              <w:rPr>
                <w:rFonts w:ascii="宋体" w:hAnsi="宋体" w:eastAsia="宋体" w:cs="宋体"/>
                <w:sz w:val="18"/>
                <w:szCs w:val="18"/>
              </w:rPr>
            </w:pPr>
          </w:p>
        </w:tc>
      </w:tr>
      <w:tr w14:paraId="04F5305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18AA599">
            <w:pPr>
              <w:spacing w:before="40" w:after="40" w:line="240" w:lineRule="exact"/>
              <w:rPr>
                <w:rFonts w:ascii="宋体" w:hAnsi="宋体" w:eastAsia="宋体" w:cs="宋体"/>
                <w:sz w:val="18"/>
                <w:szCs w:val="18"/>
              </w:rPr>
            </w:pPr>
            <w:r>
              <w:rPr>
                <w:rFonts w:ascii="宋体" w:hAnsi="宋体" w:eastAsia="宋体" w:cs="宋体"/>
                <w:sz w:val="18"/>
                <w:szCs w:val="18"/>
              </w:rPr>
              <w:t>4．设定受益计划变动额结转留存收益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7EFFC2F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E826A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20685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4F422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AA5BC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902B1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D157D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228D3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90823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DFA4B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BFA1B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AB5553">
            <w:pPr>
              <w:spacing w:line="240" w:lineRule="exact"/>
              <w:jc w:val="right"/>
              <w:rPr>
                <w:rFonts w:ascii="宋体" w:hAnsi="宋体" w:eastAsia="宋体" w:cs="宋体"/>
                <w:sz w:val="18"/>
                <w:szCs w:val="18"/>
              </w:rPr>
            </w:pPr>
          </w:p>
        </w:tc>
      </w:tr>
      <w:tr w14:paraId="1B60BE89">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D4B3AC3">
            <w:pPr>
              <w:spacing w:before="40" w:after="40" w:line="240" w:lineRule="exact"/>
              <w:rPr>
                <w:rFonts w:ascii="宋体" w:hAnsi="宋体" w:eastAsia="宋体" w:cs="宋体"/>
                <w:sz w:val="18"/>
                <w:szCs w:val="18"/>
              </w:rPr>
            </w:pPr>
            <w:r>
              <w:rPr>
                <w:rFonts w:ascii="宋体" w:hAnsi="宋体" w:eastAsia="宋体" w:cs="宋体"/>
                <w:sz w:val="18"/>
                <w:szCs w:val="18"/>
              </w:rPr>
              <w:t>5．其他综合收益结转留存收益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5A1A328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11C0F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24554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AE7D88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B69E60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AA0BC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92D9D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2BAD87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0EB67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7A519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98D25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CA2E58">
            <w:pPr>
              <w:spacing w:line="240" w:lineRule="exact"/>
              <w:jc w:val="right"/>
              <w:rPr>
                <w:rFonts w:ascii="宋体" w:hAnsi="宋体" w:eastAsia="宋体" w:cs="宋体"/>
                <w:sz w:val="18"/>
                <w:szCs w:val="18"/>
              </w:rPr>
            </w:pPr>
          </w:p>
        </w:tc>
      </w:tr>
      <w:tr w14:paraId="12307CD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97A5C11">
            <w:pPr>
              <w:spacing w:before="40" w:after="40" w:line="240" w:lineRule="exact"/>
              <w:rPr>
                <w:rFonts w:ascii="宋体" w:hAnsi="宋体" w:eastAsia="宋体" w:cs="宋体"/>
                <w:sz w:val="18"/>
                <w:szCs w:val="18"/>
              </w:rPr>
            </w:pPr>
            <w:r>
              <w:rPr>
                <w:rFonts w:ascii="宋体" w:hAnsi="宋体" w:eastAsia="宋体" w:cs="宋体"/>
                <w:sz w:val="18"/>
                <w:szCs w:val="18"/>
              </w:rPr>
              <w:t>6．其他</w:t>
            </w:r>
          </w:p>
        </w:tc>
        <w:tc>
          <w:tcPr>
            <w:tcW w:w="703" w:type="dxa"/>
            <w:tcBorders>
              <w:top w:val="single" w:color="auto" w:sz="2" w:space="0"/>
              <w:left w:val="single" w:color="auto" w:sz="2" w:space="0"/>
              <w:bottom w:val="single" w:color="auto" w:sz="2" w:space="0"/>
              <w:right w:val="single" w:color="auto" w:sz="2" w:space="0"/>
            </w:tcBorders>
            <w:vAlign w:val="center"/>
          </w:tcPr>
          <w:p w14:paraId="162AF14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8765F3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2EE26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B11A3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4830D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864EB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985CB0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CB50A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E28AA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3ED52E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91360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D2EF3C">
            <w:pPr>
              <w:spacing w:line="240" w:lineRule="exact"/>
              <w:jc w:val="right"/>
              <w:rPr>
                <w:rFonts w:ascii="宋体" w:hAnsi="宋体" w:eastAsia="宋体" w:cs="宋体"/>
                <w:sz w:val="18"/>
                <w:szCs w:val="18"/>
              </w:rPr>
            </w:pPr>
          </w:p>
        </w:tc>
      </w:tr>
      <w:tr w14:paraId="1F98DA3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932C6E8">
            <w:pPr>
              <w:spacing w:before="40" w:after="40" w:line="240" w:lineRule="exact"/>
              <w:rPr>
                <w:rFonts w:ascii="宋体" w:hAnsi="宋体" w:eastAsia="宋体" w:cs="宋体"/>
                <w:sz w:val="18"/>
                <w:szCs w:val="18"/>
              </w:rPr>
            </w:pPr>
            <w:r>
              <w:rPr>
                <w:rFonts w:ascii="宋体" w:hAnsi="宋体" w:eastAsia="宋体" w:cs="宋体"/>
                <w:sz w:val="18"/>
                <w:szCs w:val="18"/>
              </w:rPr>
              <w:t>（五）专项储备</w:t>
            </w:r>
          </w:p>
        </w:tc>
        <w:tc>
          <w:tcPr>
            <w:tcW w:w="703" w:type="dxa"/>
            <w:tcBorders>
              <w:top w:val="single" w:color="auto" w:sz="2" w:space="0"/>
              <w:left w:val="single" w:color="auto" w:sz="2" w:space="0"/>
              <w:bottom w:val="single" w:color="auto" w:sz="2" w:space="0"/>
              <w:right w:val="single" w:color="auto" w:sz="2" w:space="0"/>
            </w:tcBorders>
            <w:vAlign w:val="center"/>
          </w:tcPr>
          <w:p w14:paraId="5C059AF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16795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395A9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54385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02C01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8F314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6165B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88659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AF181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3C255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704AA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ED95CD">
            <w:pPr>
              <w:spacing w:line="240" w:lineRule="exact"/>
              <w:jc w:val="right"/>
              <w:rPr>
                <w:rFonts w:ascii="宋体" w:hAnsi="宋体" w:eastAsia="宋体" w:cs="宋体"/>
                <w:sz w:val="18"/>
                <w:szCs w:val="18"/>
              </w:rPr>
            </w:pPr>
          </w:p>
        </w:tc>
      </w:tr>
      <w:tr w14:paraId="65E273B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5F7B2C4">
            <w:pPr>
              <w:spacing w:before="40" w:after="40" w:line="240" w:lineRule="exact"/>
              <w:rPr>
                <w:rFonts w:ascii="宋体" w:hAnsi="宋体" w:eastAsia="宋体" w:cs="宋体"/>
                <w:sz w:val="18"/>
                <w:szCs w:val="18"/>
              </w:rPr>
            </w:pPr>
            <w:r>
              <w:rPr>
                <w:rFonts w:ascii="宋体" w:hAnsi="宋体" w:eastAsia="宋体" w:cs="宋体"/>
                <w:sz w:val="18"/>
                <w:szCs w:val="18"/>
              </w:rPr>
              <w:t>1．本期提取</w:t>
            </w:r>
          </w:p>
        </w:tc>
        <w:tc>
          <w:tcPr>
            <w:tcW w:w="703" w:type="dxa"/>
            <w:tcBorders>
              <w:top w:val="single" w:color="auto" w:sz="2" w:space="0"/>
              <w:left w:val="single" w:color="auto" w:sz="2" w:space="0"/>
              <w:bottom w:val="single" w:color="auto" w:sz="2" w:space="0"/>
              <w:right w:val="single" w:color="auto" w:sz="2" w:space="0"/>
            </w:tcBorders>
            <w:vAlign w:val="center"/>
          </w:tcPr>
          <w:p w14:paraId="4A91D3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72A92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D123E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5C093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3DBA10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BDA65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A444A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EAB91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CCAD1C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DEFB9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66951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7266E6">
            <w:pPr>
              <w:spacing w:line="240" w:lineRule="exact"/>
              <w:jc w:val="right"/>
              <w:rPr>
                <w:rFonts w:ascii="宋体" w:hAnsi="宋体" w:eastAsia="宋体" w:cs="宋体"/>
                <w:sz w:val="18"/>
                <w:szCs w:val="18"/>
              </w:rPr>
            </w:pPr>
          </w:p>
        </w:tc>
      </w:tr>
      <w:tr w14:paraId="2C95819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B7D7451">
            <w:pPr>
              <w:spacing w:before="40" w:after="40" w:line="240" w:lineRule="exact"/>
              <w:rPr>
                <w:rFonts w:ascii="宋体" w:hAnsi="宋体" w:eastAsia="宋体" w:cs="宋体"/>
                <w:sz w:val="18"/>
                <w:szCs w:val="18"/>
              </w:rPr>
            </w:pPr>
            <w:r>
              <w:rPr>
                <w:rFonts w:ascii="宋体" w:hAnsi="宋体" w:eastAsia="宋体" w:cs="宋体"/>
                <w:sz w:val="18"/>
                <w:szCs w:val="18"/>
              </w:rPr>
              <w:t>2．本期使用</w:t>
            </w:r>
          </w:p>
        </w:tc>
        <w:tc>
          <w:tcPr>
            <w:tcW w:w="703" w:type="dxa"/>
            <w:tcBorders>
              <w:top w:val="single" w:color="auto" w:sz="2" w:space="0"/>
              <w:left w:val="single" w:color="auto" w:sz="2" w:space="0"/>
              <w:bottom w:val="single" w:color="auto" w:sz="2" w:space="0"/>
              <w:right w:val="single" w:color="auto" w:sz="2" w:space="0"/>
            </w:tcBorders>
            <w:vAlign w:val="center"/>
          </w:tcPr>
          <w:p w14:paraId="56E41C8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827E78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E9D02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E3452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E0D30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0D19B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A0A80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5BA60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FD5A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7DE3E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9D345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EEC201">
            <w:pPr>
              <w:spacing w:line="240" w:lineRule="exact"/>
              <w:jc w:val="right"/>
              <w:rPr>
                <w:rFonts w:ascii="宋体" w:hAnsi="宋体" w:eastAsia="宋体" w:cs="宋体"/>
                <w:sz w:val="18"/>
                <w:szCs w:val="18"/>
              </w:rPr>
            </w:pPr>
          </w:p>
        </w:tc>
      </w:tr>
      <w:tr w14:paraId="70D3AF22">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E9A81C1">
            <w:pPr>
              <w:spacing w:before="40" w:after="40" w:line="240" w:lineRule="exact"/>
              <w:rPr>
                <w:rFonts w:ascii="宋体" w:hAnsi="宋体" w:eastAsia="宋体" w:cs="宋体"/>
                <w:sz w:val="18"/>
                <w:szCs w:val="18"/>
              </w:rPr>
            </w:pPr>
            <w:r>
              <w:rPr>
                <w:rFonts w:ascii="宋体" w:hAnsi="宋体" w:eastAsia="宋体" w:cs="宋体"/>
                <w:sz w:val="18"/>
                <w:szCs w:val="18"/>
              </w:rPr>
              <w:t>（六）其他</w:t>
            </w:r>
          </w:p>
        </w:tc>
        <w:tc>
          <w:tcPr>
            <w:tcW w:w="703" w:type="dxa"/>
            <w:tcBorders>
              <w:top w:val="single" w:color="auto" w:sz="2" w:space="0"/>
              <w:left w:val="single" w:color="auto" w:sz="2" w:space="0"/>
              <w:bottom w:val="single" w:color="auto" w:sz="2" w:space="0"/>
              <w:right w:val="single" w:color="auto" w:sz="2" w:space="0"/>
            </w:tcBorders>
            <w:vAlign w:val="center"/>
          </w:tcPr>
          <w:p w14:paraId="0870D6E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F042B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3B48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C60270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C6466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88D2B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08678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79B1E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AA429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CA18C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25C71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547330">
            <w:pPr>
              <w:spacing w:line="240" w:lineRule="exact"/>
              <w:jc w:val="right"/>
              <w:rPr>
                <w:rFonts w:ascii="宋体" w:hAnsi="宋体" w:eastAsia="宋体" w:cs="宋体"/>
                <w:sz w:val="18"/>
                <w:szCs w:val="18"/>
              </w:rPr>
            </w:pPr>
          </w:p>
        </w:tc>
      </w:tr>
      <w:tr w14:paraId="42859FE1">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3F29C1F">
            <w:pPr>
              <w:spacing w:before="40" w:after="40" w:line="240" w:lineRule="exact"/>
              <w:rPr>
                <w:rFonts w:ascii="宋体" w:hAnsi="宋体" w:eastAsia="宋体" w:cs="宋体"/>
                <w:sz w:val="18"/>
                <w:szCs w:val="18"/>
              </w:rPr>
            </w:pPr>
            <w:r>
              <w:rPr>
                <w:rFonts w:ascii="宋体" w:hAnsi="宋体" w:eastAsia="宋体" w:cs="宋体"/>
                <w:sz w:val="18"/>
                <w:szCs w:val="18"/>
              </w:rPr>
              <w:t>四、本期期末余额</w:t>
            </w:r>
          </w:p>
        </w:tc>
        <w:tc>
          <w:tcPr>
            <w:tcW w:w="703" w:type="dxa"/>
            <w:tcBorders>
              <w:top w:val="single" w:color="auto" w:sz="2" w:space="0"/>
              <w:left w:val="single" w:color="auto" w:sz="2" w:space="0"/>
              <w:bottom w:val="single" w:color="auto" w:sz="2" w:space="0"/>
              <w:right w:val="single" w:color="auto" w:sz="2" w:space="0"/>
            </w:tcBorders>
            <w:vAlign w:val="center"/>
          </w:tcPr>
          <w:p w14:paraId="0D5C12FA">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703" w:type="dxa"/>
            <w:tcBorders>
              <w:top w:val="single" w:color="auto" w:sz="2" w:space="0"/>
              <w:left w:val="single" w:color="auto" w:sz="2" w:space="0"/>
              <w:bottom w:val="single" w:color="auto" w:sz="2" w:space="0"/>
              <w:right w:val="single" w:color="auto" w:sz="2" w:space="0"/>
            </w:tcBorders>
            <w:vAlign w:val="center"/>
          </w:tcPr>
          <w:p w14:paraId="2050BFC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D9657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1781D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7DC101C">
            <w:pPr>
              <w:spacing w:line="240" w:lineRule="exact"/>
              <w:jc w:val="right"/>
              <w:rPr>
                <w:rFonts w:ascii="宋体" w:hAnsi="宋体" w:eastAsia="宋体" w:cs="宋体"/>
                <w:sz w:val="18"/>
                <w:szCs w:val="18"/>
              </w:rPr>
            </w:pPr>
            <w:r>
              <w:rPr>
                <w:rFonts w:ascii="宋体" w:hAnsi="宋体" w:eastAsia="宋体" w:cs="宋体"/>
                <w:sz w:val="18"/>
                <w:szCs w:val="18"/>
              </w:rPr>
              <w:t>213,593,040.34</w:t>
            </w:r>
          </w:p>
        </w:tc>
        <w:tc>
          <w:tcPr>
            <w:tcW w:w="703" w:type="dxa"/>
            <w:tcBorders>
              <w:top w:val="single" w:color="auto" w:sz="2" w:space="0"/>
              <w:left w:val="single" w:color="auto" w:sz="2" w:space="0"/>
              <w:bottom w:val="single" w:color="auto" w:sz="2" w:space="0"/>
              <w:right w:val="single" w:color="auto" w:sz="2" w:space="0"/>
            </w:tcBorders>
            <w:vAlign w:val="center"/>
          </w:tcPr>
          <w:p w14:paraId="4062CC3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40AC0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153B4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90C4E1">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703" w:type="dxa"/>
            <w:tcBorders>
              <w:top w:val="single" w:color="auto" w:sz="2" w:space="0"/>
              <w:left w:val="single" w:color="auto" w:sz="2" w:space="0"/>
              <w:bottom w:val="single" w:color="auto" w:sz="2" w:space="0"/>
              <w:right w:val="single" w:color="auto" w:sz="2" w:space="0"/>
            </w:tcBorders>
            <w:vAlign w:val="center"/>
          </w:tcPr>
          <w:p w14:paraId="4ADD9F4A">
            <w:pPr>
              <w:spacing w:line="240" w:lineRule="exact"/>
              <w:jc w:val="right"/>
              <w:rPr>
                <w:rFonts w:ascii="宋体" w:hAnsi="宋体" w:eastAsia="宋体" w:cs="宋体"/>
                <w:sz w:val="18"/>
                <w:szCs w:val="18"/>
              </w:rPr>
            </w:pPr>
            <w:r>
              <w:rPr>
                <w:rFonts w:ascii="宋体" w:hAnsi="宋体" w:eastAsia="宋体" w:cs="宋体"/>
                <w:sz w:val="18"/>
                <w:szCs w:val="18"/>
              </w:rPr>
              <w:t>-696,200,155.43</w:t>
            </w:r>
          </w:p>
        </w:tc>
        <w:tc>
          <w:tcPr>
            <w:tcW w:w="703" w:type="dxa"/>
            <w:tcBorders>
              <w:top w:val="single" w:color="auto" w:sz="2" w:space="0"/>
              <w:left w:val="single" w:color="auto" w:sz="2" w:space="0"/>
              <w:bottom w:val="single" w:color="auto" w:sz="2" w:space="0"/>
              <w:right w:val="single" w:color="auto" w:sz="2" w:space="0"/>
            </w:tcBorders>
            <w:vAlign w:val="center"/>
          </w:tcPr>
          <w:p w14:paraId="3334B28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B193F4">
            <w:pPr>
              <w:spacing w:line="240" w:lineRule="exact"/>
              <w:jc w:val="right"/>
              <w:rPr>
                <w:rFonts w:ascii="宋体" w:hAnsi="宋体" w:eastAsia="宋体" w:cs="宋体"/>
                <w:sz w:val="18"/>
                <w:szCs w:val="18"/>
              </w:rPr>
            </w:pPr>
            <w:r>
              <w:rPr>
                <w:rFonts w:ascii="宋体" w:hAnsi="宋体" w:eastAsia="宋体" w:cs="宋体"/>
                <w:sz w:val="18"/>
                <w:szCs w:val="18"/>
              </w:rPr>
              <w:t>-149,623,537.82</w:t>
            </w:r>
          </w:p>
        </w:tc>
      </w:tr>
    </w:tbl>
    <w:p w14:paraId="1B5342F9">
      <w:pPr>
        <w:spacing w:before="100" w:after="100" w:line="240" w:lineRule="exact"/>
        <w:rPr>
          <w:rFonts w:ascii="宋体" w:hAnsi="宋体" w:eastAsia="宋体" w:cs="宋体"/>
          <w:sz w:val="18"/>
          <w:szCs w:val="18"/>
        </w:rPr>
      </w:pPr>
      <w:r>
        <w:rPr>
          <w:rFonts w:ascii="宋体" w:hAnsi="宋体" w:eastAsia="宋体" w:cs="宋体"/>
          <w:sz w:val="18"/>
          <w:szCs w:val="18"/>
        </w:rPr>
        <w:t>上年金额</w:t>
      </w:r>
    </w:p>
    <w:p w14:paraId="643D01D4">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0"/>
        <w:gridCol w:w="703"/>
        <w:gridCol w:w="703"/>
        <w:gridCol w:w="703"/>
        <w:gridCol w:w="704"/>
        <w:gridCol w:w="703"/>
        <w:gridCol w:w="703"/>
        <w:gridCol w:w="703"/>
        <w:gridCol w:w="703"/>
        <w:gridCol w:w="703"/>
        <w:gridCol w:w="703"/>
        <w:gridCol w:w="703"/>
        <w:gridCol w:w="705"/>
      </w:tblGrid>
      <w:tr w14:paraId="1D3E33D0">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7C04C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439"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17CFE2D8">
            <w:pPr>
              <w:spacing w:before="40" w:after="40" w:line="240" w:lineRule="exact"/>
              <w:jc w:val="center"/>
              <w:rPr>
                <w:rFonts w:ascii="宋体" w:hAnsi="宋体" w:eastAsia="宋体" w:cs="宋体"/>
                <w:sz w:val="18"/>
                <w:szCs w:val="18"/>
              </w:rPr>
            </w:pPr>
            <w:r>
              <w:rPr>
                <w:rFonts w:ascii="宋体" w:hAnsi="宋体" w:eastAsia="宋体" w:cs="宋体"/>
                <w:sz w:val="18"/>
                <w:szCs w:val="18"/>
              </w:rPr>
              <w:t>2023年半年度</w:t>
            </w:r>
          </w:p>
        </w:tc>
      </w:tr>
      <w:tr w14:paraId="3FB37FD0">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568701"/>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862666">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21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57C0CC4">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02A2D4">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2D80DE">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B5CD65">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4956234">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E51571">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C7484DC">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D19F305">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78CCD7A">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0CFB8913">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43B14C5"/>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98AAF9"/>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00E3F165">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43B0687D">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61A5511C">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259257"/>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6BCE0D"/>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CC9647"/>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6FADD531"/>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AD8A9DD"/>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4F9873B"/>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53C5DDB1"/>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8D6A16C"/>
        </w:tc>
      </w:tr>
      <w:tr w14:paraId="49EAC37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8C65367">
            <w:pPr>
              <w:spacing w:before="40" w:after="40" w:line="240" w:lineRule="exact"/>
              <w:rPr>
                <w:rFonts w:ascii="宋体" w:hAnsi="宋体" w:eastAsia="宋体" w:cs="宋体"/>
                <w:sz w:val="18"/>
                <w:szCs w:val="18"/>
              </w:rPr>
            </w:pPr>
            <w:r>
              <w:rPr>
                <w:rFonts w:ascii="宋体" w:hAnsi="宋体" w:eastAsia="宋体" w:cs="宋体"/>
                <w:sz w:val="18"/>
                <w:szCs w:val="18"/>
              </w:rPr>
              <w:t>一、上年期末余额</w:t>
            </w:r>
          </w:p>
        </w:tc>
        <w:tc>
          <w:tcPr>
            <w:tcW w:w="703" w:type="dxa"/>
            <w:tcBorders>
              <w:top w:val="single" w:color="auto" w:sz="2" w:space="0"/>
              <w:left w:val="single" w:color="auto" w:sz="2" w:space="0"/>
              <w:bottom w:val="single" w:color="auto" w:sz="2" w:space="0"/>
              <w:right w:val="single" w:color="auto" w:sz="2" w:space="0"/>
            </w:tcBorders>
            <w:vAlign w:val="center"/>
          </w:tcPr>
          <w:p w14:paraId="5B7A646B">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703" w:type="dxa"/>
            <w:tcBorders>
              <w:top w:val="single" w:color="auto" w:sz="2" w:space="0"/>
              <w:left w:val="single" w:color="auto" w:sz="2" w:space="0"/>
              <w:bottom w:val="single" w:color="auto" w:sz="2" w:space="0"/>
              <w:right w:val="single" w:color="auto" w:sz="2" w:space="0"/>
            </w:tcBorders>
            <w:vAlign w:val="center"/>
          </w:tcPr>
          <w:p w14:paraId="016B3A1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A00FF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917CD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6FA1C8">
            <w:pPr>
              <w:spacing w:line="240" w:lineRule="exact"/>
              <w:jc w:val="right"/>
              <w:rPr>
                <w:rFonts w:ascii="宋体" w:hAnsi="宋体" w:eastAsia="宋体" w:cs="宋体"/>
                <w:sz w:val="18"/>
                <w:szCs w:val="18"/>
              </w:rPr>
            </w:pPr>
            <w:r>
              <w:rPr>
                <w:rFonts w:ascii="宋体" w:hAnsi="宋体" w:eastAsia="宋体" w:cs="宋体"/>
                <w:sz w:val="18"/>
                <w:szCs w:val="18"/>
              </w:rPr>
              <w:t>24,059,607.52</w:t>
            </w:r>
          </w:p>
        </w:tc>
        <w:tc>
          <w:tcPr>
            <w:tcW w:w="703" w:type="dxa"/>
            <w:tcBorders>
              <w:top w:val="single" w:color="auto" w:sz="2" w:space="0"/>
              <w:left w:val="single" w:color="auto" w:sz="2" w:space="0"/>
              <w:bottom w:val="single" w:color="auto" w:sz="2" w:space="0"/>
              <w:right w:val="single" w:color="auto" w:sz="2" w:space="0"/>
            </w:tcBorders>
            <w:vAlign w:val="center"/>
          </w:tcPr>
          <w:p w14:paraId="599E4B1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B2F47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58530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76851D">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703" w:type="dxa"/>
            <w:tcBorders>
              <w:top w:val="single" w:color="auto" w:sz="2" w:space="0"/>
              <w:left w:val="single" w:color="auto" w:sz="2" w:space="0"/>
              <w:bottom w:val="single" w:color="auto" w:sz="2" w:space="0"/>
              <w:right w:val="single" w:color="auto" w:sz="2" w:space="0"/>
            </w:tcBorders>
            <w:vAlign w:val="center"/>
          </w:tcPr>
          <w:p w14:paraId="0CDDABB0">
            <w:pPr>
              <w:spacing w:line="240" w:lineRule="exact"/>
              <w:jc w:val="right"/>
              <w:rPr>
                <w:rFonts w:ascii="宋体" w:hAnsi="宋体" w:eastAsia="宋体" w:cs="宋体"/>
                <w:sz w:val="18"/>
                <w:szCs w:val="18"/>
              </w:rPr>
            </w:pPr>
            <w:r>
              <w:rPr>
                <w:rFonts w:ascii="宋体" w:hAnsi="宋体" w:eastAsia="宋体" w:cs="宋体"/>
                <w:sz w:val="18"/>
                <w:szCs w:val="18"/>
              </w:rPr>
              <w:t>-608,229,790.07</w:t>
            </w:r>
          </w:p>
        </w:tc>
        <w:tc>
          <w:tcPr>
            <w:tcW w:w="703" w:type="dxa"/>
            <w:tcBorders>
              <w:top w:val="single" w:color="auto" w:sz="2" w:space="0"/>
              <w:left w:val="single" w:color="auto" w:sz="2" w:space="0"/>
              <w:bottom w:val="single" w:color="auto" w:sz="2" w:space="0"/>
              <w:right w:val="single" w:color="auto" w:sz="2" w:space="0"/>
            </w:tcBorders>
            <w:vAlign w:val="center"/>
          </w:tcPr>
          <w:p w14:paraId="2F10460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5BFC4C">
            <w:pPr>
              <w:spacing w:line="240" w:lineRule="exact"/>
              <w:jc w:val="right"/>
              <w:rPr>
                <w:rFonts w:ascii="宋体" w:hAnsi="宋体" w:eastAsia="宋体" w:cs="宋体"/>
                <w:sz w:val="18"/>
                <w:szCs w:val="18"/>
              </w:rPr>
            </w:pPr>
            <w:r>
              <w:rPr>
                <w:rFonts w:ascii="宋体" w:hAnsi="宋体" w:eastAsia="宋体" w:cs="宋体"/>
                <w:sz w:val="18"/>
                <w:szCs w:val="18"/>
              </w:rPr>
              <w:t>-251,186,605.28</w:t>
            </w:r>
          </w:p>
        </w:tc>
      </w:tr>
      <w:tr w14:paraId="760E7E12">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E591CCB">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加：会计政策变更</w:t>
            </w:r>
          </w:p>
        </w:tc>
        <w:tc>
          <w:tcPr>
            <w:tcW w:w="703" w:type="dxa"/>
            <w:tcBorders>
              <w:top w:val="single" w:color="auto" w:sz="2" w:space="0"/>
              <w:left w:val="single" w:color="auto" w:sz="2" w:space="0"/>
              <w:bottom w:val="single" w:color="auto" w:sz="2" w:space="0"/>
              <w:right w:val="single" w:color="auto" w:sz="2" w:space="0"/>
            </w:tcBorders>
            <w:vAlign w:val="center"/>
          </w:tcPr>
          <w:p w14:paraId="4BB287E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B14F2A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ACBD1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DDFFF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B118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F726F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D9FADE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E013C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64438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7EE09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7ADF3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D12893">
            <w:pPr>
              <w:spacing w:line="240" w:lineRule="exact"/>
              <w:jc w:val="right"/>
              <w:rPr>
                <w:rFonts w:ascii="宋体" w:hAnsi="宋体" w:eastAsia="宋体" w:cs="宋体"/>
                <w:sz w:val="18"/>
                <w:szCs w:val="18"/>
              </w:rPr>
            </w:pPr>
          </w:p>
        </w:tc>
      </w:tr>
      <w:tr w14:paraId="5B8BADF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5075D3F">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前期差错更正</w:t>
            </w:r>
          </w:p>
        </w:tc>
        <w:tc>
          <w:tcPr>
            <w:tcW w:w="703" w:type="dxa"/>
            <w:tcBorders>
              <w:top w:val="single" w:color="auto" w:sz="2" w:space="0"/>
              <w:left w:val="single" w:color="auto" w:sz="2" w:space="0"/>
              <w:bottom w:val="single" w:color="auto" w:sz="2" w:space="0"/>
              <w:right w:val="single" w:color="auto" w:sz="2" w:space="0"/>
            </w:tcBorders>
            <w:vAlign w:val="center"/>
          </w:tcPr>
          <w:p w14:paraId="2690F22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A6D22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DA0CE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2D936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7C5A3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9EBA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56D03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7E94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04F6F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83918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722D5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438D2D">
            <w:pPr>
              <w:spacing w:line="240" w:lineRule="exact"/>
              <w:jc w:val="right"/>
              <w:rPr>
                <w:rFonts w:ascii="宋体" w:hAnsi="宋体" w:eastAsia="宋体" w:cs="宋体"/>
                <w:sz w:val="18"/>
                <w:szCs w:val="18"/>
              </w:rPr>
            </w:pPr>
          </w:p>
        </w:tc>
      </w:tr>
      <w:tr w14:paraId="486AD88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89DECE5">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其他</w:t>
            </w:r>
          </w:p>
        </w:tc>
        <w:tc>
          <w:tcPr>
            <w:tcW w:w="703" w:type="dxa"/>
            <w:tcBorders>
              <w:top w:val="single" w:color="auto" w:sz="2" w:space="0"/>
              <w:left w:val="single" w:color="auto" w:sz="2" w:space="0"/>
              <w:bottom w:val="single" w:color="auto" w:sz="2" w:space="0"/>
              <w:right w:val="single" w:color="auto" w:sz="2" w:space="0"/>
            </w:tcBorders>
            <w:vAlign w:val="center"/>
          </w:tcPr>
          <w:p w14:paraId="7D95D2F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CA923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58FF9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52C83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8D860F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0DB6C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29ED9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8BEED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5701D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EEEE2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33F01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8D8D19">
            <w:pPr>
              <w:spacing w:line="240" w:lineRule="exact"/>
              <w:jc w:val="right"/>
              <w:rPr>
                <w:rFonts w:ascii="宋体" w:hAnsi="宋体" w:eastAsia="宋体" w:cs="宋体"/>
                <w:sz w:val="18"/>
                <w:szCs w:val="18"/>
              </w:rPr>
            </w:pPr>
          </w:p>
        </w:tc>
      </w:tr>
      <w:tr w14:paraId="5F701F8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6011F69">
            <w:pPr>
              <w:spacing w:before="40" w:after="40" w:line="240" w:lineRule="exact"/>
              <w:rPr>
                <w:rFonts w:ascii="宋体" w:hAnsi="宋体" w:eastAsia="宋体" w:cs="宋体"/>
                <w:sz w:val="18"/>
                <w:szCs w:val="18"/>
              </w:rPr>
            </w:pPr>
            <w:r>
              <w:rPr>
                <w:rFonts w:ascii="宋体" w:hAnsi="宋体" w:eastAsia="宋体" w:cs="宋体"/>
                <w:sz w:val="18"/>
                <w:szCs w:val="18"/>
              </w:rPr>
              <w:t>二、本年期初余额</w:t>
            </w:r>
          </w:p>
        </w:tc>
        <w:tc>
          <w:tcPr>
            <w:tcW w:w="703" w:type="dxa"/>
            <w:tcBorders>
              <w:top w:val="single" w:color="auto" w:sz="2" w:space="0"/>
              <w:left w:val="single" w:color="auto" w:sz="2" w:space="0"/>
              <w:bottom w:val="single" w:color="auto" w:sz="2" w:space="0"/>
              <w:right w:val="single" w:color="auto" w:sz="2" w:space="0"/>
            </w:tcBorders>
            <w:vAlign w:val="center"/>
          </w:tcPr>
          <w:p w14:paraId="341EE8B8">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703" w:type="dxa"/>
            <w:tcBorders>
              <w:top w:val="single" w:color="auto" w:sz="2" w:space="0"/>
              <w:left w:val="single" w:color="auto" w:sz="2" w:space="0"/>
              <w:bottom w:val="single" w:color="auto" w:sz="2" w:space="0"/>
              <w:right w:val="single" w:color="auto" w:sz="2" w:space="0"/>
            </w:tcBorders>
            <w:vAlign w:val="center"/>
          </w:tcPr>
          <w:p w14:paraId="20D2B21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05D3C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9A231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4183EC">
            <w:pPr>
              <w:spacing w:line="240" w:lineRule="exact"/>
              <w:jc w:val="right"/>
              <w:rPr>
                <w:rFonts w:ascii="宋体" w:hAnsi="宋体" w:eastAsia="宋体" w:cs="宋体"/>
                <w:sz w:val="18"/>
                <w:szCs w:val="18"/>
              </w:rPr>
            </w:pPr>
            <w:r>
              <w:rPr>
                <w:rFonts w:ascii="宋体" w:hAnsi="宋体" w:eastAsia="宋体" w:cs="宋体"/>
                <w:sz w:val="18"/>
                <w:szCs w:val="18"/>
              </w:rPr>
              <w:t>24,059,607.52</w:t>
            </w:r>
          </w:p>
        </w:tc>
        <w:tc>
          <w:tcPr>
            <w:tcW w:w="703" w:type="dxa"/>
            <w:tcBorders>
              <w:top w:val="single" w:color="auto" w:sz="2" w:space="0"/>
              <w:left w:val="single" w:color="auto" w:sz="2" w:space="0"/>
              <w:bottom w:val="single" w:color="auto" w:sz="2" w:space="0"/>
              <w:right w:val="single" w:color="auto" w:sz="2" w:space="0"/>
            </w:tcBorders>
            <w:vAlign w:val="center"/>
          </w:tcPr>
          <w:p w14:paraId="206EC8A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14994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4997E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C565C74">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703" w:type="dxa"/>
            <w:tcBorders>
              <w:top w:val="single" w:color="auto" w:sz="2" w:space="0"/>
              <w:left w:val="single" w:color="auto" w:sz="2" w:space="0"/>
              <w:bottom w:val="single" w:color="auto" w:sz="2" w:space="0"/>
              <w:right w:val="single" w:color="auto" w:sz="2" w:space="0"/>
            </w:tcBorders>
            <w:vAlign w:val="center"/>
          </w:tcPr>
          <w:p w14:paraId="0825A390">
            <w:pPr>
              <w:spacing w:line="240" w:lineRule="exact"/>
              <w:jc w:val="right"/>
              <w:rPr>
                <w:rFonts w:ascii="宋体" w:hAnsi="宋体" w:eastAsia="宋体" w:cs="宋体"/>
                <w:sz w:val="18"/>
                <w:szCs w:val="18"/>
              </w:rPr>
            </w:pPr>
            <w:r>
              <w:rPr>
                <w:rFonts w:ascii="宋体" w:hAnsi="宋体" w:eastAsia="宋体" w:cs="宋体"/>
                <w:sz w:val="18"/>
                <w:szCs w:val="18"/>
              </w:rPr>
              <w:t>-608,229,790.07</w:t>
            </w:r>
          </w:p>
        </w:tc>
        <w:tc>
          <w:tcPr>
            <w:tcW w:w="703" w:type="dxa"/>
            <w:tcBorders>
              <w:top w:val="single" w:color="auto" w:sz="2" w:space="0"/>
              <w:left w:val="single" w:color="auto" w:sz="2" w:space="0"/>
              <w:bottom w:val="single" w:color="auto" w:sz="2" w:space="0"/>
              <w:right w:val="single" w:color="auto" w:sz="2" w:space="0"/>
            </w:tcBorders>
            <w:vAlign w:val="center"/>
          </w:tcPr>
          <w:p w14:paraId="2700817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745866">
            <w:pPr>
              <w:spacing w:line="240" w:lineRule="exact"/>
              <w:jc w:val="right"/>
              <w:rPr>
                <w:rFonts w:ascii="宋体" w:hAnsi="宋体" w:eastAsia="宋体" w:cs="宋体"/>
                <w:sz w:val="18"/>
                <w:szCs w:val="18"/>
              </w:rPr>
            </w:pPr>
            <w:r>
              <w:rPr>
                <w:rFonts w:ascii="宋体" w:hAnsi="宋体" w:eastAsia="宋体" w:cs="宋体"/>
                <w:sz w:val="18"/>
                <w:szCs w:val="18"/>
              </w:rPr>
              <w:t>-251,186,605.28</w:t>
            </w:r>
          </w:p>
        </w:tc>
      </w:tr>
      <w:tr w14:paraId="7D830A8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B76CCD8">
            <w:pPr>
              <w:spacing w:before="40" w:after="40" w:line="240" w:lineRule="exact"/>
              <w:rPr>
                <w:rFonts w:ascii="宋体" w:hAnsi="宋体" w:eastAsia="宋体" w:cs="宋体"/>
                <w:sz w:val="18"/>
                <w:szCs w:val="18"/>
              </w:rPr>
            </w:pPr>
            <w:r>
              <w:rPr>
                <w:rFonts w:ascii="宋体" w:hAnsi="宋体" w:eastAsia="宋体" w:cs="宋体"/>
                <w:sz w:val="18"/>
                <w:szCs w:val="18"/>
              </w:rPr>
              <w:t>三、本期增减变动金额（减少以“—”号填列）</w:t>
            </w:r>
          </w:p>
        </w:tc>
        <w:tc>
          <w:tcPr>
            <w:tcW w:w="703" w:type="dxa"/>
            <w:tcBorders>
              <w:top w:val="single" w:color="auto" w:sz="2" w:space="0"/>
              <w:left w:val="single" w:color="auto" w:sz="2" w:space="0"/>
              <w:bottom w:val="single" w:color="auto" w:sz="2" w:space="0"/>
              <w:right w:val="single" w:color="auto" w:sz="2" w:space="0"/>
            </w:tcBorders>
            <w:vAlign w:val="center"/>
          </w:tcPr>
          <w:p w14:paraId="479D60E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9B16B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C36F6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95A53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F1522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E899B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5E30F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8936C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07D30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377FC0">
            <w:pPr>
              <w:spacing w:line="240" w:lineRule="exact"/>
              <w:jc w:val="right"/>
              <w:rPr>
                <w:rFonts w:ascii="宋体" w:hAnsi="宋体" w:eastAsia="宋体" w:cs="宋体"/>
                <w:sz w:val="18"/>
                <w:szCs w:val="18"/>
              </w:rPr>
            </w:pPr>
            <w:r>
              <w:rPr>
                <w:rFonts w:ascii="宋体" w:hAnsi="宋体" w:eastAsia="宋体" w:cs="宋体"/>
                <w:sz w:val="18"/>
                <w:szCs w:val="18"/>
              </w:rPr>
              <w:t>-30,723,686.15</w:t>
            </w:r>
          </w:p>
        </w:tc>
        <w:tc>
          <w:tcPr>
            <w:tcW w:w="703" w:type="dxa"/>
            <w:tcBorders>
              <w:top w:val="single" w:color="auto" w:sz="2" w:space="0"/>
              <w:left w:val="single" w:color="auto" w:sz="2" w:space="0"/>
              <w:bottom w:val="single" w:color="auto" w:sz="2" w:space="0"/>
              <w:right w:val="single" w:color="auto" w:sz="2" w:space="0"/>
            </w:tcBorders>
            <w:vAlign w:val="center"/>
          </w:tcPr>
          <w:p w14:paraId="262C91E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E58098">
            <w:pPr>
              <w:spacing w:line="240" w:lineRule="exact"/>
              <w:jc w:val="right"/>
              <w:rPr>
                <w:rFonts w:ascii="宋体" w:hAnsi="宋体" w:eastAsia="宋体" w:cs="宋体"/>
                <w:sz w:val="18"/>
                <w:szCs w:val="18"/>
              </w:rPr>
            </w:pPr>
            <w:r>
              <w:rPr>
                <w:rFonts w:ascii="宋体" w:hAnsi="宋体" w:eastAsia="宋体" w:cs="宋体"/>
                <w:sz w:val="18"/>
                <w:szCs w:val="18"/>
              </w:rPr>
              <w:t>-30,723,686.15</w:t>
            </w:r>
          </w:p>
        </w:tc>
      </w:tr>
      <w:tr w14:paraId="093208F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736D50D">
            <w:pPr>
              <w:spacing w:before="40" w:after="40" w:line="240" w:lineRule="exact"/>
              <w:rPr>
                <w:rFonts w:ascii="宋体" w:hAnsi="宋体" w:eastAsia="宋体" w:cs="宋体"/>
                <w:sz w:val="18"/>
                <w:szCs w:val="18"/>
              </w:rPr>
            </w:pPr>
            <w:r>
              <w:rPr>
                <w:rFonts w:ascii="宋体" w:hAnsi="宋体" w:eastAsia="宋体" w:cs="宋体"/>
                <w:sz w:val="18"/>
                <w:szCs w:val="18"/>
              </w:rPr>
              <w:t>（一）综合收益总额</w:t>
            </w:r>
          </w:p>
        </w:tc>
        <w:tc>
          <w:tcPr>
            <w:tcW w:w="703" w:type="dxa"/>
            <w:tcBorders>
              <w:top w:val="single" w:color="auto" w:sz="2" w:space="0"/>
              <w:left w:val="single" w:color="auto" w:sz="2" w:space="0"/>
              <w:bottom w:val="single" w:color="auto" w:sz="2" w:space="0"/>
              <w:right w:val="single" w:color="auto" w:sz="2" w:space="0"/>
            </w:tcBorders>
            <w:vAlign w:val="center"/>
          </w:tcPr>
          <w:p w14:paraId="7D9813A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362BB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3884C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4A394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835B9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5D75B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78C5D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4BA2D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B255F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97B780">
            <w:pPr>
              <w:spacing w:line="240" w:lineRule="exact"/>
              <w:jc w:val="right"/>
              <w:rPr>
                <w:rFonts w:ascii="宋体" w:hAnsi="宋体" w:eastAsia="宋体" w:cs="宋体"/>
                <w:sz w:val="18"/>
                <w:szCs w:val="18"/>
              </w:rPr>
            </w:pPr>
            <w:r>
              <w:rPr>
                <w:rFonts w:ascii="宋体" w:hAnsi="宋体" w:eastAsia="宋体" w:cs="宋体"/>
                <w:sz w:val="18"/>
                <w:szCs w:val="18"/>
              </w:rPr>
              <w:t>-30,723,686.15</w:t>
            </w:r>
          </w:p>
        </w:tc>
        <w:tc>
          <w:tcPr>
            <w:tcW w:w="703" w:type="dxa"/>
            <w:tcBorders>
              <w:top w:val="single" w:color="auto" w:sz="2" w:space="0"/>
              <w:left w:val="single" w:color="auto" w:sz="2" w:space="0"/>
              <w:bottom w:val="single" w:color="auto" w:sz="2" w:space="0"/>
              <w:right w:val="single" w:color="auto" w:sz="2" w:space="0"/>
            </w:tcBorders>
            <w:vAlign w:val="center"/>
          </w:tcPr>
          <w:p w14:paraId="556775C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1E29AF">
            <w:pPr>
              <w:spacing w:line="240" w:lineRule="exact"/>
              <w:jc w:val="right"/>
              <w:rPr>
                <w:rFonts w:ascii="宋体" w:hAnsi="宋体" w:eastAsia="宋体" w:cs="宋体"/>
                <w:sz w:val="18"/>
                <w:szCs w:val="18"/>
              </w:rPr>
            </w:pPr>
            <w:r>
              <w:rPr>
                <w:rFonts w:ascii="宋体" w:hAnsi="宋体" w:eastAsia="宋体" w:cs="宋体"/>
                <w:sz w:val="18"/>
                <w:szCs w:val="18"/>
              </w:rPr>
              <w:t>-30,723,686.15</w:t>
            </w:r>
          </w:p>
        </w:tc>
      </w:tr>
      <w:tr w14:paraId="073EB65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F8F0F99">
            <w:pPr>
              <w:spacing w:before="40" w:after="40" w:line="240" w:lineRule="exact"/>
              <w:rPr>
                <w:rFonts w:ascii="宋体" w:hAnsi="宋体" w:eastAsia="宋体" w:cs="宋体"/>
                <w:sz w:val="18"/>
                <w:szCs w:val="18"/>
              </w:rPr>
            </w:pPr>
            <w:r>
              <w:rPr>
                <w:rFonts w:ascii="宋体" w:hAnsi="宋体" w:eastAsia="宋体" w:cs="宋体"/>
                <w:sz w:val="18"/>
                <w:szCs w:val="18"/>
              </w:rPr>
              <w:t>（二）所有者投入和减少资本</w:t>
            </w:r>
          </w:p>
        </w:tc>
        <w:tc>
          <w:tcPr>
            <w:tcW w:w="703" w:type="dxa"/>
            <w:tcBorders>
              <w:top w:val="single" w:color="auto" w:sz="2" w:space="0"/>
              <w:left w:val="single" w:color="auto" w:sz="2" w:space="0"/>
              <w:bottom w:val="single" w:color="auto" w:sz="2" w:space="0"/>
              <w:right w:val="single" w:color="auto" w:sz="2" w:space="0"/>
            </w:tcBorders>
            <w:vAlign w:val="center"/>
          </w:tcPr>
          <w:p w14:paraId="0E5643F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79227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2CAFC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60897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864CB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3A8C1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B1DD07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D3F55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B79239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156344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20C0B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8E116A">
            <w:pPr>
              <w:spacing w:line="240" w:lineRule="exact"/>
              <w:jc w:val="right"/>
              <w:rPr>
                <w:rFonts w:ascii="宋体" w:hAnsi="宋体" w:eastAsia="宋体" w:cs="宋体"/>
                <w:sz w:val="18"/>
                <w:szCs w:val="18"/>
              </w:rPr>
            </w:pPr>
          </w:p>
        </w:tc>
      </w:tr>
      <w:tr w14:paraId="2CDACA0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BE54514">
            <w:pPr>
              <w:spacing w:before="40" w:after="40" w:line="240" w:lineRule="exact"/>
              <w:rPr>
                <w:rFonts w:ascii="宋体" w:hAnsi="宋体" w:eastAsia="宋体" w:cs="宋体"/>
                <w:sz w:val="18"/>
                <w:szCs w:val="18"/>
              </w:rPr>
            </w:pPr>
            <w:r>
              <w:rPr>
                <w:rFonts w:ascii="宋体" w:hAnsi="宋体" w:eastAsia="宋体" w:cs="宋体"/>
                <w:sz w:val="18"/>
                <w:szCs w:val="18"/>
              </w:rPr>
              <w:t>1．所有者投入的普通股</w:t>
            </w:r>
          </w:p>
        </w:tc>
        <w:tc>
          <w:tcPr>
            <w:tcW w:w="703" w:type="dxa"/>
            <w:tcBorders>
              <w:top w:val="single" w:color="auto" w:sz="2" w:space="0"/>
              <w:left w:val="single" w:color="auto" w:sz="2" w:space="0"/>
              <w:bottom w:val="single" w:color="auto" w:sz="2" w:space="0"/>
              <w:right w:val="single" w:color="auto" w:sz="2" w:space="0"/>
            </w:tcBorders>
            <w:vAlign w:val="center"/>
          </w:tcPr>
          <w:p w14:paraId="7597C93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0EF84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56B52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703CF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E062A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035184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F1287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A9704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45764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D8B41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81350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2DB9473">
            <w:pPr>
              <w:spacing w:line="240" w:lineRule="exact"/>
              <w:jc w:val="right"/>
              <w:rPr>
                <w:rFonts w:ascii="宋体" w:hAnsi="宋体" w:eastAsia="宋体" w:cs="宋体"/>
                <w:sz w:val="18"/>
                <w:szCs w:val="18"/>
              </w:rPr>
            </w:pPr>
          </w:p>
        </w:tc>
      </w:tr>
      <w:tr w14:paraId="6B048D17">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0856EF8">
            <w:pPr>
              <w:spacing w:before="40" w:after="40" w:line="240" w:lineRule="exact"/>
              <w:rPr>
                <w:rFonts w:ascii="宋体" w:hAnsi="宋体" w:eastAsia="宋体" w:cs="宋体"/>
                <w:sz w:val="18"/>
                <w:szCs w:val="18"/>
              </w:rPr>
            </w:pPr>
            <w:r>
              <w:rPr>
                <w:rFonts w:ascii="宋体" w:hAnsi="宋体" w:eastAsia="宋体" w:cs="宋体"/>
                <w:sz w:val="18"/>
                <w:szCs w:val="18"/>
              </w:rPr>
              <w:t>2．其他权益工具持有者投入资本</w:t>
            </w:r>
          </w:p>
        </w:tc>
        <w:tc>
          <w:tcPr>
            <w:tcW w:w="703" w:type="dxa"/>
            <w:tcBorders>
              <w:top w:val="single" w:color="auto" w:sz="2" w:space="0"/>
              <w:left w:val="single" w:color="auto" w:sz="2" w:space="0"/>
              <w:bottom w:val="single" w:color="auto" w:sz="2" w:space="0"/>
              <w:right w:val="single" w:color="auto" w:sz="2" w:space="0"/>
            </w:tcBorders>
            <w:vAlign w:val="center"/>
          </w:tcPr>
          <w:p w14:paraId="79FF06A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AFC18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9F8DF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1517B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3C888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4F495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BE3AD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E443F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0F355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7F0F3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76C5E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933FD4">
            <w:pPr>
              <w:spacing w:line="240" w:lineRule="exact"/>
              <w:jc w:val="right"/>
              <w:rPr>
                <w:rFonts w:ascii="宋体" w:hAnsi="宋体" w:eastAsia="宋体" w:cs="宋体"/>
                <w:sz w:val="18"/>
                <w:szCs w:val="18"/>
              </w:rPr>
            </w:pPr>
          </w:p>
        </w:tc>
      </w:tr>
      <w:tr w14:paraId="713DF7B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8A5ACD5">
            <w:pPr>
              <w:spacing w:before="40" w:after="40" w:line="240" w:lineRule="exact"/>
              <w:rPr>
                <w:rFonts w:ascii="宋体" w:hAnsi="宋体" w:eastAsia="宋体" w:cs="宋体"/>
                <w:sz w:val="18"/>
                <w:szCs w:val="18"/>
              </w:rPr>
            </w:pPr>
            <w:r>
              <w:rPr>
                <w:rFonts w:ascii="宋体" w:hAnsi="宋体" w:eastAsia="宋体" w:cs="宋体"/>
                <w:sz w:val="18"/>
                <w:szCs w:val="18"/>
              </w:rPr>
              <w:t>3．股份支付计入所有者权益的金额</w:t>
            </w:r>
          </w:p>
        </w:tc>
        <w:tc>
          <w:tcPr>
            <w:tcW w:w="703" w:type="dxa"/>
            <w:tcBorders>
              <w:top w:val="single" w:color="auto" w:sz="2" w:space="0"/>
              <w:left w:val="single" w:color="auto" w:sz="2" w:space="0"/>
              <w:bottom w:val="single" w:color="auto" w:sz="2" w:space="0"/>
              <w:right w:val="single" w:color="auto" w:sz="2" w:space="0"/>
            </w:tcBorders>
            <w:vAlign w:val="center"/>
          </w:tcPr>
          <w:p w14:paraId="76E43C6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CEEDB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5FA0F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AFF47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42119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A95C3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448B9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AB19B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0715E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0DFA88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509DE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C596FC">
            <w:pPr>
              <w:spacing w:line="240" w:lineRule="exact"/>
              <w:jc w:val="right"/>
              <w:rPr>
                <w:rFonts w:ascii="宋体" w:hAnsi="宋体" w:eastAsia="宋体" w:cs="宋体"/>
                <w:sz w:val="18"/>
                <w:szCs w:val="18"/>
              </w:rPr>
            </w:pPr>
          </w:p>
        </w:tc>
      </w:tr>
      <w:tr w14:paraId="61CFB73D">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1553432">
            <w:pPr>
              <w:spacing w:before="40" w:after="40" w:line="240" w:lineRule="exact"/>
              <w:rPr>
                <w:rFonts w:ascii="宋体" w:hAnsi="宋体" w:eastAsia="宋体" w:cs="宋体"/>
                <w:sz w:val="18"/>
                <w:szCs w:val="18"/>
              </w:rPr>
            </w:pPr>
            <w:r>
              <w:rPr>
                <w:rFonts w:ascii="宋体" w:hAnsi="宋体" w:eastAsia="宋体" w:cs="宋体"/>
                <w:sz w:val="18"/>
                <w:szCs w:val="18"/>
              </w:rPr>
              <w:t>4．其他</w:t>
            </w:r>
          </w:p>
        </w:tc>
        <w:tc>
          <w:tcPr>
            <w:tcW w:w="703" w:type="dxa"/>
            <w:tcBorders>
              <w:top w:val="single" w:color="auto" w:sz="2" w:space="0"/>
              <w:left w:val="single" w:color="auto" w:sz="2" w:space="0"/>
              <w:bottom w:val="single" w:color="auto" w:sz="2" w:space="0"/>
              <w:right w:val="single" w:color="auto" w:sz="2" w:space="0"/>
            </w:tcBorders>
            <w:vAlign w:val="center"/>
          </w:tcPr>
          <w:p w14:paraId="6CC057B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F2544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97522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37646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13B32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CC18E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E387C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DC592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55C73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C7BD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C4980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07FF09">
            <w:pPr>
              <w:spacing w:line="240" w:lineRule="exact"/>
              <w:jc w:val="right"/>
              <w:rPr>
                <w:rFonts w:ascii="宋体" w:hAnsi="宋体" w:eastAsia="宋体" w:cs="宋体"/>
                <w:sz w:val="18"/>
                <w:szCs w:val="18"/>
              </w:rPr>
            </w:pPr>
          </w:p>
        </w:tc>
      </w:tr>
      <w:tr w14:paraId="31A8A92A">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8B5771F">
            <w:pPr>
              <w:spacing w:before="40" w:after="40" w:line="240" w:lineRule="exact"/>
              <w:rPr>
                <w:rFonts w:ascii="宋体" w:hAnsi="宋体" w:eastAsia="宋体" w:cs="宋体"/>
                <w:sz w:val="18"/>
                <w:szCs w:val="18"/>
              </w:rPr>
            </w:pPr>
            <w:r>
              <w:rPr>
                <w:rFonts w:ascii="宋体" w:hAnsi="宋体" w:eastAsia="宋体" w:cs="宋体"/>
                <w:sz w:val="18"/>
                <w:szCs w:val="18"/>
              </w:rPr>
              <w:t>（三）利润分配</w:t>
            </w:r>
          </w:p>
        </w:tc>
        <w:tc>
          <w:tcPr>
            <w:tcW w:w="703" w:type="dxa"/>
            <w:tcBorders>
              <w:top w:val="single" w:color="auto" w:sz="2" w:space="0"/>
              <w:left w:val="single" w:color="auto" w:sz="2" w:space="0"/>
              <w:bottom w:val="single" w:color="auto" w:sz="2" w:space="0"/>
              <w:right w:val="single" w:color="auto" w:sz="2" w:space="0"/>
            </w:tcBorders>
            <w:vAlign w:val="center"/>
          </w:tcPr>
          <w:p w14:paraId="64A7E9E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C536A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CFA36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BC795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188C18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75ECC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087A3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462CA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2B1EB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46207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58EBE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5E8888">
            <w:pPr>
              <w:spacing w:line="240" w:lineRule="exact"/>
              <w:jc w:val="right"/>
              <w:rPr>
                <w:rFonts w:ascii="宋体" w:hAnsi="宋体" w:eastAsia="宋体" w:cs="宋体"/>
                <w:sz w:val="18"/>
                <w:szCs w:val="18"/>
              </w:rPr>
            </w:pPr>
          </w:p>
        </w:tc>
      </w:tr>
      <w:tr w14:paraId="15C4114E">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E6E8F58">
            <w:pPr>
              <w:spacing w:before="40" w:after="40" w:line="240" w:lineRule="exact"/>
              <w:rPr>
                <w:rFonts w:ascii="宋体" w:hAnsi="宋体" w:eastAsia="宋体" w:cs="宋体"/>
                <w:sz w:val="18"/>
                <w:szCs w:val="18"/>
              </w:rPr>
            </w:pPr>
            <w:r>
              <w:rPr>
                <w:rFonts w:ascii="宋体" w:hAnsi="宋体" w:eastAsia="宋体" w:cs="宋体"/>
                <w:sz w:val="18"/>
                <w:szCs w:val="18"/>
              </w:rPr>
              <w:t>1．提取盈余公积</w:t>
            </w:r>
          </w:p>
        </w:tc>
        <w:tc>
          <w:tcPr>
            <w:tcW w:w="703" w:type="dxa"/>
            <w:tcBorders>
              <w:top w:val="single" w:color="auto" w:sz="2" w:space="0"/>
              <w:left w:val="single" w:color="auto" w:sz="2" w:space="0"/>
              <w:bottom w:val="single" w:color="auto" w:sz="2" w:space="0"/>
              <w:right w:val="single" w:color="auto" w:sz="2" w:space="0"/>
            </w:tcBorders>
            <w:vAlign w:val="center"/>
          </w:tcPr>
          <w:p w14:paraId="627DE9B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7B63D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B2644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BDFFE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1075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7F3F7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B1CAD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BF461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F0ABB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F91AC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85D33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057771">
            <w:pPr>
              <w:spacing w:line="240" w:lineRule="exact"/>
              <w:jc w:val="right"/>
              <w:rPr>
                <w:rFonts w:ascii="宋体" w:hAnsi="宋体" w:eastAsia="宋体" w:cs="宋体"/>
                <w:sz w:val="18"/>
                <w:szCs w:val="18"/>
              </w:rPr>
            </w:pPr>
          </w:p>
        </w:tc>
      </w:tr>
      <w:tr w14:paraId="1DC2169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DD89C5A">
            <w:pPr>
              <w:spacing w:before="40" w:after="40" w:line="240" w:lineRule="exact"/>
              <w:rPr>
                <w:rFonts w:ascii="宋体" w:hAnsi="宋体" w:eastAsia="宋体" w:cs="宋体"/>
                <w:sz w:val="18"/>
                <w:szCs w:val="18"/>
              </w:rPr>
            </w:pPr>
            <w:r>
              <w:rPr>
                <w:rFonts w:ascii="宋体" w:hAnsi="宋体" w:eastAsia="宋体" w:cs="宋体"/>
                <w:sz w:val="18"/>
                <w:szCs w:val="18"/>
              </w:rPr>
              <w:t>2．对所有者（或股东）的分配</w:t>
            </w:r>
          </w:p>
        </w:tc>
        <w:tc>
          <w:tcPr>
            <w:tcW w:w="703" w:type="dxa"/>
            <w:tcBorders>
              <w:top w:val="single" w:color="auto" w:sz="2" w:space="0"/>
              <w:left w:val="single" w:color="auto" w:sz="2" w:space="0"/>
              <w:bottom w:val="single" w:color="auto" w:sz="2" w:space="0"/>
              <w:right w:val="single" w:color="auto" w:sz="2" w:space="0"/>
            </w:tcBorders>
            <w:vAlign w:val="center"/>
          </w:tcPr>
          <w:p w14:paraId="19F2F95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953835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E2CEE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27C75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17052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2DC45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D244A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9F941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018B7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4FB69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1CD86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A77861">
            <w:pPr>
              <w:spacing w:line="240" w:lineRule="exact"/>
              <w:jc w:val="right"/>
              <w:rPr>
                <w:rFonts w:ascii="宋体" w:hAnsi="宋体" w:eastAsia="宋体" w:cs="宋体"/>
                <w:sz w:val="18"/>
                <w:szCs w:val="18"/>
              </w:rPr>
            </w:pPr>
          </w:p>
        </w:tc>
      </w:tr>
      <w:tr w14:paraId="4D22898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9E8F0A0">
            <w:pPr>
              <w:spacing w:before="40" w:after="40" w:line="240" w:lineRule="exact"/>
              <w:rPr>
                <w:rFonts w:ascii="宋体" w:hAnsi="宋体" w:eastAsia="宋体" w:cs="宋体"/>
                <w:sz w:val="18"/>
                <w:szCs w:val="18"/>
              </w:rPr>
            </w:pPr>
            <w:r>
              <w:rPr>
                <w:rFonts w:ascii="宋体" w:hAnsi="宋体" w:eastAsia="宋体" w:cs="宋体"/>
                <w:sz w:val="18"/>
                <w:szCs w:val="18"/>
              </w:rPr>
              <w:t>3．其他</w:t>
            </w:r>
          </w:p>
        </w:tc>
        <w:tc>
          <w:tcPr>
            <w:tcW w:w="703" w:type="dxa"/>
            <w:tcBorders>
              <w:top w:val="single" w:color="auto" w:sz="2" w:space="0"/>
              <w:left w:val="single" w:color="auto" w:sz="2" w:space="0"/>
              <w:bottom w:val="single" w:color="auto" w:sz="2" w:space="0"/>
              <w:right w:val="single" w:color="auto" w:sz="2" w:space="0"/>
            </w:tcBorders>
            <w:vAlign w:val="center"/>
          </w:tcPr>
          <w:p w14:paraId="3864013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8E912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64B6D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C7AFE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B4CBB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F7594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29156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268F7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59D46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35E13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0DA92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1E795C">
            <w:pPr>
              <w:spacing w:line="240" w:lineRule="exact"/>
              <w:jc w:val="right"/>
              <w:rPr>
                <w:rFonts w:ascii="宋体" w:hAnsi="宋体" w:eastAsia="宋体" w:cs="宋体"/>
                <w:sz w:val="18"/>
                <w:szCs w:val="18"/>
              </w:rPr>
            </w:pPr>
          </w:p>
        </w:tc>
      </w:tr>
      <w:tr w14:paraId="2E913279">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101CD7D">
            <w:pPr>
              <w:spacing w:before="40" w:after="40" w:line="240" w:lineRule="exact"/>
              <w:rPr>
                <w:rFonts w:ascii="宋体" w:hAnsi="宋体" w:eastAsia="宋体" w:cs="宋体"/>
                <w:sz w:val="18"/>
                <w:szCs w:val="18"/>
              </w:rPr>
            </w:pPr>
            <w:r>
              <w:rPr>
                <w:rFonts w:ascii="宋体" w:hAnsi="宋体" w:eastAsia="宋体" w:cs="宋体"/>
                <w:sz w:val="18"/>
                <w:szCs w:val="18"/>
              </w:rPr>
              <w:t>（四）所有者权益内部结转</w:t>
            </w:r>
          </w:p>
        </w:tc>
        <w:tc>
          <w:tcPr>
            <w:tcW w:w="703" w:type="dxa"/>
            <w:tcBorders>
              <w:top w:val="single" w:color="auto" w:sz="2" w:space="0"/>
              <w:left w:val="single" w:color="auto" w:sz="2" w:space="0"/>
              <w:bottom w:val="single" w:color="auto" w:sz="2" w:space="0"/>
              <w:right w:val="single" w:color="auto" w:sz="2" w:space="0"/>
            </w:tcBorders>
            <w:vAlign w:val="center"/>
          </w:tcPr>
          <w:p w14:paraId="7D35140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4DD4F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EFD6C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0F826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0AC22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C600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061FB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FB09C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2B37CA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C1C63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DE2AF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23DAE4">
            <w:pPr>
              <w:spacing w:line="240" w:lineRule="exact"/>
              <w:jc w:val="right"/>
              <w:rPr>
                <w:rFonts w:ascii="宋体" w:hAnsi="宋体" w:eastAsia="宋体" w:cs="宋体"/>
                <w:sz w:val="18"/>
                <w:szCs w:val="18"/>
              </w:rPr>
            </w:pPr>
          </w:p>
        </w:tc>
      </w:tr>
      <w:tr w14:paraId="1F5118FD">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34A170A">
            <w:pPr>
              <w:spacing w:before="40" w:after="40" w:line="240" w:lineRule="exact"/>
              <w:rPr>
                <w:rFonts w:ascii="宋体" w:hAnsi="宋体" w:eastAsia="宋体" w:cs="宋体"/>
                <w:sz w:val="18"/>
                <w:szCs w:val="18"/>
              </w:rPr>
            </w:pPr>
            <w:r>
              <w:rPr>
                <w:rFonts w:ascii="宋体" w:hAnsi="宋体" w:eastAsia="宋体" w:cs="宋体"/>
                <w:sz w:val="18"/>
                <w:szCs w:val="18"/>
              </w:rPr>
              <w:t>1．资本公积转增资本（或股本）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1C628E4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F8599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91A0A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CC828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B946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CA9AB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9F294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FFD38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638FA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289F14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FADA5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96D408">
            <w:pPr>
              <w:spacing w:line="240" w:lineRule="exact"/>
              <w:jc w:val="right"/>
              <w:rPr>
                <w:rFonts w:ascii="宋体" w:hAnsi="宋体" w:eastAsia="宋体" w:cs="宋体"/>
                <w:sz w:val="18"/>
                <w:szCs w:val="18"/>
              </w:rPr>
            </w:pPr>
          </w:p>
        </w:tc>
      </w:tr>
      <w:tr w14:paraId="7FD18219">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53872E9">
            <w:pPr>
              <w:spacing w:before="40" w:after="40" w:line="240" w:lineRule="exact"/>
              <w:rPr>
                <w:rFonts w:ascii="宋体" w:hAnsi="宋体" w:eastAsia="宋体" w:cs="宋体"/>
                <w:sz w:val="18"/>
                <w:szCs w:val="18"/>
              </w:rPr>
            </w:pPr>
            <w:r>
              <w:rPr>
                <w:rFonts w:ascii="宋体" w:hAnsi="宋体" w:eastAsia="宋体" w:cs="宋体"/>
                <w:sz w:val="18"/>
                <w:szCs w:val="18"/>
              </w:rPr>
              <w:t>2．盈余公积转增资本（或股本）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619D15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55A78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08AE6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1850E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E4AEC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128BC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88DF3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9E8AC0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1C815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9A45D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776FAA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7B1B42">
            <w:pPr>
              <w:spacing w:line="240" w:lineRule="exact"/>
              <w:jc w:val="right"/>
              <w:rPr>
                <w:rFonts w:ascii="宋体" w:hAnsi="宋体" w:eastAsia="宋体" w:cs="宋体"/>
                <w:sz w:val="18"/>
                <w:szCs w:val="18"/>
              </w:rPr>
            </w:pPr>
          </w:p>
        </w:tc>
      </w:tr>
      <w:tr w14:paraId="4D77C4AD">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378F218">
            <w:pPr>
              <w:spacing w:before="40" w:after="40" w:line="240" w:lineRule="exact"/>
              <w:rPr>
                <w:rFonts w:ascii="宋体" w:hAnsi="宋体" w:eastAsia="宋体" w:cs="宋体"/>
                <w:sz w:val="18"/>
                <w:szCs w:val="18"/>
              </w:rPr>
            </w:pPr>
            <w:r>
              <w:rPr>
                <w:rFonts w:ascii="宋体" w:hAnsi="宋体" w:eastAsia="宋体" w:cs="宋体"/>
                <w:sz w:val="18"/>
                <w:szCs w:val="18"/>
              </w:rPr>
              <w:t>3．盈余公积弥补亏损</w:t>
            </w:r>
          </w:p>
        </w:tc>
        <w:tc>
          <w:tcPr>
            <w:tcW w:w="703" w:type="dxa"/>
            <w:tcBorders>
              <w:top w:val="single" w:color="auto" w:sz="2" w:space="0"/>
              <w:left w:val="single" w:color="auto" w:sz="2" w:space="0"/>
              <w:bottom w:val="single" w:color="auto" w:sz="2" w:space="0"/>
              <w:right w:val="single" w:color="auto" w:sz="2" w:space="0"/>
            </w:tcBorders>
            <w:vAlign w:val="center"/>
          </w:tcPr>
          <w:p w14:paraId="71EC43A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ED568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1E789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057ED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DEEDB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35284E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FC29D8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22935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7C6DF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94720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2E75EB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2898B9">
            <w:pPr>
              <w:spacing w:line="240" w:lineRule="exact"/>
              <w:jc w:val="right"/>
              <w:rPr>
                <w:rFonts w:ascii="宋体" w:hAnsi="宋体" w:eastAsia="宋体" w:cs="宋体"/>
                <w:sz w:val="18"/>
                <w:szCs w:val="18"/>
              </w:rPr>
            </w:pPr>
          </w:p>
        </w:tc>
      </w:tr>
      <w:tr w14:paraId="736C6164">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6C10807">
            <w:pPr>
              <w:spacing w:before="40" w:after="40" w:line="240" w:lineRule="exact"/>
              <w:rPr>
                <w:rFonts w:ascii="宋体" w:hAnsi="宋体" w:eastAsia="宋体" w:cs="宋体"/>
                <w:sz w:val="18"/>
                <w:szCs w:val="18"/>
              </w:rPr>
            </w:pPr>
            <w:r>
              <w:rPr>
                <w:rFonts w:ascii="宋体" w:hAnsi="宋体" w:eastAsia="宋体" w:cs="宋体"/>
                <w:sz w:val="18"/>
                <w:szCs w:val="18"/>
              </w:rPr>
              <w:t>4．设定受益计划变动额结转留存收益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365DAC9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2B2F19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EB652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93881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D7CF4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2381EE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074A2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B4B52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95693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F310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BE295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44AB4C">
            <w:pPr>
              <w:spacing w:line="240" w:lineRule="exact"/>
              <w:jc w:val="right"/>
              <w:rPr>
                <w:rFonts w:ascii="宋体" w:hAnsi="宋体" w:eastAsia="宋体" w:cs="宋体"/>
                <w:sz w:val="18"/>
                <w:szCs w:val="18"/>
              </w:rPr>
            </w:pPr>
          </w:p>
        </w:tc>
      </w:tr>
      <w:tr w14:paraId="4748EE7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FE130EA">
            <w:pPr>
              <w:spacing w:before="40" w:after="40" w:line="240" w:lineRule="exact"/>
              <w:rPr>
                <w:rFonts w:ascii="宋体" w:hAnsi="宋体" w:eastAsia="宋体" w:cs="宋体"/>
                <w:sz w:val="18"/>
                <w:szCs w:val="18"/>
              </w:rPr>
            </w:pPr>
            <w:r>
              <w:rPr>
                <w:rFonts w:ascii="宋体" w:hAnsi="宋体" w:eastAsia="宋体" w:cs="宋体"/>
                <w:sz w:val="18"/>
                <w:szCs w:val="18"/>
              </w:rPr>
              <w:t>5．其他综合收益结转留存收益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1D1E56F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FA8F3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5593F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193F4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9E09A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E5D4C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203D0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D2A0A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6A998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9004D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1591A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828C30">
            <w:pPr>
              <w:spacing w:line="240" w:lineRule="exact"/>
              <w:jc w:val="right"/>
              <w:rPr>
                <w:rFonts w:ascii="宋体" w:hAnsi="宋体" w:eastAsia="宋体" w:cs="宋体"/>
                <w:sz w:val="18"/>
                <w:szCs w:val="18"/>
              </w:rPr>
            </w:pPr>
          </w:p>
        </w:tc>
      </w:tr>
      <w:tr w14:paraId="5B61506C">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3F1540C">
            <w:pPr>
              <w:spacing w:before="40" w:after="40" w:line="240" w:lineRule="exact"/>
              <w:rPr>
                <w:rFonts w:ascii="宋体" w:hAnsi="宋体" w:eastAsia="宋体" w:cs="宋体"/>
                <w:sz w:val="18"/>
                <w:szCs w:val="18"/>
              </w:rPr>
            </w:pPr>
            <w:r>
              <w:rPr>
                <w:rFonts w:ascii="宋体" w:hAnsi="宋体" w:eastAsia="宋体" w:cs="宋体"/>
                <w:sz w:val="18"/>
                <w:szCs w:val="18"/>
              </w:rPr>
              <w:t>6．其他</w:t>
            </w:r>
          </w:p>
        </w:tc>
        <w:tc>
          <w:tcPr>
            <w:tcW w:w="703" w:type="dxa"/>
            <w:tcBorders>
              <w:top w:val="single" w:color="auto" w:sz="2" w:space="0"/>
              <w:left w:val="single" w:color="auto" w:sz="2" w:space="0"/>
              <w:bottom w:val="single" w:color="auto" w:sz="2" w:space="0"/>
              <w:right w:val="single" w:color="auto" w:sz="2" w:space="0"/>
            </w:tcBorders>
            <w:vAlign w:val="center"/>
          </w:tcPr>
          <w:p w14:paraId="6C32441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6C4B7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97741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54D4CC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865D0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AAE7D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98D4CA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C317F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7BEC8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2E942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F62EC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6C5763">
            <w:pPr>
              <w:spacing w:line="240" w:lineRule="exact"/>
              <w:jc w:val="right"/>
              <w:rPr>
                <w:rFonts w:ascii="宋体" w:hAnsi="宋体" w:eastAsia="宋体" w:cs="宋体"/>
                <w:sz w:val="18"/>
                <w:szCs w:val="18"/>
              </w:rPr>
            </w:pPr>
          </w:p>
        </w:tc>
      </w:tr>
      <w:tr w14:paraId="408B1D03">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F5728CF">
            <w:pPr>
              <w:spacing w:before="40" w:after="40" w:line="240" w:lineRule="exact"/>
              <w:rPr>
                <w:rFonts w:ascii="宋体" w:hAnsi="宋体" w:eastAsia="宋体" w:cs="宋体"/>
                <w:sz w:val="18"/>
                <w:szCs w:val="18"/>
              </w:rPr>
            </w:pPr>
            <w:r>
              <w:rPr>
                <w:rFonts w:ascii="宋体" w:hAnsi="宋体" w:eastAsia="宋体" w:cs="宋体"/>
                <w:sz w:val="18"/>
                <w:szCs w:val="18"/>
              </w:rPr>
              <w:t>（五）专项储备</w:t>
            </w:r>
          </w:p>
        </w:tc>
        <w:tc>
          <w:tcPr>
            <w:tcW w:w="703" w:type="dxa"/>
            <w:tcBorders>
              <w:top w:val="single" w:color="auto" w:sz="2" w:space="0"/>
              <w:left w:val="single" w:color="auto" w:sz="2" w:space="0"/>
              <w:bottom w:val="single" w:color="auto" w:sz="2" w:space="0"/>
              <w:right w:val="single" w:color="auto" w:sz="2" w:space="0"/>
            </w:tcBorders>
            <w:vAlign w:val="center"/>
          </w:tcPr>
          <w:p w14:paraId="0DC5646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AA20D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BA5B8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55717B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3501F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988B8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2DF2D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C912E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E796C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909FE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53E0B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BE0F7B1">
            <w:pPr>
              <w:spacing w:line="240" w:lineRule="exact"/>
              <w:jc w:val="right"/>
              <w:rPr>
                <w:rFonts w:ascii="宋体" w:hAnsi="宋体" w:eastAsia="宋体" w:cs="宋体"/>
                <w:sz w:val="18"/>
                <w:szCs w:val="18"/>
              </w:rPr>
            </w:pPr>
          </w:p>
        </w:tc>
      </w:tr>
      <w:tr w14:paraId="01B7A7BF">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3E4E285">
            <w:pPr>
              <w:spacing w:before="40" w:after="40" w:line="240" w:lineRule="exact"/>
              <w:rPr>
                <w:rFonts w:ascii="宋体" w:hAnsi="宋体" w:eastAsia="宋体" w:cs="宋体"/>
                <w:sz w:val="18"/>
                <w:szCs w:val="18"/>
              </w:rPr>
            </w:pPr>
            <w:r>
              <w:rPr>
                <w:rFonts w:ascii="宋体" w:hAnsi="宋体" w:eastAsia="宋体" w:cs="宋体"/>
                <w:sz w:val="18"/>
                <w:szCs w:val="18"/>
              </w:rPr>
              <w:t>1．本期提取</w:t>
            </w:r>
          </w:p>
        </w:tc>
        <w:tc>
          <w:tcPr>
            <w:tcW w:w="703" w:type="dxa"/>
            <w:tcBorders>
              <w:top w:val="single" w:color="auto" w:sz="2" w:space="0"/>
              <w:left w:val="single" w:color="auto" w:sz="2" w:space="0"/>
              <w:bottom w:val="single" w:color="auto" w:sz="2" w:space="0"/>
              <w:right w:val="single" w:color="auto" w:sz="2" w:space="0"/>
            </w:tcBorders>
            <w:vAlign w:val="center"/>
          </w:tcPr>
          <w:p w14:paraId="6ED2C76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738B86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05FB6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89EDD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771C8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8DB6B7">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A75E4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D799F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C395A1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42E0C8">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B60EC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A60E17F">
            <w:pPr>
              <w:spacing w:line="240" w:lineRule="exact"/>
              <w:jc w:val="right"/>
              <w:rPr>
                <w:rFonts w:ascii="宋体" w:hAnsi="宋体" w:eastAsia="宋体" w:cs="宋体"/>
                <w:sz w:val="18"/>
                <w:szCs w:val="18"/>
              </w:rPr>
            </w:pPr>
          </w:p>
        </w:tc>
      </w:tr>
      <w:tr w14:paraId="32CB5C10">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AAFF5C">
            <w:pPr>
              <w:spacing w:before="40" w:after="40" w:line="240" w:lineRule="exact"/>
              <w:rPr>
                <w:rFonts w:ascii="宋体" w:hAnsi="宋体" w:eastAsia="宋体" w:cs="宋体"/>
                <w:sz w:val="18"/>
                <w:szCs w:val="18"/>
              </w:rPr>
            </w:pPr>
            <w:r>
              <w:rPr>
                <w:rFonts w:ascii="宋体" w:hAnsi="宋体" w:eastAsia="宋体" w:cs="宋体"/>
                <w:sz w:val="18"/>
                <w:szCs w:val="18"/>
              </w:rPr>
              <w:t>2．本期使用</w:t>
            </w:r>
          </w:p>
        </w:tc>
        <w:tc>
          <w:tcPr>
            <w:tcW w:w="703" w:type="dxa"/>
            <w:tcBorders>
              <w:top w:val="single" w:color="auto" w:sz="2" w:space="0"/>
              <w:left w:val="single" w:color="auto" w:sz="2" w:space="0"/>
              <w:bottom w:val="single" w:color="auto" w:sz="2" w:space="0"/>
              <w:right w:val="single" w:color="auto" w:sz="2" w:space="0"/>
            </w:tcBorders>
            <w:vAlign w:val="center"/>
          </w:tcPr>
          <w:p w14:paraId="2413566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E5654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6B752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79B4D5">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01AFF3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BC839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10352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D507F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09E8769">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BD9F5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967811">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88E524">
            <w:pPr>
              <w:spacing w:line="240" w:lineRule="exact"/>
              <w:jc w:val="right"/>
              <w:rPr>
                <w:rFonts w:ascii="宋体" w:hAnsi="宋体" w:eastAsia="宋体" w:cs="宋体"/>
                <w:sz w:val="18"/>
                <w:szCs w:val="18"/>
              </w:rPr>
            </w:pPr>
          </w:p>
        </w:tc>
      </w:tr>
      <w:tr w14:paraId="3BF02CF5">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E979E51">
            <w:pPr>
              <w:spacing w:before="40" w:after="40" w:line="240" w:lineRule="exact"/>
              <w:rPr>
                <w:rFonts w:ascii="宋体" w:hAnsi="宋体" w:eastAsia="宋体" w:cs="宋体"/>
                <w:sz w:val="18"/>
                <w:szCs w:val="18"/>
              </w:rPr>
            </w:pPr>
            <w:r>
              <w:rPr>
                <w:rFonts w:ascii="宋体" w:hAnsi="宋体" w:eastAsia="宋体" w:cs="宋体"/>
                <w:sz w:val="18"/>
                <w:szCs w:val="18"/>
              </w:rPr>
              <w:t>（六）其他</w:t>
            </w:r>
          </w:p>
        </w:tc>
        <w:tc>
          <w:tcPr>
            <w:tcW w:w="703" w:type="dxa"/>
            <w:tcBorders>
              <w:top w:val="single" w:color="auto" w:sz="2" w:space="0"/>
              <w:left w:val="single" w:color="auto" w:sz="2" w:space="0"/>
              <w:bottom w:val="single" w:color="auto" w:sz="2" w:space="0"/>
              <w:right w:val="single" w:color="auto" w:sz="2" w:space="0"/>
            </w:tcBorders>
            <w:vAlign w:val="center"/>
          </w:tcPr>
          <w:p w14:paraId="59A14E5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47FD7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0D349C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C1E35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D3BFD43">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6FE010">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F38EDE">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BCB84F">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F78A7D">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88A47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196462">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82CDB92">
            <w:pPr>
              <w:spacing w:line="240" w:lineRule="exact"/>
              <w:jc w:val="right"/>
              <w:rPr>
                <w:rFonts w:ascii="宋体" w:hAnsi="宋体" w:eastAsia="宋体" w:cs="宋体"/>
                <w:sz w:val="18"/>
                <w:szCs w:val="18"/>
              </w:rPr>
            </w:pPr>
          </w:p>
        </w:tc>
      </w:tr>
      <w:tr w14:paraId="0067F1A8">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7F98055">
            <w:pPr>
              <w:spacing w:before="40" w:after="40" w:line="240" w:lineRule="exact"/>
              <w:rPr>
                <w:rFonts w:ascii="宋体" w:hAnsi="宋体" w:eastAsia="宋体" w:cs="宋体"/>
                <w:sz w:val="18"/>
                <w:szCs w:val="18"/>
              </w:rPr>
            </w:pPr>
            <w:r>
              <w:rPr>
                <w:rFonts w:ascii="宋体" w:hAnsi="宋体" w:eastAsia="宋体" w:cs="宋体"/>
                <w:sz w:val="18"/>
                <w:szCs w:val="18"/>
              </w:rPr>
              <w:t>四、本期期末余额</w:t>
            </w:r>
          </w:p>
        </w:tc>
        <w:tc>
          <w:tcPr>
            <w:tcW w:w="703" w:type="dxa"/>
            <w:tcBorders>
              <w:top w:val="single" w:color="auto" w:sz="2" w:space="0"/>
              <w:left w:val="single" w:color="auto" w:sz="2" w:space="0"/>
              <w:bottom w:val="single" w:color="auto" w:sz="2" w:space="0"/>
              <w:right w:val="single" w:color="auto" w:sz="2" w:space="0"/>
            </w:tcBorders>
            <w:vAlign w:val="center"/>
          </w:tcPr>
          <w:p w14:paraId="09BD01BE">
            <w:pPr>
              <w:spacing w:line="240" w:lineRule="exact"/>
              <w:jc w:val="right"/>
              <w:rPr>
                <w:rFonts w:ascii="宋体" w:hAnsi="宋体" w:eastAsia="宋体" w:cs="宋体"/>
                <w:sz w:val="18"/>
                <w:szCs w:val="18"/>
              </w:rPr>
            </w:pPr>
            <w:r>
              <w:rPr>
                <w:rFonts w:ascii="宋体" w:hAnsi="宋体" w:eastAsia="宋体" w:cs="宋体"/>
                <w:sz w:val="18"/>
                <w:szCs w:val="18"/>
              </w:rPr>
              <w:t>263,758,491.00</w:t>
            </w:r>
          </w:p>
        </w:tc>
        <w:tc>
          <w:tcPr>
            <w:tcW w:w="703" w:type="dxa"/>
            <w:tcBorders>
              <w:top w:val="single" w:color="auto" w:sz="2" w:space="0"/>
              <w:left w:val="single" w:color="auto" w:sz="2" w:space="0"/>
              <w:bottom w:val="single" w:color="auto" w:sz="2" w:space="0"/>
              <w:right w:val="single" w:color="auto" w:sz="2" w:space="0"/>
            </w:tcBorders>
            <w:vAlign w:val="center"/>
          </w:tcPr>
          <w:p w14:paraId="32F886B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5569F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CEB46A">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EC5399">
            <w:pPr>
              <w:spacing w:line="240" w:lineRule="exact"/>
              <w:jc w:val="right"/>
              <w:rPr>
                <w:rFonts w:ascii="宋体" w:hAnsi="宋体" w:eastAsia="宋体" w:cs="宋体"/>
                <w:sz w:val="18"/>
                <w:szCs w:val="18"/>
              </w:rPr>
            </w:pPr>
            <w:r>
              <w:rPr>
                <w:rFonts w:ascii="宋体" w:hAnsi="宋体" w:eastAsia="宋体" w:cs="宋体"/>
                <w:sz w:val="18"/>
                <w:szCs w:val="18"/>
              </w:rPr>
              <w:t>24,059,607.52</w:t>
            </w:r>
          </w:p>
        </w:tc>
        <w:tc>
          <w:tcPr>
            <w:tcW w:w="703" w:type="dxa"/>
            <w:tcBorders>
              <w:top w:val="single" w:color="auto" w:sz="2" w:space="0"/>
              <w:left w:val="single" w:color="auto" w:sz="2" w:space="0"/>
              <w:bottom w:val="single" w:color="auto" w:sz="2" w:space="0"/>
              <w:right w:val="single" w:color="auto" w:sz="2" w:space="0"/>
            </w:tcBorders>
            <w:vAlign w:val="center"/>
          </w:tcPr>
          <w:p w14:paraId="3750068C">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180D44">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C1AC76">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022501">
            <w:pPr>
              <w:spacing w:line="240" w:lineRule="exact"/>
              <w:jc w:val="right"/>
              <w:rPr>
                <w:rFonts w:ascii="宋体" w:hAnsi="宋体" w:eastAsia="宋体" w:cs="宋体"/>
                <w:sz w:val="18"/>
                <w:szCs w:val="18"/>
              </w:rPr>
            </w:pPr>
            <w:r>
              <w:rPr>
                <w:rFonts w:ascii="宋体" w:hAnsi="宋体" w:eastAsia="宋体" w:cs="宋体"/>
                <w:sz w:val="18"/>
                <w:szCs w:val="18"/>
              </w:rPr>
              <w:t>69,225,086.27</w:t>
            </w:r>
          </w:p>
        </w:tc>
        <w:tc>
          <w:tcPr>
            <w:tcW w:w="703" w:type="dxa"/>
            <w:tcBorders>
              <w:top w:val="single" w:color="auto" w:sz="2" w:space="0"/>
              <w:left w:val="single" w:color="auto" w:sz="2" w:space="0"/>
              <w:bottom w:val="single" w:color="auto" w:sz="2" w:space="0"/>
              <w:right w:val="single" w:color="auto" w:sz="2" w:space="0"/>
            </w:tcBorders>
            <w:vAlign w:val="center"/>
          </w:tcPr>
          <w:p w14:paraId="6B524DD5">
            <w:pPr>
              <w:spacing w:line="240" w:lineRule="exact"/>
              <w:jc w:val="right"/>
              <w:rPr>
                <w:rFonts w:ascii="宋体" w:hAnsi="宋体" w:eastAsia="宋体" w:cs="宋体"/>
                <w:sz w:val="18"/>
                <w:szCs w:val="18"/>
              </w:rPr>
            </w:pPr>
            <w:r>
              <w:rPr>
                <w:rFonts w:ascii="宋体" w:hAnsi="宋体" w:eastAsia="宋体" w:cs="宋体"/>
                <w:sz w:val="18"/>
                <w:szCs w:val="18"/>
              </w:rPr>
              <w:t>-638,953,476.22</w:t>
            </w:r>
          </w:p>
        </w:tc>
        <w:tc>
          <w:tcPr>
            <w:tcW w:w="703" w:type="dxa"/>
            <w:tcBorders>
              <w:top w:val="single" w:color="auto" w:sz="2" w:space="0"/>
              <w:left w:val="single" w:color="auto" w:sz="2" w:space="0"/>
              <w:bottom w:val="single" w:color="auto" w:sz="2" w:space="0"/>
              <w:right w:val="single" w:color="auto" w:sz="2" w:space="0"/>
            </w:tcBorders>
            <w:vAlign w:val="center"/>
          </w:tcPr>
          <w:p w14:paraId="4F80E69B">
            <w:pPr>
              <w:spacing w:line="240" w:lineRule="exact"/>
              <w:jc w:val="right"/>
              <w:rPr>
                <w:rFonts w:ascii="宋体" w:hAnsi="宋体" w:eastAsia="宋体" w:cs="宋体"/>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1B9676">
            <w:pPr>
              <w:spacing w:line="240" w:lineRule="exact"/>
              <w:jc w:val="right"/>
              <w:rPr>
                <w:rFonts w:ascii="宋体" w:hAnsi="宋体" w:eastAsia="宋体" w:cs="宋体"/>
                <w:sz w:val="18"/>
                <w:szCs w:val="18"/>
              </w:rPr>
            </w:pPr>
            <w:r>
              <w:rPr>
                <w:rFonts w:ascii="宋体" w:hAnsi="宋体" w:eastAsia="宋体" w:cs="宋体"/>
                <w:sz w:val="18"/>
                <w:szCs w:val="18"/>
              </w:rPr>
              <w:t>-281,910,291.43</w:t>
            </w:r>
          </w:p>
        </w:tc>
      </w:tr>
    </w:tbl>
    <w:p w14:paraId="2EAE63C5">
      <w:pPr>
        <w:pStyle w:val="2"/>
        <w:spacing w:before="300" w:after="300" w:line="320" w:lineRule="exact"/>
        <w:rPr>
          <w:rFonts w:ascii="宋体" w:hAnsi="宋体" w:eastAsia="宋体" w:cs="宋体"/>
          <w:b/>
          <w:bCs/>
          <w:sz w:val="24"/>
          <w:szCs w:val="24"/>
        </w:rPr>
      </w:pPr>
      <w:bookmarkStart w:id="98" w:name="_Toc988987"/>
      <w:r>
        <w:rPr>
          <w:rFonts w:ascii="宋体" w:hAnsi="宋体" w:eastAsia="宋体" w:cs="宋体"/>
          <w:b/>
          <w:bCs/>
          <w:sz w:val="24"/>
          <w:szCs w:val="24"/>
        </w:rPr>
        <w:t>三、公司基本情况</w:t>
      </w:r>
      <w:bookmarkEnd w:id="98"/>
    </w:p>
    <w:p w14:paraId="733636B6">
      <w:pPr>
        <w:pStyle w:val="9"/>
        <w:spacing w:before="0" w:beforeAutospacing="0" w:after="0" w:afterAutospacing="0" w:line="20" w:lineRule="atLeast"/>
        <w:ind w:firstLine="482"/>
        <w:rPr>
          <w:sz w:val="18"/>
          <w:szCs w:val="18"/>
        </w:rPr>
      </w:pPr>
      <w:r>
        <w:rPr>
          <w:rFonts w:hint="eastAsia"/>
          <w:sz w:val="18"/>
          <w:szCs w:val="18"/>
        </w:rPr>
        <w:t>公司名称：西藏发展股份有限公司</w:t>
      </w:r>
    </w:p>
    <w:p w14:paraId="01DDCA8C">
      <w:pPr>
        <w:pStyle w:val="9"/>
        <w:spacing w:before="0" w:beforeAutospacing="0" w:after="0" w:afterAutospacing="0" w:line="20" w:lineRule="atLeast"/>
        <w:ind w:firstLine="482"/>
        <w:rPr>
          <w:sz w:val="18"/>
          <w:szCs w:val="18"/>
        </w:rPr>
      </w:pPr>
      <w:r>
        <w:rPr>
          <w:rFonts w:hint="eastAsia"/>
          <w:sz w:val="18"/>
          <w:szCs w:val="18"/>
        </w:rPr>
        <w:t>曾用名：西藏银河科技发展股份有限公司。</w:t>
      </w:r>
    </w:p>
    <w:p w14:paraId="34B01C06">
      <w:pPr>
        <w:pStyle w:val="9"/>
        <w:spacing w:before="0" w:beforeAutospacing="0" w:after="0" w:afterAutospacing="0" w:line="20" w:lineRule="atLeast"/>
        <w:ind w:firstLine="482"/>
        <w:rPr>
          <w:sz w:val="18"/>
          <w:szCs w:val="18"/>
        </w:rPr>
      </w:pPr>
      <w:r>
        <w:rPr>
          <w:rFonts w:hint="eastAsia"/>
          <w:snapToGrid w:val="0"/>
          <w:sz w:val="18"/>
          <w:szCs w:val="18"/>
        </w:rPr>
        <w:t>注册地址：拉萨市金珠西路格桑林卡 A 区 28-5。</w:t>
      </w:r>
    </w:p>
    <w:p w14:paraId="632FF0BD">
      <w:pPr>
        <w:pStyle w:val="9"/>
        <w:spacing w:before="0" w:beforeAutospacing="0" w:after="0" w:afterAutospacing="0" w:line="20" w:lineRule="atLeast"/>
        <w:ind w:firstLine="482"/>
        <w:rPr>
          <w:sz w:val="18"/>
          <w:szCs w:val="18"/>
        </w:rPr>
      </w:pPr>
      <w:r>
        <w:rPr>
          <w:rFonts w:hint="eastAsia"/>
          <w:snapToGrid w:val="0"/>
          <w:sz w:val="18"/>
          <w:szCs w:val="18"/>
        </w:rPr>
        <w:t>统一社会信用代码：915400007109057360。</w:t>
      </w:r>
    </w:p>
    <w:p w14:paraId="41337C58">
      <w:pPr>
        <w:pStyle w:val="9"/>
        <w:spacing w:before="0" w:beforeAutospacing="0" w:after="0" w:afterAutospacing="0" w:line="20" w:lineRule="atLeast"/>
        <w:ind w:firstLine="482"/>
        <w:rPr>
          <w:sz w:val="18"/>
          <w:szCs w:val="18"/>
        </w:rPr>
      </w:pPr>
      <w:r>
        <w:rPr>
          <w:rFonts w:hint="eastAsia"/>
          <w:snapToGrid w:val="0"/>
          <w:sz w:val="18"/>
          <w:szCs w:val="18"/>
        </w:rPr>
        <w:t>注册资本：26,375.8491 万元人民币。</w:t>
      </w:r>
    </w:p>
    <w:p w14:paraId="6F361535">
      <w:pPr>
        <w:pStyle w:val="9"/>
        <w:spacing w:before="0" w:beforeAutospacing="0" w:after="0" w:afterAutospacing="0" w:line="20" w:lineRule="atLeast"/>
        <w:ind w:firstLine="482"/>
        <w:rPr>
          <w:sz w:val="18"/>
          <w:szCs w:val="18"/>
        </w:rPr>
      </w:pPr>
      <w:r>
        <w:rPr>
          <w:rFonts w:hint="eastAsia"/>
          <w:sz w:val="18"/>
          <w:szCs w:val="18"/>
        </w:rPr>
        <w:t>公司类型：股份有限公司（上市）。</w:t>
      </w:r>
    </w:p>
    <w:p w14:paraId="08D878E9">
      <w:pPr>
        <w:pStyle w:val="9"/>
        <w:spacing w:before="0" w:beforeAutospacing="0" w:after="0" w:afterAutospacing="0" w:line="20" w:lineRule="atLeast"/>
        <w:ind w:firstLine="482"/>
        <w:rPr>
          <w:sz w:val="18"/>
          <w:szCs w:val="18"/>
        </w:rPr>
      </w:pPr>
      <w:r>
        <w:rPr>
          <w:rFonts w:hint="eastAsia"/>
          <w:snapToGrid w:val="0"/>
          <w:sz w:val="18"/>
          <w:szCs w:val="18"/>
        </w:rPr>
        <w:t>总部办公地址：成都市武侯区天府大道北段966号天府国际金融中心CBP-4号楼-9层。</w:t>
      </w:r>
    </w:p>
    <w:p w14:paraId="73A3306C">
      <w:pPr>
        <w:pStyle w:val="9"/>
        <w:spacing w:before="0" w:beforeAutospacing="0" w:after="0" w:afterAutospacing="0" w:line="20" w:lineRule="atLeast"/>
        <w:ind w:firstLine="482"/>
        <w:rPr>
          <w:sz w:val="18"/>
          <w:szCs w:val="18"/>
        </w:rPr>
      </w:pPr>
      <w:r>
        <w:rPr>
          <w:rFonts w:hint="eastAsia"/>
          <w:sz w:val="18"/>
          <w:szCs w:val="18"/>
        </w:rPr>
        <w:t>本公司属于酒、饮料和精制茶制造业，主要从事啤酒生产和销售。经营范围主要为：啤酒（熟啤酒）生产；国内及进出口贸易；饲料、养殖业、藏红花系列产品开发；高新技术产业、现代农业、新能源、生态环保、新一代信息产业技术的开发、转让、咨询、服务；电子商务（不含电信、银行、金融的延伸业务）；人工智能开发与应用；相关产业高端装备及智能制造；实业投资、创业投资（不直接从事以上经营业务）；企业管理服务；场地租赁、房屋租赁、物业管理【依法须经批准的项目，经相关部门批准后方可开展经营活动】。</w:t>
      </w:r>
    </w:p>
    <w:p w14:paraId="56859EC3">
      <w:pPr>
        <w:pStyle w:val="9"/>
        <w:spacing w:before="0" w:beforeAutospacing="0" w:after="0" w:afterAutospacing="0" w:line="20" w:lineRule="atLeast"/>
        <w:ind w:firstLine="482"/>
      </w:pPr>
      <w:r>
        <w:rPr>
          <w:rFonts w:hint="eastAsia"/>
          <w:snapToGrid w:val="0"/>
          <w:sz w:val="18"/>
          <w:szCs w:val="18"/>
        </w:rPr>
        <w:t>本财务报表及财务报表附注已经本公司于2024年8月22日召开的第九届董事会第二十九次会议审议通过</w:t>
      </w:r>
      <w:r>
        <w:rPr>
          <w:rFonts w:hint="eastAsia" w:ascii="仿宋_GB2312" w:eastAsia="仿宋_GB2312"/>
          <w:snapToGrid w:val="0"/>
          <w:sz w:val="18"/>
          <w:szCs w:val="18"/>
        </w:rPr>
        <w:t>。</w:t>
      </w:r>
    </w:p>
    <w:p w14:paraId="5F287EAC">
      <w:pPr>
        <w:pStyle w:val="2"/>
        <w:spacing w:before="300" w:after="300" w:line="320" w:lineRule="exact"/>
        <w:rPr>
          <w:rFonts w:ascii="宋体" w:hAnsi="宋体" w:eastAsia="宋体" w:cs="宋体"/>
          <w:b/>
          <w:bCs/>
          <w:sz w:val="24"/>
          <w:szCs w:val="24"/>
        </w:rPr>
      </w:pPr>
      <w:bookmarkStart w:id="99" w:name="_Toc988988"/>
      <w:r>
        <w:rPr>
          <w:rFonts w:ascii="宋体" w:hAnsi="宋体" w:eastAsia="宋体" w:cs="宋体"/>
          <w:b/>
          <w:bCs/>
          <w:sz w:val="24"/>
          <w:szCs w:val="24"/>
        </w:rPr>
        <w:t>四、财务报表的编制基础</w:t>
      </w:r>
      <w:bookmarkEnd w:id="99"/>
    </w:p>
    <w:p w14:paraId="2F90728A">
      <w:pPr>
        <w:pStyle w:val="3"/>
        <w:spacing w:before="20" w:after="100" w:line="280" w:lineRule="exact"/>
        <w:jc w:val="left"/>
        <w:rPr>
          <w:rFonts w:ascii="宋体" w:hAnsi="宋体" w:cs="宋体"/>
          <w:b/>
          <w:bCs/>
        </w:rPr>
      </w:pPr>
      <w:bookmarkStart w:id="100" w:name="_Toc988989"/>
      <w:r>
        <w:rPr>
          <w:rFonts w:ascii="宋体" w:hAnsi="宋体" w:cs="宋体"/>
          <w:b/>
          <w:bCs/>
        </w:rPr>
        <w:t>1、编制基础</w:t>
      </w:r>
      <w:bookmarkEnd w:id="100"/>
    </w:p>
    <w:p w14:paraId="5386DABE">
      <w:pPr>
        <w:pStyle w:val="9"/>
        <w:spacing w:before="20" w:beforeAutospacing="0" w:after="100" w:afterAutospacing="0" w:line="20" w:lineRule="atLeast"/>
        <w:ind w:firstLine="482"/>
        <w:rPr>
          <w:sz w:val="18"/>
          <w:szCs w:val="18"/>
        </w:rPr>
      </w:pPr>
      <w:r>
        <w:rPr>
          <w:rFonts w:hint="eastAsia"/>
          <w:snapToGrid w:val="0"/>
          <w:sz w:val="18"/>
          <w:szCs w:val="18"/>
        </w:rPr>
        <w:t>本公司财务报表以持续经营假设为基础，根据实际发生的交易和事项，按照财政部于2006年2月15日及以后颁布的《企业会计准则——基本准则》和各项具体会计准则、企业会计准则应用指南、企业会计准则解释及其他相关规定（以下合称“企业会计准则”），以及中国证券监督管理委员会《公开发行证券的公司信息披露编报规则第15号——财务报告的一般规定》的披露规定编制。</w:t>
      </w:r>
    </w:p>
    <w:p w14:paraId="77829738">
      <w:pPr>
        <w:pStyle w:val="9"/>
        <w:spacing w:before="20" w:beforeAutospacing="0" w:after="100" w:afterAutospacing="0" w:line="20" w:lineRule="atLeast"/>
        <w:ind w:firstLine="482"/>
        <w:rPr>
          <w:sz w:val="18"/>
          <w:szCs w:val="18"/>
        </w:rPr>
      </w:pPr>
      <w:r>
        <w:rPr>
          <w:rFonts w:hint="eastAsia"/>
          <w:sz w:val="18"/>
          <w:szCs w:val="18"/>
        </w:rPr>
        <w:t>根据企业会计准则的相关规定，本公司会计核算以权责发生制为基础。除某些金融工具外，本财务报表均以历史成本为计量基础。持有待售的非流动资产，按公允价值减去预计费用后的金额，以及符合持有待售条件时的原账面价值，取两者孰低计价。资产如果发生减值，则按照相关规定计提相应的减值准备。</w:t>
      </w:r>
    </w:p>
    <w:p w14:paraId="67F02445">
      <w:pPr>
        <w:pStyle w:val="3"/>
        <w:spacing w:before="20" w:after="100" w:line="280" w:lineRule="exact"/>
        <w:jc w:val="left"/>
        <w:rPr>
          <w:rFonts w:ascii="宋体" w:hAnsi="宋体" w:cs="宋体"/>
          <w:b/>
          <w:bCs/>
        </w:rPr>
      </w:pPr>
      <w:bookmarkStart w:id="101" w:name="_Toc988990"/>
      <w:r>
        <w:rPr>
          <w:rFonts w:ascii="宋体" w:hAnsi="宋体" w:cs="宋体"/>
          <w:b/>
          <w:bCs/>
        </w:rPr>
        <w:t>2、持续经营</w:t>
      </w:r>
      <w:bookmarkEnd w:id="101"/>
    </w:p>
    <w:p w14:paraId="32E65C8D">
      <w:pPr>
        <w:pStyle w:val="9"/>
        <w:spacing w:before="20" w:beforeAutospacing="0" w:after="100" w:afterAutospacing="0" w:line="20" w:lineRule="atLeast"/>
        <w:ind w:firstLine="482"/>
        <w:rPr>
          <w:sz w:val="18"/>
          <w:szCs w:val="18"/>
        </w:rPr>
      </w:pPr>
      <w:r>
        <w:rPr>
          <w:rFonts w:hint="eastAsia"/>
          <w:sz w:val="18"/>
          <w:szCs w:val="18"/>
        </w:rPr>
        <w:t>截止2024年 6月 30 日，本公司母公司 2024 年上半年度亏损1,975.79 万元，流动负债高于流动资产52,732.67万元，净资产为-14,962.35万元。2023年7月25日，公司收到西藏自治区拉萨市中级人民法院(以下简称“拉萨中院”或“法院”)送达的《决定书》，经权人申请，拉萨中院决定对公司进行预重整。截至目前，公司仍在继续依法配合拉萨中院及临时管理人开展预重整的相关工作，目前公司处于预重整阶段，公司是否能进入重整程序尚存在不确定性。</w:t>
      </w:r>
    </w:p>
    <w:p w14:paraId="29B91D77">
      <w:pPr>
        <w:pStyle w:val="2"/>
        <w:spacing w:before="300" w:after="300" w:line="560" w:lineRule="exact"/>
        <w:rPr>
          <w:rFonts w:ascii="宋体" w:hAnsi="宋体" w:eastAsia="宋体" w:cs="宋体"/>
          <w:b/>
          <w:bCs/>
          <w:sz w:val="24"/>
          <w:szCs w:val="24"/>
        </w:rPr>
      </w:pPr>
      <w:bookmarkStart w:id="102" w:name="_Toc988991"/>
      <w:r>
        <w:rPr>
          <w:rFonts w:ascii="宋体" w:hAnsi="宋体" w:eastAsia="宋体" w:cs="宋体"/>
          <w:b/>
          <w:bCs/>
          <w:sz w:val="24"/>
          <w:szCs w:val="24"/>
        </w:rPr>
        <w:t>五、重要会计政策及会计估计</w:t>
      </w:r>
      <w:bookmarkEnd w:id="102"/>
    </w:p>
    <w:p w14:paraId="3DAC396C">
      <w:pPr>
        <w:spacing w:before="20" w:after="100" w:line="240" w:lineRule="exact"/>
        <w:ind w:firstLine="360" w:firstLineChars="200"/>
      </w:pPr>
      <w:r>
        <w:rPr>
          <w:rFonts w:ascii="宋体" w:hAnsi="宋体" w:eastAsia="宋体" w:cs="宋体"/>
          <w:sz w:val="18"/>
          <w:szCs w:val="18"/>
        </w:rPr>
        <w:t>公司需遵守《深圳证券交易所上市公司自律监管指引第3号——行业信息披露》中的“食品及酒制造相关业务”的披露要求</w:t>
      </w:r>
    </w:p>
    <w:p w14:paraId="5B45C756">
      <w:pPr>
        <w:pStyle w:val="3"/>
        <w:spacing w:before="20" w:after="100" w:line="280" w:lineRule="exact"/>
        <w:jc w:val="left"/>
        <w:rPr>
          <w:rFonts w:ascii="宋体" w:hAnsi="宋体" w:cs="宋体"/>
          <w:b/>
          <w:bCs/>
        </w:rPr>
      </w:pPr>
      <w:bookmarkStart w:id="103" w:name="_Toc988992"/>
      <w:r>
        <w:rPr>
          <w:rFonts w:ascii="宋体" w:hAnsi="宋体" w:cs="宋体"/>
          <w:b/>
          <w:bCs/>
        </w:rPr>
        <w:t>1、遵循企业会计准则的声明</w:t>
      </w:r>
      <w:bookmarkEnd w:id="103"/>
    </w:p>
    <w:p w14:paraId="1EFD040A">
      <w:pPr>
        <w:pStyle w:val="9"/>
        <w:spacing w:before="20" w:beforeAutospacing="0" w:afterAutospacing="0" w:line="20" w:lineRule="atLeast"/>
        <w:ind w:firstLine="482"/>
        <w:rPr>
          <w:sz w:val="18"/>
          <w:szCs w:val="18"/>
        </w:rPr>
      </w:pPr>
      <w:r>
        <w:rPr>
          <w:rFonts w:hint="eastAsia"/>
          <w:snapToGrid w:val="0"/>
          <w:sz w:val="18"/>
          <w:szCs w:val="18"/>
        </w:rPr>
        <w:t>本财务报表符合企业会计准则的要求，真实、完整地反映了本公司2024年6月30日的合并及公司财务状况以及2024上半年的合并及公司经营成果和现金流量。 </w:t>
      </w:r>
    </w:p>
    <w:p w14:paraId="6B90A648">
      <w:pPr>
        <w:pStyle w:val="3"/>
        <w:spacing w:before="20" w:after="100" w:line="280" w:lineRule="exact"/>
        <w:jc w:val="left"/>
        <w:rPr>
          <w:rFonts w:ascii="宋体" w:hAnsi="宋体" w:cs="宋体"/>
          <w:b/>
          <w:bCs/>
        </w:rPr>
      </w:pPr>
      <w:bookmarkStart w:id="104" w:name="_Toc988993"/>
      <w:r>
        <w:rPr>
          <w:rFonts w:ascii="宋体" w:hAnsi="宋体" w:cs="宋体"/>
          <w:b/>
          <w:bCs/>
        </w:rPr>
        <w:t>2、会计期间</w:t>
      </w:r>
      <w:bookmarkEnd w:id="104"/>
    </w:p>
    <w:p w14:paraId="27481045">
      <w:pPr>
        <w:pStyle w:val="9"/>
        <w:spacing w:before="20" w:beforeAutospacing="0" w:afterAutospacing="0" w:line="20" w:lineRule="atLeast"/>
        <w:ind w:firstLine="482"/>
        <w:rPr>
          <w:sz w:val="18"/>
          <w:szCs w:val="18"/>
        </w:rPr>
      </w:pPr>
      <w:r>
        <w:rPr>
          <w:rFonts w:hint="eastAsia"/>
          <w:snapToGrid w:val="0"/>
          <w:sz w:val="18"/>
          <w:szCs w:val="18"/>
        </w:rPr>
        <w:t>本公司的会计期间分为年度和中期，会计中期指短于一个完整的会计年度的报告期间。本公司会计年度采用公历年度，即每年自1月1日起至12月31日止。</w:t>
      </w:r>
    </w:p>
    <w:p w14:paraId="12A4E124">
      <w:pPr>
        <w:pStyle w:val="3"/>
        <w:spacing w:before="20" w:after="100" w:line="280" w:lineRule="exact"/>
        <w:jc w:val="left"/>
        <w:rPr>
          <w:rFonts w:ascii="宋体" w:hAnsi="宋体" w:cs="宋体"/>
          <w:b/>
          <w:bCs/>
        </w:rPr>
      </w:pPr>
      <w:bookmarkStart w:id="105" w:name="_Toc988994"/>
      <w:r>
        <w:rPr>
          <w:rFonts w:ascii="宋体" w:hAnsi="宋体" w:cs="宋体"/>
          <w:b/>
          <w:bCs/>
        </w:rPr>
        <w:t>3、营业周期</w:t>
      </w:r>
      <w:bookmarkEnd w:id="105"/>
    </w:p>
    <w:p w14:paraId="5A5DCCC9">
      <w:pPr>
        <w:pStyle w:val="9"/>
        <w:spacing w:before="20" w:beforeAutospacing="0" w:afterAutospacing="0" w:line="20" w:lineRule="atLeast"/>
        <w:ind w:firstLine="482"/>
        <w:rPr>
          <w:sz w:val="18"/>
          <w:szCs w:val="18"/>
        </w:rPr>
      </w:pPr>
      <w:r>
        <w:rPr>
          <w:rFonts w:hint="eastAsia"/>
          <w:snapToGrid w:val="0"/>
          <w:sz w:val="18"/>
          <w:szCs w:val="18"/>
        </w:rPr>
        <w:t>正常营业周期是指本公司从购买用于加工的资产起至实现现金或现金等价物的期间。本公司以12个月作为一个营业周期，并以其作为资产和负债的流动性划分标准。</w:t>
      </w:r>
    </w:p>
    <w:p w14:paraId="5B862963">
      <w:pPr>
        <w:pStyle w:val="3"/>
        <w:spacing w:before="20" w:after="100" w:line="280" w:lineRule="exact"/>
        <w:jc w:val="left"/>
        <w:rPr>
          <w:rFonts w:ascii="宋体" w:hAnsi="宋体" w:cs="宋体"/>
          <w:b/>
          <w:bCs/>
        </w:rPr>
      </w:pPr>
      <w:bookmarkStart w:id="106" w:name="_Toc988995"/>
      <w:r>
        <w:rPr>
          <w:rFonts w:ascii="宋体" w:hAnsi="宋体" w:cs="宋体"/>
          <w:b/>
          <w:bCs/>
        </w:rPr>
        <w:t>4、记账本位币</w:t>
      </w:r>
      <w:bookmarkEnd w:id="106"/>
    </w:p>
    <w:p w14:paraId="44EEAA29">
      <w:pPr>
        <w:pStyle w:val="9"/>
        <w:spacing w:before="20" w:beforeAutospacing="0" w:afterAutospacing="0" w:line="20" w:lineRule="atLeast"/>
        <w:ind w:firstLine="482"/>
        <w:rPr>
          <w:snapToGrid w:val="0"/>
          <w:sz w:val="18"/>
          <w:szCs w:val="18"/>
        </w:rPr>
      </w:pPr>
      <w:r>
        <w:rPr>
          <w:rFonts w:hint="eastAsia"/>
          <w:snapToGrid w:val="0"/>
          <w:sz w:val="18"/>
          <w:szCs w:val="18"/>
        </w:rPr>
        <w:t xml:space="preserve">本公司以人民币为记账本位币 </w:t>
      </w:r>
    </w:p>
    <w:p w14:paraId="1302AFA7">
      <w:pPr>
        <w:pStyle w:val="3"/>
        <w:spacing w:before="20" w:after="100" w:line="280" w:lineRule="exact"/>
        <w:jc w:val="left"/>
        <w:rPr>
          <w:rFonts w:ascii="宋体" w:hAnsi="宋体" w:cs="宋体"/>
          <w:b/>
          <w:bCs/>
        </w:rPr>
      </w:pPr>
      <w:bookmarkStart w:id="107" w:name="_Toc988996"/>
      <w:r>
        <w:rPr>
          <w:rFonts w:ascii="宋体" w:hAnsi="宋体" w:cs="宋体"/>
          <w:b/>
          <w:bCs/>
        </w:rPr>
        <w:t>5、重要性标准确定方法和选择依据</w:t>
      </w:r>
      <w:bookmarkEnd w:id="107"/>
    </w:p>
    <w:p w14:paraId="69195B74">
      <w:pPr>
        <w:spacing w:before="100" w:after="10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11"/>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497"/>
        <w:gridCol w:w="6356"/>
      </w:tblGrid>
      <w:tr w14:paraId="6F5F7C0C">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shd w:val="clear" w:color="auto" w:fill="D3D3D3"/>
            <w:vAlign w:val="center"/>
          </w:tcPr>
          <w:p w14:paraId="0CD65D6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6CA710B">
            <w:pPr>
              <w:spacing w:before="40" w:after="40" w:line="240" w:lineRule="exact"/>
              <w:jc w:val="center"/>
              <w:rPr>
                <w:rFonts w:ascii="宋体" w:hAnsi="宋体" w:eastAsia="宋体" w:cs="宋体"/>
                <w:sz w:val="18"/>
                <w:szCs w:val="18"/>
              </w:rPr>
            </w:pPr>
            <w:r>
              <w:rPr>
                <w:rFonts w:ascii="宋体" w:hAnsi="宋体" w:eastAsia="宋体" w:cs="宋体"/>
                <w:sz w:val="18"/>
                <w:szCs w:val="18"/>
              </w:rPr>
              <w:t>重要性标准</w:t>
            </w:r>
          </w:p>
        </w:tc>
      </w:tr>
      <w:tr w14:paraId="62B3BE1A">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vAlign w:val="center"/>
          </w:tcPr>
          <w:p w14:paraId="3D26DC62">
            <w:pPr>
              <w:spacing w:line="240" w:lineRule="exact"/>
              <w:rPr>
                <w:rFonts w:ascii="宋体" w:hAnsi="宋体" w:eastAsia="宋体" w:cs="宋体"/>
                <w:sz w:val="18"/>
                <w:szCs w:val="18"/>
              </w:rPr>
            </w:pPr>
            <w:r>
              <w:rPr>
                <w:rFonts w:ascii="宋体" w:hAnsi="宋体" w:eastAsia="宋体" w:cs="宋体"/>
                <w:sz w:val="18"/>
                <w:szCs w:val="18"/>
              </w:rPr>
              <w:t>重要的单项计提坏账准备的其他应收款项</w:t>
            </w:r>
          </w:p>
        </w:tc>
        <w:tc>
          <w:tcPr>
            <w:tcW w:w="0" w:type="auto"/>
            <w:tcBorders>
              <w:top w:val="single" w:color="auto" w:sz="2" w:space="0"/>
              <w:left w:val="single" w:color="auto" w:sz="2" w:space="0"/>
              <w:bottom w:val="single" w:color="auto" w:sz="2" w:space="0"/>
              <w:right w:val="single" w:color="auto" w:sz="2" w:space="0"/>
            </w:tcBorders>
            <w:vAlign w:val="center"/>
          </w:tcPr>
          <w:p w14:paraId="16E1778B">
            <w:pPr>
              <w:spacing w:line="240" w:lineRule="exact"/>
              <w:rPr>
                <w:rFonts w:ascii="宋体" w:hAnsi="宋体" w:eastAsia="宋体" w:cs="宋体"/>
                <w:sz w:val="18"/>
                <w:szCs w:val="18"/>
              </w:rPr>
            </w:pPr>
            <w:r>
              <w:rPr>
                <w:rFonts w:ascii="宋体" w:hAnsi="宋体" w:eastAsia="宋体" w:cs="宋体"/>
                <w:sz w:val="18"/>
                <w:szCs w:val="18"/>
              </w:rPr>
              <w:t>单项计提金额占各类应收款项坏账准备总额的1%以上且金额大于500 万元</w:t>
            </w:r>
          </w:p>
        </w:tc>
      </w:tr>
      <w:tr w14:paraId="3CDD3549">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vAlign w:val="center"/>
          </w:tcPr>
          <w:p w14:paraId="2490C489">
            <w:pPr>
              <w:spacing w:line="240" w:lineRule="exact"/>
              <w:rPr>
                <w:rFonts w:ascii="宋体" w:hAnsi="宋体" w:eastAsia="宋体" w:cs="宋体"/>
                <w:sz w:val="18"/>
                <w:szCs w:val="18"/>
              </w:rPr>
            </w:pPr>
            <w:r>
              <w:rPr>
                <w:rFonts w:ascii="宋体" w:hAnsi="宋体" w:eastAsia="宋体" w:cs="宋体"/>
                <w:sz w:val="18"/>
                <w:szCs w:val="18"/>
              </w:rPr>
              <w:t>重要的其他应收款坏账准备收回或转回</w:t>
            </w:r>
          </w:p>
        </w:tc>
        <w:tc>
          <w:tcPr>
            <w:tcW w:w="0" w:type="auto"/>
            <w:tcBorders>
              <w:top w:val="single" w:color="auto" w:sz="2" w:space="0"/>
              <w:left w:val="single" w:color="auto" w:sz="2" w:space="0"/>
              <w:bottom w:val="single" w:color="auto" w:sz="2" w:space="0"/>
              <w:right w:val="single" w:color="auto" w:sz="2" w:space="0"/>
            </w:tcBorders>
            <w:vAlign w:val="center"/>
          </w:tcPr>
          <w:p w14:paraId="60D0947C">
            <w:pPr>
              <w:spacing w:line="240" w:lineRule="exact"/>
              <w:rPr>
                <w:rFonts w:ascii="宋体" w:hAnsi="宋体" w:eastAsia="宋体" w:cs="宋体"/>
                <w:sz w:val="18"/>
                <w:szCs w:val="18"/>
              </w:rPr>
            </w:pPr>
            <w:r>
              <w:rPr>
                <w:rFonts w:ascii="宋体" w:hAnsi="宋体" w:eastAsia="宋体" w:cs="宋体"/>
                <w:sz w:val="18"/>
                <w:szCs w:val="18"/>
              </w:rPr>
              <w:t>单项收回或转回金额大于200万元</w:t>
            </w:r>
          </w:p>
        </w:tc>
      </w:tr>
      <w:tr w14:paraId="54E39885">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vAlign w:val="center"/>
          </w:tcPr>
          <w:p w14:paraId="0D51FC00">
            <w:pPr>
              <w:spacing w:line="240" w:lineRule="exact"/>
              <w:rPr>
                <w:rFonts w:ascii="宋体" w:hAnsi="宋体" w:eastAsia="宋体" w:cs="宋体"/>
                <w:sz w:val="18"/>
                <w:szCs w:val="18"/>
              </w:rPr>
            </w:pPr>
            <w:r>
              <w:rPr>
                <w:rFonts w:ascii="宋体" w:hAnsi="宋体" w:eastAsia="宋体" w:cs="宋体"/>
                <w:sz w:val="18"/>
                <w:szCs w:val="18"/>
              </w:rPr>
              <w:t>重要的应付账款</w:t>
            </w:r>
          </w:p>
        </w:tc>
        <w:tc>
          <w:tcPr>
            <w:tcW w:w="0" w:type="auto"/>
            <w:tcBorders>
              <w:top w:val="single" w:color="auto" w:sz="2" w:space="0"/>
              <w:left w:val="single" w:color="auto" w:sz="2" w:space="0"/>
              <w:bottom w:val="single" w:color="auto" w:sz="2" w:space="0"/>
              <w:right w:val="single" w:color="auto" w:sz="2" w:space="0"/>
            </w:tcBorders>
            <w:vAlign w:val="center"/>
          </w:tcPr>
          <w:p w14:paraId="1D3D549C">
            <w:pPr>
              <w:spacing w:line="240" w:lineRule="exact"/>
              <w:rPr>
                <w:rFonts w:ascii="宋体" w:hAnsi="宋体" w:eastAsia="宋体" w:cs="宋体"/>
                <w:sz w:val="18"/>
                <w:szCs w:val="18"/>
              </w:rPr>
            </w:pPr>
            <w:r>
              <w:rPr>
                <w:rFonts w:ascii="宋体" w:hAnsi="宋体" w:eastAsia="宋体" w:cs="宋体"/>
                <w:sz w:val="18"/>
                <w:szCs w:val="18"/>
              </w:rPr>
              <w:t>单项账龄超过1年的应付账款占应付账款总额的10%以上且金额大于200万元</w:t>
            </w:r>
          </w:p>
        </w:tc>
      </w:tr>
      <w:tr w14:paraId="0D4C755C">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vAlign w:val="center"/>
          </w:tcPr>
          <w:p w14:paraId="3A5F1AD5">
            <w:pPr>
              <w:spacing w:line="240" w:lineRule="exact"/>
              <w:rPr>
                <w:rFonts w:ascii="宋体" w:hAnsi="宋体" w:eastAsia="宋体" w:cs="宋体"/>
                <w:sz w:val="18"/>
                <w:szCs w:val="18"/>
              </w:rPr>
            </w:pPr>
            <w:r>
              <w:rPr>
                <w:rFonts w:ascii="宋体" w:hAnsi="宋体" w:eastAsia="宋体" w:cs="宋体"/>
                <w:sz w:val="18"/>
                <w:szCs w:val="18"/>
              </w:rPr>
              <w:t>重要的其他应付款</w:t>
            </w:r>
          </w:p>
        </w:tc>
        <w:tc>
          <w:tcPr>
            <w:tcW w:w="0" w:type="auto"/>
            <w:tcBorders>
              <w:top w:val="single" w:color="auto" w:sz="2" w:space="0"/>
              <w:left w:val="single" w:color="auto" w:sz="2" w:space="0"/>
              <w:bottom w:val="single" w:color="auto" w:sz="2" w:space="0"/>
              <w:right w:val="single" w:color="auto" w:sz="2" w:space="0"/>
            </w:tcBorders>
            <w:vAlign w:val="center"/>
          </w:tcPr>
          <w:p w14:paraId="6D952229">
            <w:pPr>
              <w:spacing w:line="240" w:lineRule="exact"/>
              <w:rPr>
                <w:rFonts w:ascii="宋体" w:hAnsi="宋体" w:eastAsia="宋体" w:cs="宋体"/>
                <w:sz w:val="18"/>
                <w:szCs w:val="18"/>
              </w:rPr>
            </w:pPr>
            <w:r>
              <w:rPr>
                <w:rFonts w:ascii="宋体" w:hAnsi="宋体" w:eastAsia="宋体" w:cs="宋体"/>
                <w:sz w:val="18"/>
                <w:szCs w:val="18"/>
              </w:rPr>
              <w:t>单项账龄超过1年的其他应付款占其他应付款总额的5%以上且金额大于1,000万元</w:t>
            </w:r>
          </w:p>
        </w:tc>
      </w:tr>
      <w:tr w14:paraId="0B17EE9F">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vAlign w:val="center"/>
          </w:tcPr>
          <w:p w14:paraId="493F04A4">
            <w:pPr>
              <w:spacing w:line="240" w:lineRule="exact"/>
              <w:rPr>
                <w:rFonts w:ascii="宋体" w:hAnsi="宋体" w:eastAsia="宋体" w:cs="宋体"/>
                <w:sz w:val="18"/>
                <w:szCs w:val="18"/>
              </w:rPr>
            </w:pPr>
            <w:r>
              <w:rPr>
                <w:rFonts w:ascii="宋体" w:hAnsi="宋体" w:eastAsia="宋体" w:cs="宋体"/>
                <w:sz w:val="18"/>
                <w:szCs w:val="18"/>
              </w:rPr>
              <w:t>重要的预计负债</w:t>
            </w:r>
          </w:p>
        </w:tc>
        <w:tc>
          <w:tcPr>
            <w:tcW w:w="0" w:type="auto"/>
            <w:tcBorders>
              <w:top w:val="single" w:color="auto" w:sz="2" w:space="0"/>
              <w:left w:val="single" w:color="auto" w:sz="2" w:space="0"/>
              <w:bottom w:val="single" w:color="auto" w:sz="2" w:space="0"/>
              <w:right w:val="single" w:color="auto" w:sz="2" w:space="0"/>
            </w:tcBorders>
            <w:vAlign w:val="center"/>
          </w:tcPr>
          <w:p w14:paraId="11A1E697">
            <w:pPr>
              <w:spacing w:line="240" w:lineRule="exact"/>
              <w:rPr>
                <w:rFonts w:ascii="宋体" w:hAnsi="宋体" w:eastAsia="宋体" w:cs="宋体"/>
                <w:sz w:val="18"/>
                <w:szCs w:val="18"/>
              </w:rPr>
            </w:pPr>
            <w:r>
              <w:rPr>
                <w:rFonts w:ascii="宋体" w:hAnsi="宋体" w:eastAsia="宋体" w:cs="宋体"/>
                <w:sz w:val="18"/>
                <w:szCs w:val="18"/>
              </w:rPr>
              <w:t>单项预计负债占预计负债总额的10%且金额大于1,000万元</w:t>
            </w:r>
          </w:p>
        </w:tc>
      </w:tr>
      <w:tr w14:paraId="5B697083">
        <w:trPr>
          <w:trHeight w:val="240" w:hRule="atLeast"/>
          <w:jc w:val="center"/>
        </w:trPr>
        <w:tc>
          <w:tcPr>
            <w:tcW w:w="3497" w:type="dxa"/>
            <w:tcBorders>
              <w:top w:val="single" w:color="auto" w:sz="2" w:space="0"/>
              <w:left w:val="single" w:color="auto" w:sz="2" w:space="0"/>
              <w:bottom w:val="single" w:color="auto" w:sz="2" w:space="0"/>
              <w:right w:val="single" w:color="auto" w:sz="2" w:space="0"/>
            </w:tcBorders>
            <w:vAlign w:val="center"/>
          </w:tcPr>
          <w:p w14:paraId="302A1358">
            <w:pPr>
              <w:spacing w:line="240" w:lineRule="exact"/>
              <w:rPr>
                <w:rFonts w:ascii="宋体" w:hAnsi="宋体" w:eastAsia="宋体" w:cs="宋体"/>
                <w:sz w:val="18"/>
                <w:szCs w:val="18"/>
              </w:rPr>
            </w:pPr>
            <w:r>
              <w:rPr>
                <w:rFonts w:ascii="宋体" w:hAnsi="宋体" w:eastAsia="宋体" w:cs="宋体"/>
                <w:sz w:val="18"/>
                <w:szCs w:val="18"/>
              </w:rPr>
              <w:t>重要子公司</w:t>
            </w:r>
          </w:p>
        </w:tc>
        <w:tc>
          <w:tcPr>
            <w:tcW w:w="0" w:type="auto"/>
            <w:tcBorders>
              <w:top w:val="single" w:color="auto" w:sz="2" w:space="0"/>
              <w:left w:val="single" w:color="auto" w:sz="2" w:space="0"/>
              <w:bottom w:val="single" w:color="auto" w:sz="2" w:space="0"/>
              <w:right w:val="single" w:color="auto" w:sz="2" w:space="0"/>
            </w:tcBorders>
            <w:vAlign w:val="center"/>
          </w:tcPr>
          <w:p w14:paraId="5934D8AE">
            <w:pPr>
              <w:spacing w:line="240" w:lineRule="exact"/>
              <w:rPr>
                <w:rFonts w:ascii="宋体" w:hAnsi="宋体" w:eastAsia="宋体" w:cs="宋体"/>
                <w:sz w:val="18"/>
                <w:szCs w:val="18"/>
              </w:rPr>
            </w:pPr>
            <w:r>
              <w:rPr>
                <w:rFonts w:ascii="宋体" w:hAnsi="宋体" w:eastAsia="宋体" w:cs="宋体"/>
                <w:sz w:val="18"/>
                <w:szCs w:val="18"/>
              </w:rPr>
              <w:t>子公司净资产占公司合并净资产30%以上</w:t>
            </w:r>
          </w:p>
        </w:tc>
      </w:tr>
    </w:tbl>
    <w:p w14:paraId="770E419B">
      <w:pPr>
        <w:pStyle w:val="3"/>
        <w:spacing w:before="100" w:after="100" w:line="280" w:lineRule="exact"/>
        <w:jc w:val="left"/>
        <w:rPr>
          <w:rFonts w:ascii="宋体" w:hAnsi="宋体" w:cs="宋体"/>
          <w:b/>
          <w:bCs/>
        </w:rPr>
      </w:pPr>
      <w:bookmarkStart w:id="108" w:name="_Toc988997"/>
      <w:r>
        <w:rPr>
          <w:rFonts w:ascii="宋体" w:hAnsi="宋体" w:cs="宋体"/>
          <w:b/>
          <w:bCs/>
        </w:rPr>
        <w:t>6、同一控制下和非同一控制下企业合并的会计处理方法</w:t>
      </w:r>
      <w:bookmarkEnd w:id="108"/>
    </w:p>
    <w:p w14:paraId="78F7C659">
      <w:pPr>
        <w:pStyle w:val="9"/>
        <w:spacing w:before="100" w:beforeAutospacing="0" w:after="100" w:afterAutospacing="0" w:line="20" w:lineRule="atLeast"/>
        <w:ind w:firstLine="482"/>
        <w:rPr>
          <w:sz w:val="18"/>
          <w:szCs w:val="18"/>
        </w:rPr>
      </w:pPr>
      <w:r>
        <w:rPr>
          <w:rFonts w:hint="eastAsia"/>
          <w:snapToGrid w:val="0"/>
          <w:sz w:val="18"/>
          <w:szCs w:val="18"/>
        </w:rPr>
        <w:t>企业合并，是指将两个或两个以上单独的企业合并形成一个报告主体的交易或事项。企业合并分为同一控制下企业合并和非同一控制下企业合并。</w:t>
      </w:r>
    </w:p>
    <w:p w14:paraId="54814C07">
      <w:pPr>
        <w:pStyle w:val="9"/>
        <w:spacing w:before="20" w:beforeAutospacing="0" w:after="20" w:afterAutospacing="0" w:line="20" w:lineRule="atLeast"/>
        <w:ind w:firstLine="482"/>
        <w:rPr>
          <w:sz w:val="18"/>
          <w:szCs w:val="18"/>
        </w:rPr>
      </w:pPr>
      <w:r>
        <w:rPr>
          <w:rFonts w:hint="eastAsia"/>
          <w:snapToGrid w:val="0"/>
          <w:sz w:val="18"/>
          <w:szCs w:val="18"/>
        </w:rPr>
        <w:t>（1）同一控制下企业合并</w:t>
      </w:r>
    </w:p>
    <w:p w14:paraId="7F4E8095">
      <w:pPr>
        <w:pStyle w:val="9"/>
        <w:spacing w:before="20" w:beforeAutospacing="0" w:after="20" w:afterAutospacing="0" w:line="20" w:lineRule="atLeast"/>
        <w:ind w:firstLine="482"/>
        <w:rPr>
          <w:sz w:val="18"/>
          <w:szCs w:val="18"/>
        </w:rPr>
      </w:pPr>
      <w:r>
        <w:rPr>
          <w:rFonts w:hint="eastAsia"/>
          <w:snapToGrid w:val="0"/>
          <w:sz w:val="18"/>
          <w:szCs w:val="18"/>
        </w:rPr>
        <w:t>参与合并的企业在合并前后均受同一方或相同的多方最终控制，且该控制并非暂时性的，为同一控制下的企业合并。同一控制下的企业合并，在合并日取得对其他参与合并企业控制权的一方为合并方，参与合并的其他企业为被合并方。合并日，是指合并方实际取得对被合并方控制权的日期。</w:t>
      </w:r>
    </w:p>
    <w:p w14:paraId="01A7BE62">
      <w:pPr>
        <w:pStyle w:val="9"/>
        <w:spacing w:before="20" w:beforeAutospacing="0" w:after="20" w:afterAutospacing="0" w:line="20" w:lineRule="atLeast"/>
        <w:ind w:firstLine="482"/>
        <w:rPr>
          <w:sz w:val="18"/>
          <w:szCs w:val="18"/>
        </w:rPr>
      </w:pPr>
      <w:r>
        <w:rPr>
          <w:rFonts w:hint="eastAsia"/>
          <w:snapToGrid w:val="0"/>
          <w:sz w:val="18"/>
          <w:szCs w:val="18"/>
        </w:rPr>
        <w:t>合并方取得的资产和负债均按合并日在被合并方的账面价值计量。合并方取得的净资产账面价值与支付的合并对价账面价值（或发行股份面值总额）的差额，调整资本公积（股本溢价）；资本公积（股本溢价）不足以冲减的，调整留存收益。</w:t>
      </w:r>
    </w:p>
    <w:p w14:paraId="1B3F5898">
      <w:pPr>
        <w:pStyle w:val="9"/>
        <w:spacing w:before="20" w:beforeAutospacing="0" w:after="20" w:afterAutospacing="0" w:line="20" w:lineRule="atLeast"/>
        <w:ind w:firstLine="482"/>
        <w:rPr>
          <w:sz w:val="18"/>
          <w:szCs w:val="18"/>
        </w:rPr>
      </w:pPr>
      <w:r>
        <w:rPr>
          <w:rFonts w:hint="eastAsia"/>
          <w:snapToGrid w:val="0"/>
          <w:sz w:val="18"/>
          <w:szCs w:val="18"/>
        </w:rPr>
        <w:t>合并方为进行企业合并发生的各项直接费用，于发生时计入当期损益。</w:t>
      </w:r>
    </w:p>
    <w:p w14:paraId="68369263">
      <w:pPr>
        <w:pStyle w:val="9"/>
        <w:spacing w:before="20" w:beforeAutospacing="0" w:after="20" w:afterAutospacing="0" w:line="20" w:lineRule="atLeast"/>
        <w:ind w:firstLine="482"/>
        <w:rPr>
          <w:sz w:val="18"/>
          <w:szCs w:val="18"/>
        </w:rPr>
      </w:pPr>
      <w:r>
        <w:rPr>
          <w:rFonts w:hint="eastAsia"/>
          <w:snapToGrid w:val="0"/>
          <w:sz w:val="18"/>
          <w:szCs w:val="18"/>
        </w:rPr>
        <w:t>（2）非同一控制下企业合并</w:t>
      </w:r>
    </w:p>
    <w:p w14:paraId="109ADD23">
      <w:pPr>
        <w:pStyle w:val="9"/>
        <w:spacing w:before="20" w:beforeAutospacing="0" w:after="20" w:afterAutospacing="0" w:line="20" w:lineRule="atLeast"/>
        <w:ind w:firstLine="482"/>
        <w:rPr>
          <w:sz w:val="18"/>
          <w:szCs w:val="18"/>
        </w:rPr>
      </w:pPr>
      <w:r>
        <w:rPr>
          <w:rFonts w:hint="eastAsia"/>
          <w:snapToGrid w:val="0"/>
          <w:sz w:val="18"/>
          <w:szCs w:val="18"/>
        </w:rPr>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14:paraId="20223892">
      <w:pPr>
        <w:pStyle w:val="9"/>
        <w:spacing w:before="20" w:beforeAutospacing="0" w:after="20" w:afterAutospacing="0" w:line="20" w:lineRule="atLeast"/>
        <w:ind w:firstLine="482"/>
        <w:jc w:val="both"/>
        <w:rPr>
          <w:sz w:val="18"/>
          <w:szCs w:val="18"/>
        </w:rPr>
      </w:pPr>
      <w:r>
        <w:rPr>
          <w:rFonts w:hint="eastAsia"/>
          <w:snapToGrid w:val="0"/>
          <w:sz w:val="18"/>
          <w:szCs w:val="18"/>
        </w:rPr>
        <w:t>对于非同一控制下的企业合并，合并成本包含购买日购买方为取得对被购买方的控制权而付出的资产、发生或承担的负债以及发行的权益性证券的公允价值，为企业合并发生的审计、法律服务、评估咨询等中介费用以及其他管理费用于发生时计入当期损益。购买方作为合并对价发行的权益性证券或债务性证券的交易费用，计入权益性证券或债务性证券的初始确认金额。所涉及的或有对价按其在购买日的公允价值计入合并成本，购买日后12个月内出现对购买日已存在情况的新的或进一步证据而需要调整或有对价的，相应调整合并商誉。购买方发生的合并成本及在合并中取得的可辨认净资产按购买日的公允价值计量。合并成本大于合并中取得的被购买方于购买日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其差额计入当期损益。</w:t>
      </w:r>
    </w:p>
    <w:p w14:paraId="5BE0FCFF">
      <w:pPr>
        <w:pStyle w:val="9"/>
        <w:spacing w:before="20" w:beforeAutospacing="0" w:after="20" w:afterAutospacing="0" w:line="20" w:lineRule="atLeast"/>
        <w:ind w:firstLine="482"/>
        <w:jc w:val="both"/>
        <w:rPr>
          <w:sz w:val="18"/>
          <w:szCs w:val="18"/>
        </w:rPr>
      </w:pPr>
      <w:r>
        <w:rPr>
          <w:rFonts w:hint="eastAsia"/>
          <w:snapToGrid w:val="0"/>
          <w:sz w:val="18"/>
          <w:szCs w:val="18"/>
        </w:rPr>
        <w:t>购买方取得被购买方的可抵扣暂时性差异，在购买日因不符合递延所得税资产确认条件而未予确认的，在购买日后12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14:paraId="6156B92C">
      <w:pPr>
        <w:pStyle w:val="9"/>
        <w:spacing w:before="20" w:beforeAutospacing="0" w:after="20" w:afterAutospacing="0" w:line="20" w:lineRule="atLeast"/>
        <w:ind w:firstLine="482"/>
        <w:jc w:val="both"/>
        <w:rPr>
          <w:sz w:val="18"/>
          <w:szCs w:val="18"/>
        </w:rPr>
      </w:pPr>
      <w:r>
        <w:rPr>
          <w:rFonts w:hint="eastAsia"/>
          <w:snapToGrid w:val="0"/>
          <w:sz w:val="18"/>
          <w:szCs w:val="18"/>
        </w:rPr>
        <w:t>通过多次交易分步实现的非同一控制下企业合并，根据《财政部关于印发企业会计准则解释第5号的通知》（财会〔2012〕19号）和《企业会计准则第33号——合并财务报表》第五十一条关于“一揽子交易”的判断标准（参见本报告第十节、五、6（2）），判断该多次交易是否属于“一揽子交易”。属于“一揽子交易”的，参考本部分前面各段描述及本报告第十节、五、22“长期股权投资”进行会计处理；不属于“一揽子交易”的，区分个别财务报表和合并财务报表进行相关会计处理：</w:t>
      </w:r>
    </w:p>
    <w:p w14:paraId="570AB476">
      <w:pPr>
        <w:pStyle w:val="9"/>
        <w:spacing w:before="20" w:beforeAutospacing="0" w:after="20" w:afterAutospacing="0" w:line="20" w:lineRule="atLeast"/>
        <w:ind w:firstLine="482"/>
        <w:jc w:val="both"/>
        <w:rPr>
          <w:sz w:val="18"/>
          <w:szCs w:val="18"/>
        </w:rPr>
      </w:pPr>
      <w:r>
        <w:rPr>
          <w:rFonts w:hint="eastAsia"/>
          <w:snapToGrid w:val="0"/>
          <w:sz w:val="18"/>
          <w:szCs w:val="18"/>
        </w:rPr>
        <w:t>在个别财务报表中，以购买日之前所持被购买方的股权投资的账面价值与购买日新增投资成本之和，作为该项投资的初始投资成本；购买日之前持有的被购买方的股权涉及其他综合收益的，在处置该项投资时将与其相关的其他综合收益采用与被购买方直接处置相关资产或负债相同的基础进行会计处理（即，除了按照权益法核算的在被购买方重新计量设定受益计划净负债或净资产导致的变动中的相应份额以外，其余转入当期投资收益）。</w:t>
      </w:r>
    </w:p>
    <w:p w14:paraId="50B9E6C9">
      <w:pPr>
        <w:pStyle w:val="9"/>
        <w:spacing w:before="100" w:beforeAutospacing="0" w:after="100" w:afterAutospacing="0" w:line="20" w:lineRule="atLeast"/>
        <w:ind w:firstLine="482"/>
        <w:jc w:val="both"/>
        <w:rPr>
          <w:sz w:val="18"/>
          <w:szCs w:val="18"/>
        </w:rPr>
      </w:pPr>
      <w:r>
        <w:rPr>
          <w:rFonts w:hint="eastAsia"/>
          <w:snapToGrid w:val="0"/>
          <w:sz w:val="18"/>
          <w:szCs w:val="18"/>
        </w:rPr>
        <w:t>在合并财务报表中，对于购买日之前持有的被购买方的股权，按照该股权在购买日的公允价值进行重新计量，公允价值与其账面价值的差额计入当期投资收益；购买日之前持有的被购买方的股权涉及其他综合收益的，与其相关的其他综合收益应当采用与被购买方直接处置相关资产或负债相同的基础进行会计处理（即，除了按照权益法核算的在被购买方重新计量设定受益计划净负债或净资产导致的变动中的相应份额以外，其余转为购买日所属当期投资收益）。</w:t>
      </w:r>
    </w:p>
    <w:p w14:paraId="06D797A5">
      <w:pPr>
        <w:pStyle w:val="3"/>
        <w:spacing w:before="100" w:after="100" w:line="280" w:lineRule="exact"/>
        <w:jc w:val="left"/>
        <w:rPr>
          <w:rFonts w:ascii="宋体" w:hAnsi="宋体" w:cs="宋体"/>
          <w:b/>
          <w:bCs/>
        </w:rPr>
      </w:pPr>
      <w:bookmarkStart w:id="109" w:name="_Toc988998"/>
      <w:r>
        <w:rPr>
          <w:rFonts w:ascii="宋体" w:hAnsi="宋体" w:cs="宋体"/>
          <w:b/>
          <w:bCs/>
        </w:rPr>
        <w:t>7、控制的判断标准和合并财务报表的编制方法</w:t>
      </w:r>
      <w:bookmarkEnd w:id="109"/>
    </w:p>
    <w:p w14:paraId="17E15AA1">
      <w:pPr>
        <w:pStyle w:val="9"/>
        <w:spacing w:before="100" w:beforeAutospacing="0" w:after="100" w:afterAutospacing="0" w:line="20" w:lineRule="atLeast"/>
        <w:ind w:firstLine="362"/>
        <w:jc w:val="both"/>
        <w:rPr>
          <w:sz w:val="18"/>
          <w:szCs w:val="18"/>
        </w:rPr>
      </w:pPr>
      <w:r>
        <w:rPr>
          <w:rFonts w:hint="eastAsia"/>
          <w:snapToGrid w:val="0"/>
          <w:sz w:val="18"/>
          <w:szCs w:val="18"/>
        </w:rPr>
        <w:t>1）控制的判断标准</w:t>
      </w:r>
    </w:p>
    <w:p w14:paraId="3B5E831E">
      <w:pPr>
        <w:pStyle w:val="9"/>
        <w:spacing w:before="20" w:beforeAutospacing="0" w:after="20" w:afterAutospacing="0" w:line="20" w:lineRule="atLeast"/>
        <w:ind w:firstLine="480"/>
        <w:jc w:val="both"/>
        <w:rPr>
          <w:sz w:val="18"/>
          <w:szCs w:val="18"/>
        </w:rPr>
      </w:pPr>
      <w:r>
        <w:rPr>
          <w:rFonts w:hint="eastAsia"/>
          <w:snapToGrid w:val="0"/>
          <w:sz w:val="18"/>
          <w:szCs w:val="18"/>
        </w:rPr>
        <w:t>合并财务报表的合并范围以控制为基础予以确定。控制是指本公司拥有对被投资方的权力，通过参与被投资方的相关活动而享有可变回报，并且有能力运用对被投资方的权力影响该回报金额。合并范围包括本公司及全部子公司。子公司，是指被本公司控制的主体。</w:t>
      </w:r>
    </w:p>
    <w:p w14:paraId="33D8EB51">
      <w:pPr>
        <w:pStyle w:val="9"/>
        <w:spacing w:before="20" w:beforeAutospacing="0" w:after="20" w:afterAutospacing="0" w:line="20" w:lineRule="atLeast"/>
        <w:ind w:firstLine="480"/>
        <w:jc w:val="both"/>
        <w:rPr>
          <w:sz w:val="18"/>
          <w:szCs w:val="18"/>
        </w:rPr>
      </w:pPr>
      <w:r>
        <w:rPr>
          <w:rFonts w:hint="eastAsia"/>
          <w:snapToGrid w:val="0"/>
          <w:sz w:val="18"/>
          <w:szCs w:val="18"/>
        </w:rPr>
        <w:t>一旦相关事实和情况的变化导致上述控制定义涉及的相关要素发生了变化，本公司将进行重新评估。</w:t>
      </w:r>
    </w:p>
    <w:p w14:paraId="23C85EF7">
      <w:pPr>
        <w:pStyle w:val="9"/>
        <w:spacing w:before="20" w:beforeAutospacing="0" w:after="20" w:afterAutospacing="0" w:line="20" w:lineRule="atLeast"/>
        <w:ind w:firstLine="362"/>
        <w:jc w:val="both"/>
        <w:rPr>
          <w:sz w:val="18"/>
          <w:szCs w:val="18"/>
        </w:rPr>
      </w:pPr>
      <w:r>
        <w:rPr>
          <w:rFonts w:hint="eastAsia"/>
          <w:snapToGrid w:val="0"/>
          <w:sz w:val="18"/>
          <w:szCs w:val="18"/>
        </w:rPr>
        <w:t>（2）合并财务报表编制的方法</w:t>
      </w:r>
    </w:p>
    <w:p w14:paraId="58EFE9B8">
      <w:pPr>
        <w:pStyle w:val="9"/>
        <w:spacing w:before="20" w:beforeAutospacing="0" w:after="20" w:afterAutospacing="0" w:line="20" w:lineRule="atLeast"/>
        <w:ind w:firstLine="480"/>
        <w:jc w:val="both"/>
        <w:rPr>
          <w:sz w:val="18"/>
          <w:szCs w:val="18"/>
        </w:rPr>
      </w:pPr>
      <w:r>
        <w:rPr>
          <w:rFonts w:hint="eastAsia"/>
          <w:snapToGrid w:val="0"/>
          <w:sz w:val="18"/>
          <w:szCs w:val="18"/>
        </w:rPr>
        <w:t>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及吸收合并下的被合并方，其自合并当期期初至合并日的经营成果和现金流量已经适当地包括在合并利润表和合并现金流量表中，并且同时调整合并财务报表的对比数。</w:t>
      </w:r>
    </w:p>
    <w:p w14:paraId="06E61655">
      <w:pPr>
        <w:pStyle w:val="9"/>
        <w:spacing w:before="20" w:beforeAutospacing="0" w:after="20" w:afterAutospacing="0" w:line="20" w:lineRule="atLeast"/>
        <w:ind w:firstLine="480"/>
        <w:jc w:val="both"/>
        <w:rPr>
          <w:sz w:val="18"/>
          <w:szCs w:val="18"/>
        </w:rPr>
      </w:pPr>
      <w:r>
        <w:rPr>
          <w:rFonts w:hint="eastAsia"/>
          <w:snapToGrid w:val="0"/>
          <w:sz w:val="18"/>
          <w:szCs w:val="18"/>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14:paraId="43F3703A">
      <w:pPr>
        <w:pStyle w:val="9"/>
        <w:spacing w:before="20" w:beforeAutospacing="0" w:after="20" w:afterAutospacing="0" w:line="20" w:lineRule="atLeast"/>
        <w:ind w:firstLine="480"/>
        <w:jc w:val="both"/>
        <w:rPr>
          <w:sz w:val="18"/>
          <w:szCs w:val="18"/>
        </w:rPr>
      </w:pPr>
      <w:r>
        <w:rPr>
          <w:rFonts w:hint="eastAsia"/>
          <w:snapToGrid w:val="0"/>
          <w:sz w:val="18"/>
          <w:szCs w:val="18"/>
        </w:rPr>
        <w:t>公司内所有重大往来余额、交易及未实现利润在合并财务报表编制时予以抵销。</w:t>
      </w:r>
    </w:p>
    <w:p w14:paraId="6D25477F">
      <w:pPr>
        <w:pStyle w:val="9"/>
        <w:spacing w:before="20" w:beforeAutospacing="0" w:after="20" w:afterAutospacing="0" w:line="20" w:lineRule="atLeast"/>
        <w:ind w:firstLine="480"/>
        <w:jc w:val="both"/>
        <w:rPr>
          <w:sz w:val="18"/>
          <w:szCs w:val="18"/>
        </w:rPr>
      </w:pPr>
      <w:r>
        <w:rPr>
          <w:rFonts w:hint="eastAsia"/>
          <w:snapToGrid w:val="0"/>
          <w:sz w:val="18"/>
          <w:szCs w:val="18"/>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润项目下以“少数股东损益”项目列示。少数股东分担的子公司的亏损超过了少数股东在该子公司期初股东权益中所享有的份额，仍冲减少数股东权益。</w:t>
      </w:r>
    </w:p>
    <w:p w14:paraId="4A34B897">
      <w:pPr>
        <w:pStyle w:val="9"/>
        <w:spacing w:before="20" w:beforeAutospacing="0" w:after="20" w:afterAutospacing="0" w:line="20" w:lineRule="atLeast"/>
        <w:ind w:firstLine="480"/>
        <w:jc w:val="both"/>
        <w:rPr>
          <w:sz w:val="18"/>
          <w:szCs w:val="18"/>
        </w:rPr>
      </w:pPr>
      <w:r>
        <w:rPr>
          <w:rFonts w:hint="eastAsia"/>
          <w:snapToGrid w:val="0"/>
          <w:sz w:val="18"/>
          <w:szCs w:val="18"/>
        </w:rPr>
        <w:t>当因处置部分股权投资或其他原因丧失了对原有子公司的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在丧失控制权时采用与被购买方直接处置相关资产或负债相同的基础进行会计处理（即，除了在该原有子公司重新计量设定受益计划净负债或净资产导致的变动以外，其余一并转为当期投资收益）。其后，对该部分剩余股权按照《企业会计准则第2号——长期股权投资》或《企业会计准则第22号——金融工具确认和计量》等相关规定进行后续计量，详见本报告第十节、五、22 “长期股权投资”或参见本报告第十节、五、11“金融工具”。</w:t>
      </w:r>
    </w:p>
    <w:p w14:paraId="639A5098">
      <w:pPr>
        <w:pStyle w:val="9"/>
        <w:spacing w:before="100" w:beforeAutospacing="0" w:after="100" w:afterAutospacing="0" w:line="20" w:lineRule="atLeast"/>
        <w:ind w:firstLine="480"/>
        <w:jc w:val="both"/>
        <w:rPr>
          <w:sz w:val="18"/>
          <w:szCs w:val="18"/>
        </w:rPr>
      </w:pPr>
      <w:r>
        <w:rPr>
          <w:rFonts w:hint="eastAsia"/>
          <w:snapToGrid w:val="0"/>
          <w:sz w:val="18"/>
          <w:szCs w:val="18"/>
        </w:rPr>
        <w:t>本公司通过多次交易分步处置对子公司股权投资直至丧失控制权的，需区分处置对子公司股权投资直至丧失控制权的各项交易是否属于一揽子交易。处置对子公司股权投资的各项交易的条款、条件以及经济影响符合以下一种或多种情况，通常表明应将多次交易事项作为一揽子交易进行会计处理：①这些交易是同时或者在考虑了彼此影响的情况下订立的；②这些交易整体才能达成一项完整的商业结果；③一项交易的发生取决于其他至少一项交易的发生；④一项交易单独看是不经济的，但是和其他交易一并考虑时是经济的。不属于一揽子交易的，对其中的每一项交易视情况分别按照“不丧失控制权的情况下部分处置对子公司的长期股权投资”（详见本报告第十节、五、22（2）④）和“因处置部分股权投资或其他原因丧失了对原有子公司的控制权”（详见前段）适用的原则进行会计处理。处置对子公司股权投资直至丧失控制权的各项交易属于一揽子交易的，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3212CBF5">
      <w:pPr>
        <w:pStyle w:val="3"/>
        <w:spacing w:before="100" w:after="100" w:line="280" w:lineRule="exact"/>
        <w:jc w:val="left"/>
        <w:rPr>
          <w:rFonts w:ascii="宋体" w:hAnsi="宋体" w:cs="宋体"/>
          <w:b/>
          <w:bCs/>
        </w:rPr>
      </w:pPr>
      <w:bookmarkStart w:id="110" w:name="_Toc988999"/>
      <w:r>
        <w:rPr>
          <w:rFonts w:ascii="宋体" w:hAnsi="宋体" w:cs="宋体"/>
          <w:b/>
          <w:bCs/>
        </w:rPr>
        <w:t>8、合营安排分类及共同经营会计处理方法</w:t>
      </w:r>
      <w:bookmarkEnd w:id="110"/>
    </w:p>
    <w:p w14:paraId="16274FB2">
      <w:pPr>
        <w:pStyle w:val="9"/>
        <w:spacing w:before="100" w:beforeAutospacing="0" w:after="100" w:afterAutospacing="0" w:line="20" w:lineRule="atLeast"/>
        <w:ind w:firstLine="482"/>
        <w:jc w:val="both"/>
        <w:rPr>
          <w:sz w:val="18"/>
          <w:szCs w:val="18"/>
        </w:rPr>
      </w:pPr>
      <w:r>
        <w:rPr>
          <w:rFonts w:hint="eastAsia"/>
          <w:sz w:val="18"/>
          <w:szCs w:val="18"/>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14:paraId="7D292365">
      <w:pPr>
        <w:pStyle w:val="9"/>
        <w:spacing w:before="20" w:beforeAutospacing="0" w:after="20" w:afterAutospacing="0" w:line="20" w:lineRule="atLeast"/>
        <w:ind w:firstLine="482"/>
        <w:jc w:val="both"/>
        <w:rPr>
          <w:sz w:val="18"/>
          <w:szCs w:val="18"/>
        </w:rPr>
      </w:pPr>
      <w:r>
        <w:rPr>
          <w:rFonts w:hint="eastAsia"/>
          <w:snapToGrid w:val="0"/>
          <w:sz w:val="18"/>
          <w:szCs w:val="18"/>
        </w:rPr>
        <w:t>本公司对合营企业的投资采用权益法核算，按照“本报告第十节、五、22（2）②权益法核算的长期股权投资”中所述的会计政策处理。</w:t>
      </w:r>
    </w:p>
    <w:p w14:paraId="2E3FE1B0">
      <w:pPr>
        <w:pStyle w:val="9"/>
        <w:spacing w:before="20" w:beforeAutospacing="0" w:after="20" w:afterAutospacing="0" w:line="20" w:lineRule="atLeast"/>
        <w:ind w:firstLine="482"/>
        <w:jc w:val="both"/>
        <w:rPr>
          <w:sz w:val="18"/>
          <w:szCs w:val="18"/>
        </w:rPr>
      </w:pPr>
      <w:r>
        <w:rPr>
          <w:rFonts w:hint="eastAsia"/>
          <w:sz w:val="18"/>
          <w:szCs w:val="18"/>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认本公司单独所发生的费用，以及按本公司份额确认共同经营发生的费用。</w:t>
      </w:r>
    </w:p>
    <w:p w14:paraId="63C1EA7D">
      <w:pPr>
        <w:pStyle w:val="9"/>
        <w:spacing w:before="20" w:beforeAutospacing="0" w:after="20" w:afterAutospacing="0" w:line="20" w:lineRule="atLeast"/>
        <w:ind w:firstLine="482"/>
        <w:jc w:val="both"/>
        <w:rPr>
          <w:sz w:val="18"/>
          <w:szCs w:val="18"/>
        </w:rPr>
      </w:pPr>
      <w:r>
        <w:rPr>
          <w:rFonts w:hint="eastAsia"/>
          <w:snapToGrid w:val="0"/>
          <w:sz w:val="18"/>
          <w:szCs w:val="18"/>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8号——资产减值》等规定的资产减值损失的，对于由本公司向共同经营投出或出售资产的情况，本公司全额确认该损失；对于本公司自共同经营购买资产的情况，本公司按承担的份额确认该损失。</w:t>
      </w:r>
    </w:p>
    <w:p w14:paraId="214D972D">
      <w:pPr>
        <w:pStyle w:val="3"/>
        <w:spacing w:before="100" w:after="100" w:line="280" w:lineRule="exact"/>
        <w:jc w:val="left"/>
        <w:rPr>
          <w:rFonts w:ascii="宋体" w:hAnsi="宋体" w:cs="宋体"/>
          <w:b/>
          <w:bCs/>
        </w:rPr>
      </w:pPr>
      <w:bookmarkStart w:id="111" w:name="_Toc989000"/>
      <w:r>
        <w:rPr>
          <w:rFonts w:ascii="宋体" w:hAnsi="宋体" w:cs="宋体"/>
          <w:b/>
          <w:bCs/>
        </w:rPr>
        <w:t>9、现金及现金等价物的确定标准</w:t>
      </w:r>
      <w:bookmarkEnd w:id="111"/>
    </w:p>
    <w:p w14:paraId="38AD640D">
      <w:pPr>
        <w:pStyle w:val="9"/>
        <w:spacing w:before="100" w:beforeAutospacing="0" w:after="100" w:afterAutospacing="0" w:line="20" w:lineRule="atLeast"/>
        <w:ind w:firstLine="482"/>
        <w:jc w:val="both"/>
        <w:rPr>
          <w:sz w:val="18"/>
          <w:szCs w:val="18"/>
        </w:rPr>
      </w:pPr>
      <w:r>
        <w:rPr>
          <w:rFonts w:hint="eastAsia"/>
          <w:sz w:val="18"/>
          <w:szCs w:val="18"/>
        </w:rPr>
        <w:t>本公司现金及现金等价物包括库存现金、可以随时用于支付的存款以及本公司持有的期限短（一般为从购买日起，三个月内到期）、流动性强、易于转换为已知金额的现金、价值变动风险很小的投资。</w:t>
      </w:r>
    </w:p>
    <w:p w14:paraId="127B5818">
      <w:pPr>
        <w:pStyle w:val="3"/>
        <w:spacing w:before="100" w:after="100" w:line="280" w:lineRule="exact"/>
      </w:pPr>
      <w:bookmarkStart w:id="112" w:name="_Toc989001"/>
      <w:r>
        <w:rPr>
          <w:rFonts w:ascii="宋体" w:hAnsi="宋体" w:cs="宋体"/>
          <w:b/>
          <w:bCs/>
        </w:rPr>
        <w:t>10、外币业务和外币报表折算</w:t>
      </w:r>
      <w:bookmarkEnd w:id="112"/>
    </w:p>
    <w:p w14:paraId="09E6B2A8">
      <w:pPr>
        <w:pStyle w:val="3"/>
        <w:spacing w:before="100" w:after="100" w:line="280" w:lineRule="exact"/>
        <w:jc w:val="left"/>
        <w:rPr>
          <w:rFonts w:ascii="宋体" w:hAnsi="宋体" w:cs="宋体"/>
          <w:b/>
          <w:bCs/>
        </w:rPr>
      </w:pPr>
      <w:bookmarkStart w:id="113" w:name="_Toc989002"/>
      <w:r>
        <w:rPr>
          <w:rFonts w:ascii="宋体" w:hAnsi="宋体" w:cs="宋体"/>
          <w:b/>
          <w:bCs/>
        </w:rPr>
        <w:t>11、金融工具</w:t>
      </w:r>
      <w:bookmarkEnd w:id="113"/>
    </w:p>
    <w:p w14:paraId="72609837">
      <w:pPr>
        <w:pStyle w:val="9"/>
        <w:spacing w:before="100" w:beforeAutospacing="0" w:after="100" w:afterAutospacing="0" w:line="20" w:lineRule="atLeast"/>
        <w:ind w:firstLine="482"/>
        <w:jc w:val="both"/>
        <w:rPr>
          <w:sz w:val="18"/>
          <w:szCs w:val="18"/>
        </w:rPr>
      </w:pPr>
      <w:r>
        <w:rPr>
          <w:rFonts w:hint="eastAsia"/>
          <w:sz w:val="18"/>
          <w:szCs w:val="18"/>
        </w:rPr>
        <w:t>金融工具，是指形成一方的金融资产并形成其他方的金融负债或权益工具的合同。当本公司成为金融工具合同的一方时，确认相关的金融资产或金融负债。</w:t>
      </w:r>
    </w:p>
    <w:p w14:paraId="7EBC773A">
      <w:pPr>
        <w:pStyle w:val="9"/>
        <w:spacing w:before="0" w:beforeAutospacing="0" w:after="0" w:afterAutospacing="0" w:line="20" w:lineRule="atLeast"/>
        <w:ind w:firstLine="480"/>
        <w:jc w:val="both"/>
        <w:rPr>
          <w:sz w:val="18"/>
          <w:szCs w:val="18"/>
        </w:rPr>
      </w:pPr>
      <w:r>
        <w:rPr>
          <w:rFonts w:hint="eastAsia"/>
          <w:snapToGrid w:val="0"/>
          <w:sz w:val="18"/>
          <w:szCs w:val="18"/>
        </w:rPr>
        <w:t>金融资产和金融负债在初始确认时以公允价值计量：①对于以公允价值计量且其变动计入当期损益的金融资产和金融负债，相关交易费用直接计入当期损益；②对于其他类别的金融资产和金融负债，相关交易费用计入初始确认金额。金融资产和金融负债的后续计量取决于其分类。</w:t>
      </w:r>
    </w:p>
    <w:p w14:paraId="1F36F903">
      <w:pPr>
        <w:pStyle w:val="9"/>
        <w:spacing w:before="0" w:beforeAutospacing="0" w:after="0" w:afterAutospacing="0" w:line="20" w:lineRule="atLeast"/>
        <w:ind w:firstLine="480"/>
        <w:jc w:val="both"/>
        <w:rPr>
          <w:sz w:val="18"/>
          <w:szCs w:val="18"/>
        </w:rPr>
      </w:pPr>
      <w:r>
        <w:rPr>
          <w:rFonts w:hint="eastAsia"/>
          <w:snapToGrid w:val="0"/>
          <w:sz w:val="18"/>
          <w:szCs w:val="18"/>
        </w:rPr>
        <w:t>金融资产或金融负债满足下列条件之一的，表明持有目的是交易性的：①取得相关金融资产或承担相关金融负债的目的，主要是为了近期内出售或回购；②初始确认时属于集中管理的可辨认金融工具组合的一部分，且有客观证据表明近期实际存在短期获利模式；③属于衍生工具，但符合财务担保合同定义的衍生工具以及被指定为有效套期工具的衍生工具除外。</w:t>
      </w:r>
    </w:p>
    <w:p w14:paraId="1AFBB532">
      <w:pPr>
        <w:pStyle w:val="9"/>
        <w:spacing w:before="0" w:beforeAutospacing="0" w:after="0" w:afterAutospacing="0" w:line="20" w:lineRule="atLeast"/>
        <w:ind w:firstLine="362"/>
        <w:jc w:val="both"/>
        <w:rPr>
          <w:sz w:val="18"/>
          <w:szCs w:val="18"/>
        </w:rPr>
      </w:pPr>
      <w:r>
        <w:rPr>
          <w:rFonts w:hint="eastAsia"/>
          <w:snapToGrid w:val="0"/>
          <w:sz w:val="18"/>
          <w:szCs w:val="18"/>
        </w:rPr>
        <w:t>（1）债务工具</w:t>
      </w:r>
    </w:p>
    <w:p w14:paraId="4562EF1E">
      <w:pPr>
        <w:pStyle w:val="9"/>
        <w:spacing w:before="0" w:beforeAutospacing="0" w:after="0" w:afterAutospacing="0" w:line="20" w:lineRule="atLeast"/>
        <w:ind w:firstLine="480"/>
        <w:jc w:val="both"/>
        <w:rPr>
          <w:sz w:val="18"/>
          <w:szCs w:val="18"/>
        </w:rPr>
      </w:pPr>
      <w:r>
        <w:rPr>
          <w:rFonts w:hint="eastAsia"/>
          <w:sz w:val="18"/>
          <w:szCs w:val="18"/>
        </w:rPr>
        <w:t>债务工具是指从发行方角度分析符合金融负债定义的工具。债务工具的分类和后续计量取决于本公司管理金融资产的业务模式，以及金融资产的合同现金流量特征。不能通过现金流量特征测试的，直接分类为以公允价值计量且其变动计入当期损益的金融资产；能够通过现金流量特征测试的，其分类取决于管理金融资产的业务模式，以及是否将其指定为以公允价值计量且其变动计入当期损益的金融资产。</w:t>
      </w:r>
    </w:p>
    <w:p w14:paraId="7F7C3553">
      <w:pPr>
        <w:pStyle w:val="9"/>
        <w:spacing w:before="0" w:beforeAutospacing="0" w:after="0" w:afterAutospacing="0" w:line="20" w:lineRule="atLeast"/>
        <w:ind w:firstLine="480"/>
        <w:jc w:val="both"/>
        <w:rPr>
          <w:sz w:val="18"/>
          <w:szCs w:val="18"/>
        </w:rPr>
      </w:pPr>
      <w:r>
        <w:rPr>
          <w:rFonts w:hint="eastAsia"/>
          <w:snapToGrid w:val="0"/>
          <w:sz w:val="18"/>
          <w:szCs w:val="18"/>
        </w:rPr>
        <w:t>①以摊余成本计量。本公司管理此类金融资产的业务模式为以收取合同现金流量为目标，且此类金融资产的合同现金流量特征与基本借贷安排相一致，即在特定日期产生的现金流量，仅为对本金和以未偿付本金金额为基础的利息的支付，同时并未指定此类金融资产为以公允价值计量且其变动计入当期损益。本公司对于此类金融资产按照实际利率法确认利息收入。此类金融资产因终止确认产生的利得或损失以及因减值导致的损失直接计入当期损益。</w:t>
      </w:r>
    </w:p>
    <w:p w14:paraId="5B16B2C7">
      <w:pPr>
        <w:pStyle w:val="9"/>
        <w:spacing w:before="0" w:beforeAutospacing="0" w:after="0" w:afterAutospacing="0" w:line="20" w:lineRule="atLeast"/>
        <w:ind w:firstLine="480"/>
        <w:jc w:val="both"/>
        <w:rPr>
          <w:sz w:val="18"/>
          <w:szCs w:val="18"/>
        </w:rPr>
      </w:pPr>
      <w:r>
        <w:rPr>
          <w:rFonts w:hint="eastAsia"/>
          <w:snapToGrid w:val="0"/>
          <w:sz w:val="18"/>
          <w:szCs w:val="18"/>
        </w:rPr>
        <w:t>②以公允价值计量且其变动计入其他综合收益。本公司管理此类金融资产的业务模式为既以收取合同现金流量为目标又以出售为目标，且此类金融资产的合同现金流量特征与基本借贷安排相一致，即在特定日期产生的现金流量，仅为对本金和以未偿付本金金额为基础的利息的支付，同时并未指定此类金融资产为以公允价值计量且其变动计入当期损益。此类金融资产按照公允价值计量且其变动计入其他综合收益，但减值损失或利得、汇兑损益和按照实际利率法计算的利息收入计入当期损益。此类金融资产终止确认时，累计计入其他综合收益的公允价值变动将结转计入当期损益。此类金融资产列示为其他债权投资。</w:t>
      </w:r>
    </w:p>
    <w:p w14:paraId="10D55F6D">
      <w:pPr>
        <w:pStyle w:val="9"/>
        <w:spacing w:before="0" w:beforeAutospacing="0" w:after="0" w:afterAutospacing="0" w:line="20" w:lineRule="atLeast"/>
        <w:ind w:firstLine="480"/>
        <w:jc w:val="both"/>
        <w:rPr>
          <w:sz w:val="18"/>
          <w:szCs w:val="18"/>
        </w:rPr>
      </w:pPr>
      <w:r>
        <w:rPr>
          <w:rFonts w:hint="eastAsia"/>
          <w:snapToGrid w:val="0"/>
          <w:sz w:val="18"/>
          <w:szCs w:val="18"/>
        </w:rPr>
        <w:t>③以公允价值计量且其变动计入当期损益。本公司将持有的未划分为以摊余成本计量和以公允价值计量且其变动计入其他综合收益的债务工具，以公允价值计量且其变动计入当期损益，分类为以公允价值计量且其变动计入当期损益的金融资产，列示为交易性金融资产或其他非流动金融资产。</w:t>
      </w:r>
    </w:p>
    <w:p w14:paraId="64BA97FC">
      <w:pPr>
        <w:pStyle w:val="9"/>
        <w:spacing w:before="0" w:beforeAutospacing="0" w:after="0" w:afterAutospacing="0" w:line="20" w:lineRule="atLeast"/>
        <w:ind w:firstLine="362"/>
        <w:jc w:val="both"/>
        <w:rPr>
          <w:sz w:val="18"/>
          <w:szCs w:val="18"/>
        </w:rPr>
      </w:pPr>
      <w:r>
        <w:rPr>
          <w:rFonts w:hint="eastAsia"/>
          <w:snapToGrid w:val="0"/>
          <w:sz w:val="18"/>
          <w:szCs w:val="18"/>
        </w:rPr>
        <w:t>（2）权益工具</w:t>
      </w:r>
    </w:p>
    <w:p w14:paraId="65659202">
      <w:pPr>
        <w:pStyle w:val="9"/>
        <w:spacing w:before="0" w:beforeAutospacing="0" w:after="0" w:afterAutospacing="0" w:line="20" w:lineRule="atLeast"/>
        <w:ind w:firstLine="480"/>
        <w:jc w:val="both"/>
        <w:rPr>
          <w:sz w:val="18"/>
          <w:szCs w:val="18"/>
        </w:rPr>
      </w:pPr>
      <w:r>
        <w:rPr>
          <w:rFonts w:hint="eastAsia"/>
          <w:sz w:val="18"/>
          <w:szCs w:val="18"/>
        </w:rPr>
        <w:t>权益工具是指从发行方角度分析符合权益工具定义的工具。权益工具投资以公允价值计量且其变动计入当期损益，列示为交易性金融资产，但本公司管理层指定为以公允价值计量且其变动计入其他综合收益除外。指定为以公允价值计量且其变动计入综合收益的，列示为其他权益工具投资，相关公允价值变动不得结转至当期损益，且该指定一经作出不得撤销。相关股利收入计入当期损益。其他权益工具投资不计提减值准备，终止确认时，之前计入其他综合收益的累计利得或损失从其他综合收益转出，计入留存收益。</w:t>
      </w:r>
    </w:p>
    <w:p w14:paraId="049F5369">
      <w:pPr>
        <w:pStyle w:val="9"/>
        <w:spacing w:before="0" w:beforeAutospacing="0" w:after="0" w:afterAutospacing="0" w:line="20" w:lineRule="atLeast"/>
        <w:ind w:firstLine="362"/>
        <w:jc w:val="both"/>
        <w:rPr>
          <w:sz w:val="18"/>
          <w:szCs w:val="18"/>
        </w:rPr>
      </w:pPr>
      <w:r>
        <w:rPr>
          <w:rFonts w:hint="eastAsia"/>
          <w:snapToGrid w:val="0"/>
          <w:sz w:val="18"/>
          <w:szCs w:val="18"/>
        </w:rPr>
        <w:t>（3）金融负债</w:t>
      </w:r>
    </w:p>
    <w:p w14:paraId="6F4FA035">
      <w:pPr>
        <w:pStyle w:val="9"/>
        <w:spacing w:before="0" w:beforeAutospacing="0" w:after="0" w:afterAutospacing="0" w:line="20" w:lineRule="atLeast"/>
        <w:ind w:firstLine="480"/>
        <w:jc w:val="both"/>
        <w:rPr>
          <w:sz w:val="18"/>
          <w:szCs w:val="18"/>
        </w:rPr>
      </w:pPr>
      <w:r>
        <w:rPr>
          <w:rFonts w:hint="eastAsia"/>
          <w:sz w:val="18"/>
          <w:szCs w:val="18"/>
        </w:rPr>
        <w:t>金融负债于初始确认时分类为以公允价值计量且其变动计入当期损益的金融负债及其他金融负债。</w:t>
      </w:r>
    </w:p>
    <w:p w14:paraId="5CC212E1">
      <w:pPr>
        <w:pStyle w:val="9"/>
        <w:spacing w:before="0" w:beforeAutospacing="0" w:after="0" w:afterAutospacing="0" w:line="20" w:lineRule="atLeast"/>
        <w:ind w:firstLine="480"/>
        <w:jc w:val="both"/>
        <w:rPr>
          <w:sz w:val="18"/>
          <w:szCs w:val="18"/>
        </w:rPr>
      </w:pPr>
      <w:r>
        <w:rPr>
          <w:rFonts w:hint="eastAsia"/>
          <w:snapToGrid w:val="0"/>
          <w:sz w:val="18"/>
          <w:szCs w:val="18"/>
        </w:rPr>
        <w:t>以公允价值计量且其变动计入当期损益的金融负债，包括交易性金融负债和指定为以公允价值计量且其变动计入当期损益的金融负债。满足以下条件之一时，金融负债可在初始计量时指定为以公允价值计量且其变动计入当期损益的金融负债：①该项指定能够消除或显著减少会计错配；②根据正式书面文件载明的风险管理或投资策略，以公允价值为基础对金融负债组合或金融资产和金融负债组合进行管理和业绩评价，并在公司内部以此为基础向关键管理人员报告。该指定一经作出，不得撤销。</w:t>
      </w:r>
    </w:p>
    <w:p w14:paraId="1C5B24DF">
      <w:pPr>
        <w:pStyle w:val="9"/>
        <w:spacing w:before="0" w:beforeAutospacing="0" w:after="0" w:afterAutospacing="0" w:line="20" w:lineRule="atLeast"/>
        <w:ind w:firstLine="480"/>
        <w:jc w:val="both"/>
        <w:rPr>
          <w:sz w:val="18"/>
          <w:szCs w:val="18"/>
        </w:rPr>
      </w:pPr>
      <w:r>
        <w:rPr>
          <w:rFonts w:hint="eastAsia"/>
          <w:sz w:val="18"/>
          <w:szCs w:val="18"/>
        </w:rPr>
        <w:t>指定为以公允价值计量且变动计入当期损益的金融负债，由公司自身信用风险变动引起的公允价值的变动金额，计入其他综合收益；其他公允价值变动，计入当期损益。该金融负债终止确认时，之前计入其他综合收益的累计利得或损失从其他综合收益转出，计入留存收益。</w:t>
      </w:r>
    </w:p>
    <w:p w14:paraId="6FA23E66">
      <w:pPr>
        <w:pStyle w:val="9"/>
        <w:spacing w:before="0" w:beforeAutospacing="0" w:after="0" w:afterAutospacing="0" w:line="20" w:lineRule="atLeast"/>
        <w:ind w:firstLine="480"/>
        <w:jc w:val="both"/>
        <w:rPr>
          <w:sz w:val="18"/>
          <w:szCs w:val="18"/>
        </w:rPr>
      </w:pPr>
      <w:r>
        <w:rPr>
          <w:rFonts w:hint="eastAsia"/>
          <w:sz w:val="18"/>
          <w:szCs w:val="18"/>
        </w:rPr>
        <w:t>本公司其他金融负债主要包括短期借款、长期借款。对于此类金融负债，采用实际利率法，按照摊余成本进行后续计量。</w:t>
      </w:r>
    </w:p>
    <w:p w14:paraId="3E40C285">
      <w:pPr>
        <w:pStyle w:val="9"/>
        <w:spacing w:before="0" w:beforeAutospacing="0" w:after="0" w:afterAutospacing="0" w:line="20" w:lineRule="atLeast"/>
        <w:ind w:firstLine="362"/>
        <w:jc w:val="both"/>
        <w:rPr>
          <w:sz w:val="18"/>
          <w:szCs w:val="18"/>
        </w:rPr>
      </w:pPr>
      <w:r>
        <w:rPr>
          <w:rFonts w:hint="eastAsia"/>
          <w:snapToGrid w:val="0"/>
          <w:sz w:val="18"/>
          <w:szCs w:val="18"/>
        </w:rPr>
        <w:t>（4）金融资产和金融负债的终止确认</w:t>
      </w:r>
    </w:p>
    <w:p w14:paraId="55733EB5">
      <w:pPr>
        <w:pStyle w:val="9"/>
        <w:spacing w:before="0" w:beforeAutospacing="0" w:after="0" w:afterAutospacing="0" w:line="20" w:lineRule="atLeast"/>
        <w:ind w:firstLine="480"/>
        <w:jc w:val="both"/>
        <w:rPr>
          <w:sz w:val="18"/>
          <w:szCs w:val="18"/>
        </w:rPr>
      </w:pPr>
      <w:r>
        <w:rPr>
          <w:rFonts w:hint="eastAsia"/>
          <w:sz w:val="18"/>
          <w:szCs w:val="18"/>
        </w:rPr>
        <w:t>金融资产满足下列条件之一的，予以终止确认：</w:t>
      </w:r>
    </w:p>
    <w:p w14:paraId="41399027">
      <w:pPr>
        <w:pStyle w:val="9"/>
        <w:spacing w:before="0" w:beforeAutospacing="0" w:after="0" w:afterAutospacing="0" w:line="20" w:lineRule="atLeast"/>
        <w:ind w:firstLine="480"/>
        <w:jc w:val="both"/>
        <w:rPr>
          <w:sz w:val="18"/>
          <w:szCs w:val="18"/>
        </w:rPr>
      </w:pPr>
      <w:r>
        <w:rPr>
          <w:rFonts w:hint="eastAsia"/>
          <w:snapToGrid w:val="0"/>
          <w:sz w:val="18"/>
          <w:szCs w:val="18"/>
        </w:rPr>
        <w:t>①收取该金融资产现金流量的合同权利终止；</w:t>
      </w:r>
    </w:p>
    <w:p w14:paraId="585BFF4F">
      <w:pPr>
        <w:pStyle w:val="9"/>
        <w:spacing w:before="0" w:beforeAutospacing="0" w:after="0" w:afterAutospacing="0" w:line="20" w:lineRule="atLeast"/>
        <w:ind w:firstLine="480"/>
        <w:jc w:val="both"/>
        <w:rPr>
          <w:sz w:val="18"/>
          <w:szCs w:val="18"/>
        </w:rPr>
      </w:pPr>
      <w:r>
        <w:rPr>
          <w:rFonts w:hint="eastAsia"/>
          <w:snapToGrid w:val="0"/>
          <w:sz w:val="18"/>
          <w:szCs w:val="18"/>
        </w:rPr>
        <w:t>②该金融资产已转移，且本公司将金融资产所有权上几乎所有的风险和报酬转移给转入方；</w:t>
      </w:r>
    </w:p>
    <w:p w14:paraId="5C5E5D0D">
      <w:pPr>
        <w:pStyle w:val="9"/>
        <w:spacing w:before="0" w:beforeAutospacing="0" w:after="0" w:afterAutospacing="0" w:line="20" w:lineRule="atLeast"/>
        <w:ind w:firstLine="480"/>
        <w:jc w:val="both"/>
        <w:rPr>
          <w:sz w:val="18"/>
          <w:szCs w:val="18"/>
        </w:rPr>
      </w:pPr>
      <w:r>
        <w:rPr>
          <w:rFonts w:hint="eastAsia"/>
          <w:snapToGrid w:val="0"/>
          <w:sz w:val="18"/>
          <w:szCs w:val="18"/>
        </w:rPr>
        <w:t>③该金融资产已转移，虽然本公司既没有转移也没有保留金融资产所有权上几乎所有的风险和报酬，但是放弃了对该金融资产的控制。</w:t>
      </w:r>
    </w:p>
    <w:p w14:paraId="2B24B662">
      <w:pPr>
        <w:pStyle w:val="9"/>
        <w:spacing w:before="0" w:beforeAutospacing="0" w:after="0" w:afterAutospacing="0" w:line="20" w:lineRule="atLeast"/>
        <w:ind w:firstLine="480"/>
        <w:jc w:val="both"/>
        <w:rPr>
          <w:sz w:val="18"/>
          <w:szCs w:val="18"/>
        </w:rPr>
      </w:pPr>
      <w:r>
        <w:rPr>
          <w:rFonts w:hint="eastAsia"/>
          <w:sz w:val="18"/>
          <w:szCs w:val="18"/>
        </w:rPr>
        <w:t>金融负债（或其一部分）的现时义务已经解除的，本公司终止确认该金融负债（或该部分金融负债）。</w:t>
      </w:r>
    </w:p>
    <w:p w14:paraId="3A758E57">
      <w:pPr>
        <w:pStyle w:val="9"/>
        <w:spacing w:before="0" w:beforeAutospacing="0" w:after="0" w:afterAutospacing="0" w:line="20" w:lineRule="atLeast"/>
        <w:ind w:firstLine="362"/>
        <w:jc w:val="both"/>
        <w:rPr>
          <w:sz w:val="18"/>
          <w:szCs w:val="18"/>
        </w:rPr>
      </w:pPr>
      <w:r>
        <w:rPr>
          <w:rFonts w:hint="eastAsia"/>
          <w:snapToGrid w:val="0"/>
          <w:sz w:val="18"/>
          <w:szCs w:val="18"/>
        </w:rPr>
        <w:t>（5）金融工具的减值</w:t>
      </w:r>
    </w:p>
    <w:p w14:paraId="4AE2770C">
      <w:pPr>
        <w:pStyle w:val="9"/>
        <w:spacing w:before="0" w:beforeAutospacing="0" w:after="0" w:afterAutospacing="0" w:line="20" w:lineRule="atLeast"/>
        <w:ind w:firstLine="480"/>
        <w:jc w:val="both"/>
        <w:rPr>
          <w:sz w:val="18"/>
          <w:szCs w:val="18"/>
        </w:rPr>
      </w:pPr>
      <w:r>
        <w:rPr>
          <w:rFonts w:hint="eastAsia"/>
          <w:sz w:val="18"/>
          <w:szCs w:val="18"/>
        </w:rPr>
        <w:t>本公司以预期信用损失为基础进行金融工具减值会计处理并确认损失准备。预期信用损失，是指以发生违约的风险为权重的金融工具信用损失的加权平均值。信用损失，是指按照原实际利率折现的、根据合同应收的所有合同现金流量与预期收取的所有现金流量之间的差额，即全部现金短缺的现值。</w:t>
      </w:r>
    </w:p>
    <w:p w14:paraId="6CFDE039">
      <w:pPr>
        <w:pStyle w:val="9"/>
        <w:spacing w:before="0" w:beforeAutospacing="0" w:after="0" w:afterAutospacing="0" w:line="20" w:lineRule="atLeast"/>
        <w:ind w:firstLine="480"/>
        <w:jc w:val="both"/>
        <w:rPr>
          <w:sz w:val="18"/>
          <w:szCs w:val="18"/>
        </w:rPr>
      </w:pPr>
      <w:r>
        <w:rPr>
          <w:rFonts w:hint="eastAsia"/>
          <w:sz w:val="18"/>
          <w:szCs w:val="18"/>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本公司按照下列方法确定相关金融工具的预期信用损失：</w:t>
      </w:r>
    </w:p>
    <w:p w14:paraId="628FD4E1">
      <w:pPr>
        <w:pStyle w:val="9"/>
        <w:spacing w:before="0" w:beforeAutospacing="0" w:after="0" w:afterAutospacing="0" w:line="20" w:lineRule="atLeast"/>
        <w:ind w:firstLine="480"/>
        <w:jc w:val="both"/>
        <w:rPr>
          <w:sz w:val="18"/>
          <w:szCs w:val="18"/>
        </w:rPr>
      </w:pPr>
      <w:r>
        <w:rPr>
          <w:rFonts w:hint="eastAsia"/>
          <w:snapToGrid w:val="0"/>
          <w:sz w:val="18"/>
          <w:szCs w:val="18"/>
        </w:rPr>
        <w:t>①对于金融资产，信用损失为本公司应收取的合同现金流量与预期收取的现金流量之间差额的现值；</w:t>
      </w:r>
    </w:p>
    <w:p w14:paraId="42E6A46A">
      <w:pPr>
        <w:pStyle w:val="9"/>
        <w:spacing w:before="0" w:beforeAutospacing="0" w:after="0" w:afterAutospacing="0" w:line="20" w:lineRule="atLeast"/>
        <w:ind w:firstLine="480"/>
        <w:jc w:val="both"/>
        <w:rPr>
          <w:sz w:val="18"/>
          <w:szCs w:val="18"/>
        </w:rPr>
      </w:pPr>
      <w:r>
        <w:rPr>
          <w:rFonts w:hint="eastAsia"/>
          <w:snapToGrid w:val="0"/>
          <w:sz w:val="18"/>
          <w:szCs w:val="18"/>
        </w:rPr>
        <w:t>②对于租赁应收款项，信用损失为本公司应收取的合同现金流量与预期收取的现金流量之间差额的现值；</w:t>
      </w:r>
    </w:p>
    <w:p w14:paraId="253E46D5">
      <w:pPr>
        <w:pStyle w:val="9"/>
        <w:spacing w:before="0" w:beforeAutospacing="0" w:after="0" w:afterAutospacing="0" w:line="20" w:lineRule="atLeast"/>
        <w:ind w:firstLine="480"/>
        <w:jc w:val="both"/>
        <w:rPr>
          <w:sz w:val="18"/>
          <w:szCs w:val="18"/>
        </w:rPr>
      </w:pPr>
      <w:r>
        <w:rPr>
          <w:rFonts w:hint="eastAsia"/>
          <w:snapToGrid w:val="0"/>
          <w:sz w:val="18"/>
          <w:szCs w:val="18"/>
        </w:rPr>
        <w:t>③对于未提用的贷款承诺，信用损失为在贷款承诺持有人提用相应贷款的情况下，本公司应收取的合同现金流量与预期收取的现金流量之间差额的现值。本公司对贷款承诺预期信用损失的估计，与其对该贷款承诺提用情况的预期保持一致；</w:t>
      </w:r>
    </w:p>
    <w:p w14:paraId="6130286D">
      <w:pPr>
        <w:pStyle w:val="9"/>
        <w:spacing w:before="0" w:beforeAutospacing="0" w:after="0" w:afterAutospacing="0" w:line="20" w:lineRule="atLeast"/>
        <w:ind w:firstLine="480"/>
        <w:jc w:val="both"/>
        <w:rPr>
          <w:sz w:val="18"/>
          <w:szCs w:val="18"/>
        </w:rPr>
      </w:pPr>
      <w:r>
        <w:rPr>
          <w:rFonts w:hint="eastAsia"/>
          <w:snapToGrid w:val="0"/>
          <w:sz w:val="18"/>
          <w:szCs w:val="18"/>
        </w:rPr>
        <w:t>④对于财务担保合同，信用损失为本公司就该合同持有人发生的信用损失向其做出赔付的预计付款额，减去本公司预期向该合同持有人、债务人或任何其他方收取的金额之间差额的现值；</w:t>
      </w:r>
    </w:p>
    <w:p w14:paraId="0F8BCFA4">
      <w:pPr>
        <w:pStyle w:val="9"/>
        <w:spacing w:before="0" w:beforeAutospacing="0" w:after="0" w:afterAutospacing="0" w:line="20" w:lineRule="atLeast"/>
        <w:ind w:firstLine="480"/>
        <w:jc w:val="both"/>
        <w:rPr>
          <w:sz w:val="18"/>
          <w:szCs w:val="18"/>
        </w:rPr>
      </w:pPr>
      <w:r>
        <w:rPr>
          <w:rFonts w:hint="eastAsia"/>
          <w:snapToGrid w:val="0"/>
          <w:sz w:val="18"/>
          <w:szCs w:val="18"/>
        </w:rPr>
        <w:t>⑤对于资产负债表日已发生信用减值但并非购买或源生已发生信用减值的金融资产，信用损失为该金融资产账面余额与按原实际利率折现的估计未来现金流量的现值之间的差额。</w:t>
      </w:r>
    </w:p>
    <w:p w14:paraId="01A98B97">
      <w:pPr>
        <w:pStyle w:val="9"/>
        <w:spacing w:before="0" w:beforeAutospacing="0" w:after="0" w:afterAutospacing="0" w:line="20" w:lineRule="atLeast"/>
        <w:ind w:firstLine="480"/>
        <w:jc w:val="both"/>
        <w:rPr>
          <w:sz w:val="18"/>
          <w:szCs w:val="18"/>
        </w:rPr>
      </w:pPr>
      <w:r>
        <w:rPr>
          <w:rFonts w:hint="eastAsia"/>
          <w:snapToGrid w:val="0"/>
          <w:sz w:val="18"/>
          <w:szCs w:val="18"/>
        </w:rPr>
        <w:t>对于购买或源生的未发生信用减值的金融工具，每个资产负债表日，考虑合理且有依据的信息（包括前瞻性信息），评估其信用风险自初始确认后是否显著增加，按照三阶段分别确认预期信用损失。信用风险自初始确认后未显著增加的，处于第一阶段，按照该金融工具未来12个月内的预期信用损失计量损失准备；信用风险自初始确认后已显著增加但尚未发生信用减值的，处于第二阶段，按照该金融工具整个存续期的预期信用损失计量损失准备；自初始确认后已经发生信用减值的，处于第三阶段，按照该金融工具整个存续期的预期信用损失计量损失准备。处于第一阶段和第二阶段的金融工具，按照其账面余额和实际利率计算利息收入；处于第三阶段的金融工具，按照其摊余成本和实际利率计算确定利息收入。</w:t>
      </w:r>
    </w:p>
    <w:p w14:paraId="605CDE7E">
      <w:pPr>
        <w:pStyle w:val="9"/>
        <w:spacing w:before="0" w:beforeAutospacing="0" w:after="0" w:afterAutospacing="0" w:line="20" w:lineRule="atLeast"/>
        <w:ind w:firstLine="480"/>
        <w:jc w:val="both"/>
        <w:rPr>
          <w:sz w:val="18"/>
          <w:szCs w:val="18"/>
        </w:rPr>
      </w:pPr>
      <w:r>
        <w:rPr>
          <w:rFonts w:hint="eastAsia"/>
          <w:sz w:val="18"/>
          <w:szCs w:val="18"/>
        </w:rPr>
        <w:t>对于购买或源生的已发生信用减值的金融资产，在资产负债表日仅将自初始确认后整个存续期内预期信用损失的累计变动确认为损失准备，其利息收入按照金融资产的摊余成本和经信用调整的实际利率计算确定。</w:t>
      </w:r>
    </w:p>
    <w:p w14:paraId="65D08248">
      <w:pPr>
        <w:pStyle w:val="9"/>
        <w:spacing w:before="0" w:beforeAutospacing="0" w:after="0" w:afterAutospacing="0" w:line="20" w:lineRule="atLeast"/>
        <w:ind w:firstLine="480"/>
        <w:jc w:val="both"/>
        <w:rPr>
          <w:sz w:val="18"/>
          <w:szCs w:val="18"/>
        </w:rPr>
      </w:pPr>
      <w:r>
        <w:rPr>
          <w:rFonts w:hint="eastAsia"/>
          <w:sz w:val="18"/>
          <w:szCs w:val="18"/>
        </w:rPr>
        <w:t>损失准备的增加或转回，作为减值损失或利得，计入当期损益。对于持有的以公允价值计量且其变动计入其他综合收益的债务工具，减值损失或利得计入当期损益的同时调整其他综合收益。</w:t>
      </w:r>
    </w:p>
    <w:p w14:paraId="0B22E8CA">
      <w:pPr>
        <w:pStyle w:val="9"/>
        <w:spacing w:before="0" w:beforeAutospacing="0" w:after="0" w:afterAutospacing="0" w:line="20" w:lineRule="atLeast"/>
        <w:ind w:firstLine="480"/>
        <w:jc w:val="both"/>
        <w:rPr>
          <w:sz w:val="18"/>
          <w:szCs w:val="18"/>
        </w:rPr>
      </w:pPr>
      <w:r>
        <w:rPr>
          <w:rFonts w:hint="eastAsia"/>
          <w:snapToGrid w:val="0"/>
          <w:sz w:val="18"/>
          <w:szCs w:val="18"/>
        </w:rPr>
        <w:t>（6）金融资产和金融负债的抵销</w:t>
      </w:r>
    </w:p>
    <w:p w14:paraId="55493EAF">
      <w:pPr>
        <w:pStyle w:val="9"/>
        <w:spacing w:before="0" w:beforeAutospacing="0" w:after="0" w:afterAutospacing="0" w:line="20" w:lineRule="atLeast"/>
        <w:ind w:firstLine="480"/>
        <w:jc w:val="both"/>
        <w:rPr>
          <w:sz w:val="18"/>
          <w:szCs w:val="18"/>
        </w:rPr>
      </w:pPr>
      <w:r>
        <w:rPr>
          <w:rFonts w:hint="eastAsia"/>
          <w:sz w:val="18"/>
          <w:szCs w:val="18"/>
        </w:rPr>
        <w:t>当本公司具有抵销已确认金融资产和金融负债的法定权利，且目前可执行该种法定权利，同时本公司计划以净额结算或同时变现该金融资产和清偿该金融负债时，金融资产和金融负债以相互抵销后的金额在资产负债表内列示。除此以外，金融资产和金融负债在资产负债表内分别列示，不予相互抵销。</w:t>
      </w:r>
    </w:p>
    <w:p w14:paraId="75F6AD57">
      <w:pPr>
        <w:pStyle w:val="9"/>
        <w:spacing w:before="0" w:beforeAutospacing="0" w:after="0" w:afterAutospacing="0" w:line="20" w:lineRule="atLeast"/>
        <w:ind w:firstLine="362"/>
        <w:jc w:val="both"/>
        <w:rPr>
          <w:sz w:val="18"/>
          <w:szCs w:val="18"/>
        </w:rPr>
      </w:pPr>
      <w:r>
        <w:rPr>
          <w:rFonts w:hint="eastAsia"/>
          <w:snapToGrid w:val="0"/>
          <w:sz w:val="18"/>
          <w:szCs w:val="18"/>
        </w:rPr>
        <w:t>（7）金融工具的公允价值确定</w:t>
      </w:r>
    </w:p>
    <w:p w14:paraId="1364E6C8">
      <w:pPr>
        <w:pStyle w:val="9"/>
        <w:spacing w:before="0" w:beforeAutospacing="0" w:after="0" w:afterAutospacing="0" w:line="20" w:lineRule="atLeast"/>
        <w:ind w:firstLine="480"/>
        <w:jc w:val="both"/>
        <w:rPr>
          <w:sz w:val="18"/>
          <w:szCs w:val="18"/>
        </w:rPr>
      </w:pPr>
      <w:r>
        <w:rPr>
          <w:rFonts w:hint="eastAsia"/>
          <w:sz w:val="18"/>
          <w:szCs w:val="18"/>
        </w:rPr>
        <w:t>存在活跃市场的金融工具，以市场参与者在计量日发生的有序交易中，出售一项资产所能收到或者转移一项负债所需支付的价格确定其公允价值。不存在活跃市场的金融工具，采用估值技术确定其公允价值。在估值时，本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时，使用不可观察输入值。</w:t>
      </w:r>
    </w:p>
    <w:p w14:paraId="20F64A05">
      <w:pPr>
        <w:pStyle w:val="9"/>
        <w:spacing w:before="0" w:beforeAutospacing="0" w:after="0" w:afterAutospacing="0" w:line="20" w:lineRule="atLeast"/>
        <w:ind w:firstLine="480"/>
        <w:jc w:val="both"/>
        <w:rPr>
          <w:sz w:val="18"/>
          <w:szCs w:val="18"/>
        </w:rPr>
      </w:pPr>
      <w:r>
        <w:rPr>
          <w:rFonts w:hint="eastAsia"/>
          <w:sz w:val="18"/>
          <w:szCs w:val="18"/>
        </w:rPr>
        <w:t>（8）应收款项坏账准备的确认标准和计提方法</w:t>
      </w:r>
    </w:p>
    <w:p w14:paraId="2382609C">
      <w:pPr>
        <w:pStyle w:val="9"/>
        <w:spacing w:before="0" w:beforeAutospacing="0" w:after="0" w:afterAutospacing="0" w:line="20" w:lineRule="atLeast"/>
        <w:ind w:firstLine="490"/>
        <w:jc w:val="both"/>
        <w:rPr>
          <w:sz w:val="18"/>
          <w:szCs w:val="18"/>
        </w:rPr>
      </w:pPr>
      <w:r>
        <w:rPr>
          <w:rFonts w:hint="eastAsia"/>
          <w:sz w:val="18"/>
          <w:szCs w:val="18"/>
        </w:rPr>
        <w:t>对于因销售商品、提供劳务等日常经营活动形成的应收票据、应收账款，无论是否存在重大融资成分，本公司均按照整个存续期的预期信用损失计量损失准备。</w:t>
      </w:r>
    </w:p>
    <w:p w14:paraId="5BC0FC63">
      <w:pPr>
        <w:pStyle w:val="9"/>
        <w:spacing w:before="0" w:beforeAutospacing="0" w:after="0" w:afterAutospacing="0" w:line="20" w:lineRule="atLeast"/>
        <w:ind w:firstLine="480"/>
        <w:jc w:val="both"/>
        <w:rPr>
          <w:sz w:val="18"/>
          <w:szCs w:val="18"/>
        </w:rPr>
      </w:pPr>
      <w:r>
        <w:rPr>
          <w:rFonts w:hint="eastAsia"/>
          <w:sz w:val="18"/>
          <w:szCs w:val="18"/>
        </w:rPr>
        <w:t>对于已发生信用减值的以及其他适用于单项评估的应收账款及合同资产，单项计提减值准备。对于未发生信用减值的应收账款及合同资产，根据以前年度具有类似信用风险特征的应收账款、合同资产组合的历史信用损失率为基础，结合当前状况以及对未来经济状况的前瞻性预测对历史数据进行调整，编制应收账款账龄天数与整个存续期预期信用损失率对照模型，计算预期信用损失。</w:t>
      </w:r>
    </w:p>
    <w:p w14:paraId="159F5941">
      <w:pPr>
        <w:pStyle w:val="9"/>
        <w:spacing w:before="0" w:beforeAutospacing="0" w:after="0" w:afterAutospacing="0" w:line="20" w:lineRule="atLeast"/>
        <w:ind w:firstLine="480"/>
        <w:jc w:val="both"/>
        <w:rPr>
          <w:sz w:val="18"/>
          <w:szCs w:val="18"/>
        </w:rPr>
      </w:pPr>
      <w:r>
        <w:rPr>
          <w:rFonts w:hint="eastAsia"/>
          <w:sz w:val="18"/>
          <w:szCs w:val="18"/>
        </w:rPr>
        <w:t>本公司依据信用风险特征将应收款项划分为若干组合，在组合基础上计算预期信用损失，确定组合的依据如下：</w:t>
      </w:r>
    </w:p>
    <w:p w14:paraId="1D2FCCAF">
      <w:pPr>
        <w:pStyle w:val="9"/>
        <w:spacing w:before="0" w:beforeAutospacing="0" w:after="0" w:afterAutospacing="0" w:line="20" w:lineRule="atLeast"/>
        <w:ind w:firstLine="480"/>
        <w:jc w:val="both"/>
        <w:rPr>
          <w:sz w:val="18"/>
          <w:szCs w:val="18"/>
        </w:rPr>
      </w:pPr>
      <w:r>
        <w:rPr>
          <w:rFonts w:hint="eastAsia"/>
          <w:snapToGrid w:val="0"/>
          <w:sz w:val="18"/>
          <w:szCs w:val="18"/>
        </w:rPr>
        <w:t>A.对于应收票据和应收账款，无论是否存在重大融资成分，本公司均按照整个存续期的预期信用损失计量损失准备。</w:t>
      </w:r>
    </w:p>
    <w:p w14:paraId="4DCC26A5">
      <w:pPr>
        <w:pStyle w:val="9"/>
        <w:spacing w:before="0" w:beforeAutospacing="0" w:after="0" w:afterAutospacing="0" w:line="20" w:lineRule="atLeast"/>
        <w:ind w:firstLine="480"/>
        <w:jc w:val="both"/>
        <w:rPr>
          <w:sz w:val="18"/>
          <w:szCs w:val="18"/>
        </w:rPr>
      </w:pPr>
      <w:r>
        <w:rPr>
          <w:rFonts w:hint="eastAsia"/>
          <w:sz w:val="18"/>
          <w:szCs w:val="18"/>
        </w:rPr>
        <w:t>当单项应收票据和应收账款无法以合理成本取得评估预期信用损失的信息时，本公司依据信用风险特征，将应收票据和应收账款划分为若干组合，在组合基础上计算预期信用损失。</w:t>
      </w:r>
    </w:p>
    <w:p w14:paraId="2BF37650">
      <w:pPr>
        <w:pStyle w:val="9"/>
        <w:spacing w:before="0" w:beforeAutospacing="0" w:after="0" w:afterAutospacing="0" w:line="20" w:lineRule="atLeast"/>
        <w:ind w:firstLine="480"/>
        <w:jc w:val="both"/>
        <w:rPr>
          <w:sz w:val="18"/>
          <w:szCs w:val="18"/>
        </w:rPr>
      </w:pPr>
      <w:r>
        <w:rPr>
          <w:rFonts w:hint="eastAsia"/>
          <w:sz w:val="18"/>
          <w:szCs w:val="18"/>
        </w:rPr>
        <w:t>对于划分为组合的应收票据、应收账款，本公司参考历史信用损失经验，结合当前状况以及对未来经济状况的预测，整个存续期预期信用损失率，计算预期信用损失。确定组合的依据如下：</w:t>
      </w:r>
    </w:p>
    <w:tbl>
      <w:tblPr>
        <w:tblStyle w:val="11"/>
        <w:tblW w:w="0" w:type="auto"/>
        <w:jc w:val="center"/>
        <w:tblLayout w:type="autofit"/>
        <w:tblCellMar>
          <w:top w:w="0" w:type="dxa"/>
          <w:left w:w="0" w:type="dxa"/>
          <w:bottom w:w="0" w:type="dxa"/>
          <w:right w:w="0" w:type="dxa"/>
        </w:tblCellMar>
      </w:tblPr>
      <w:tblGrid>
        <w:gridCol w:w="1365"/>
        <w:gridCol w:w="1970"/>
        <w:gridCol w:w="6518"/>
      </w:tblGrid>
      <w:tr w14:paraId="63851E15">
        <w:trPr>
          <w:trHeight w:val="392" w:hRule="atLeast"/>
          <w:tblHeader/>
          <w:jc w:val="center"/>
        </w:trPr>
        <w:tc>
          <w:tcPr>
            <w:tcW w:w="13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0EA3E5">
            <w:pPr>
              <w:pStyle w:val="9"/>
              <w:spacing w:before="0" w:beforeAutospacing="0" w:after="0" w:afterAutospacing="0"/>
              <w:ind w:right="-124"/>
              <w:jc w:val="both"/>
              <w:rPr>
                <w:sz w:val="18"/>
                <w:szCs w:val="18"/>
              </w:rPr>
            </w:pPr>
            <w:r>
              <w:rPr>
                <w:rFonts w:hint="eastAsia"/>
                <w:sz w:val="18"/>
                <w:szCs w:val="18"/>
              </w:rPr>
              <w:t>组合类型</w:t>
            </w:r>
          </w:p>
        </w:tc>
        <w:tc>
          <w:tcPr>
            <w:tcW w:w="197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AB250F2">
            <w:pPr>
              <w:pStyle w:val="9"/>
              <w:spacing w:before="0" w:beforeAutospacing="0" w:after="0" w:afterAutospacing="0"/>
              <w:ind w:right="-124"/>
              <w:jc w:val="both"/>
              <w:rPr>
                <w:sz w:val="18"/>
                <w:szCs w:val="18"/>
              </w:rPr>
            </w:pPr>
            <w:r>
              <w:rPr>
                <w:rFonts w:hint="eastAsia"/>
                <w:sz w:val="18"/>
                <w:szCs w:val="18"/>
              </w:rPr>
              <w:t>确定组合依据</w:t>
            </w:r>
          </w:p>
        </w:tc>
        <w:tc>
          <w:tcPr>
            <w:tcW w:w="65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5D83C10">
            <w:pPr>
              <w:pStyle w:val="9"/>
              <w:spacing w:before="0" w:beforeAutospacing="0" w:after="0" w:afterAutospacing="0"/>
              <w:ind w:right="-124" w:firstLine="420"/>
              <w:jc w:val="center"/>
              <w:rPr>
                <w:sz w:val="18"/>
                <w:szCs w:val="18"/>
              </w:rPr>
            </w:pPr>
            <w:r>
              <w:rPr>
                <w:rFonts w:hint="eastAsia"/>
                <w:sz w:val="18"/>
                <w:szCs w:val="18"/>
              </w:rPr>
              <w:t>计量预期信用损失的方法</w:t>
            </w:r>
          </w:p>
        </w:tc>
      </w:tr>
      <w:tr w14:paraId="3691F7D0">
        <w:trPr>
          <w:trHeight w:val="392" w:hRule="atLeast"/>
          <w:jc w:val="center"/>
        </w:trPr>
        <w:tc>
          <w:tcPr>
            <w:tcW w:w="136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DFF788">
            <w:pPr>
              <w:pStyle w:val="9"/>
              <w:spacing w:before="0" w:beforeAutospacing="0" w:after="0" w:afterAutospacing="0"/>
              <w:ind w:right="-124"/>
              <w:rPr>
                <w:sz w:val="18"/>
                <w:szCs w:val="18"/>
              </w:rPr>
            </w:pPr>
            <w:r>
              <w:rPr>
                <w:rFonts w:hint="eastAsia"/>
                <w:sz w:val="18"/>
                <w:szCs w:val="18"/>
              </w:rPr>
              <w:t>应收票据组合1</w:t>
            </w:r>
          </w:p>
        </w:tc>
        <w:tc>
          <w:tcPr>
            <w:tcW w:w="1970" w:type="dxa"/>
            <w:tcBorders>
              <w:top w:val="nil"/>
              <w:left w:val="nil"/>
              <w:bottom w:val="single" w:color="auto" w:sz="8" w:space="0"/>
              <w:right w:val="single" w:color="auto" w:sz="8" w:space="0"/>
            </w:tcBorders>
            <w:tcMar>
              <w:top w:w="0" w:type="dxa"/>
              <w:left w:w="108" w:type="dxa"/>
              <w:bottom w:w="0" w:type="dxa"/>
              <w:right w:w="108" w:type="dxa"/>
            </w:tcMar>
            <w:vAlign w:val="center"/>
          </w:tcPr>
          <w:p w14:paraId="1F27BF1A">
            <w:pPr>
              <w:pStyle w:val="9"/>
              <w:spacing w:before="0" w:beforeAutospacing="0" w:after="0" w:afterAutospacing="0"/>
              <w:ind w:right="-124"/>
              <w:rPr>
                <w:sz w:val="18"/>
                <w:szCs w:val="18"/>
              </w:rPr>
            </w:pPr>
            <w:r>
              <w:rPr>
                <w:rFonts w:hint="eastAsia"/>
                <w:sz w:val="18"/>
                <w:szCs w:val="18"/>
              </w:rPr>
              <w:t>银行承兑汇票</w:t>
            </w:r>
          </w:p>
        </w:tc>
        <w:tc>
          <w:tcPr>
            <w:tcW w:w="6518" w:type="dxa"/>
            <w:tcBorders>
              <w:top w:val="nil"/>
              <w:left w:val="nil"/>
              <w:bottom w:val="single" w:color="auto" w:sz="8" w:space="0"/>
              <w:right w:val="single" w:color="auto" w:sz="8" w:space="0"/>
            </w:tcBorders>
            <w:tcMar>
              <w:top w:w="0" w:type="dxa"/>
              <w:left w:w="108" w:type="dxa"/>
              <w:bottom w:w="0" w:type="dxa"/>
              <w:right w:w="108" w:type="dxa"/>
            </w:tcMar>
            <w:vAlign w:val="center"/>
          </w:tcPr>
          <w:p w14:paraId="52DAFFBE">
            <w:pPr>
              <w:pStyle w:val="9"/>
              <w:spacing w:before="0" w:beforeAutospacing="0" w:after="0" w:afterAutospacing="0"/>
              <w:ind w:right="-124"/>
              <w:rPr>
                <w:sz w:val="18"/>
                <w:szCs w:val="18"/>
              </w:rPr>
            </w:pPr>
            <w:r>
              <w:rPr>
                <w:rFonts w:hint="eastAsia"/>
                <w:sz w:val="18"/>
                <w:szCs w:val="18"/>
              </w:rPr>
              <w:t>参考历史信用损失经验，结合当前以及未来经济状况的预测，通过违约风险敞口和整个存续期预期信用损失率，计算预期信用损失</w:t>
            </w:r>
          </w:p>
        </w:tc>
      </w:tr>
      <w:tr w14:paraId="75DFD2B7">
        <w:trPr>
          <w:trHeight w:val="392" w:hRule="atLeast"/>
          <w:jc w:val="center"/>
        </w:trPr>
        <w:tc>
          <w:tcPr>
            <w:tcW w:w="136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8DCAD99">
            <w:pPr>
              <w:pStyle w:val="9"/>
              <w:spacing w:before="0" w:beforeAutospacing="0" w:after="0" w:afterAutospacing="0"/>
              <w:ind w:right="-124"/>
              <w:rPr>
                <w:sz w:val="18"/>
                <w:szCs w:val="18"/>
              </w:rPr>
            </w:pPr>
            <w:r>
              <w:rPr>
                <w:rFonts w:hint="eastAsia"/>
                <w:sz w:val="18"/>
                <w:szCs w:val="18"/>
              </w:rPr>
              <w:t>应收票据组合2</w:t>
            </w:r>
          </w:p>
        </w:tc>
        <w:tc>
          <w:tcPr>
            <w:tcW w:w="1970" w:type="dxa"/>
            <w:tcBorders>
              <w:top w:val="nil"/>
              <w:left w:val="nil"/>
              <w:bottom w:val="single" w:color="auto" w:sz="8" w:space="0"/>
              <w:right w:val="single" w:color="auto" w:sz="8" w:space="0"/>
            </w:tcBorders>
            <w:tcMar>
              <w:top w:w="0" w:type="dxa"/>
              <w:left w:w="108" w:type="dxa"/>
              <w:bottom w:w="0" w:type="dxa"/>
              <w:right w:w="108" w:type="dxa"/>
            </w:tcMar>
            <w:vAlign w:val="center"/>
          </w:tcPr>
          <w:p w14:paraId="64FC818C">
            <w:pPr>
              <w:pStyle w:val="9"/>
              <w:spacing w:before="0" w:beforeAutospacing="0" w:after="0" w:afterAutospacing="0"/>
              <w:ind w:right="-124"/>
              <w:rPr>
                <w:sz w:val="18"/>
                <w:szCs w:val="18"/>
              </w:rPr>
            </w:pPr>
            <w:r>
              <w:rPr>
                <w:rFonts w:hint="eastAsia"/>
                <w:sz w:val="18"/>
                <w:szCs w:val="18"/>
              </w:rPr>
              <w:t>商业承兑汇票</w:t>
            </w:r>
          </w:p>
        </w:tc>
        <w:tc>
          <w:tcPr>
            <w:tcW w:w="6518" w:type="dxa"/>
            <w:tcBorders>
              <w:top w:val="nil"/>
              <w:left w:val="nil"/>
              <w:bottom w:val="single" w:color="auto" w:sz="8" w:space="0"/>
              <w:right w:val="single" w:color="auto" w:sz="8" w:space="0"/>
            </w:tcBorders>
            <w:tcMar>
              <w:top w:w="0" w:type="dxa"/>
              <w:left w:w="108" w:type="dxa"/>
              <w:bottom w:w="0" w:type="dxa"/>
              <w:right w:w="108" w:type="dxa"/>
            </w:tcMar>
            <w:vAlign w:val="center"/>
          </w:tcPr>
          <w:p w14:paraId="4602D630">
            <w:pPr>
              <w:pStyle w:val="9"/>
              <w:spacing w:before="0" w:beforeAutospacing="0" w:after="0" w:afterAutospacing="0"/>
              <w:ind w:right="-124"/>
              <w:rPr>
                <w:sz w:val="18"/>
                <w:szCs w:val="18"/>
              </w:rPr>
            </w:pPr>
            <w:r>
              <w:rPr>
                <w:rFonts w:hint="eastAsia"/>
                <w:sz w:val="18"/>
                <w:szCs w:val="18"/>
              </w:rPr>
              <w:t>参考历史信用损失经验，结合当前以及未来经济状况的预测，通过违约风险敞口和整个存续期预期信用损失率，计算预期信用损失</w:t>
            </w:r>
          </w:p>
        </w:tc>
      </w:tr>
      <w:tr w14:paraId="1D8D334F">
        <w:trPr>
          <w:trHeight w:val="392" w:hRule="atLeast"/>
          <w:jc w:val="center"/>
        </w:trPr>
        <w:tc>
          <w:tcPr>
            <w:tcW w:w="136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6A3AA2C">
            <w:pPr>
              <w:pStyle w:val="9"/>
              <w:spacing w:before="0" w:beforeAutospacing="0" w:after="0" w:afterAutospacing="0"/>
              <w:ind w:right="-124"/>
              <w:rPr>
                <w:sz w:val="18"/>
                <w:szCs w:val="18"/>
              </w:rPr>
            </w:pPr>
            <w:r>
              <w:rPr>
                <w:rFonts w:hint="eastAsia"/>
                <w:sz w:val="18"/>
                <w:szCs w:val="18"/>
              </w:rPr>
              <w:t>应收账款1</w:t>
            </w:r>
          </w:p>
        </w:tc>
        <w:tc>
          <w:tcPr>
            <w:tcW w:w="1970" w:type="dxa"/>
            <w:tcBorders>
              <w:top w:val="nil"/>
              <w:left w:val="nil"/>
              <w:bottom w:val="single" w:color="auto" w:sz="8" w:space="0"/>
              <w:right w:val="single" w:color="auto" w:sz="8" w:space="0"/>
            </w:tcBorders>
            <w:tcMar>
              <w:top w:w="0" w:type="dxa"/>
              <w:left w:w="108" w:type="dxa"/>
              <w:bottom w:w="0" w:type="dxa"/>
              <w:right w:w="108" w:type="dxa"/>
            </w:tcMar>
            <w:vAlign w:val="center"/>
          </w:tcPr>
          <w:p w14:paraId="6FC41ED7">
            <w:pPr>
              <w:pStyle w:val="9"/>
              <w:spacing w:before="0" w:beforeAutospacing="0" w:after="0" w:afterAutospacing="0"/>
              <w:ind w:right="-124"/>
              <w:rPr>
                <w:sz w:val="18"/>
                <w:szCs w:val="18"/>
              </w:rPr>
            </w:pPr>
            <w:r>
              <w:rPr>
                <w:rFonts w:hint="eastAsia"/>
                <w:sz w:val="18"/>
                <w:szCs w:val="18"/>
              </w:rPr>
              <w:t>应收客户款--账龄组合</w:t>
            </w:r>
          </w:p>
        </w:tc>
        <w:tc>
          <w:tcPr>
            <w:tcW w:w="6518" w:type="dxa"/>
            <w:tcBorders>
              <w:top w:val="nil"/>
              <w:left w:val="nil"/>
              <w:bottom w:val="single" w:color="auto" w:sz="8" w:space="0"/>
              <w:right w:val="single" w:color="auto" w:sz="8" w:space="0"/>
            </w:tcBorders>
            <w:tcMar>
              <w:top w:w="0" w:type="dxa"/>
              <w:left w:w="108" w:type="dxa"/>
              <w:bottom w:w="0" w:type="dxa"/>
              <w:right w:w="108" w:type="dxa"/>
            </w:tcMar>
            <w:vAlign w:val="center"/>
          </w:tcPr>
          <w:p w14:paraId="51E01B89">
            <w:pPr>
              <w:pStyle w:val="9"/>
              <w:spacing w:before="0" w:beforeAutospacing="0" w:after="0" w:afterAutospacing="0"/>
              <w:ind w:right="-124"/>
              <w:rPr>
                <w:sz w:val="18"/>
                <w:szCs w:val="18"/>
              </w:rPr>
            </w:pPr>
            <w:r>
              <w:rPr>
                <w:rFonts w:hint="eastAsia"/>
                <w:sz w:val="18"/>
                <w:szCs w:val="18"/>
              </w:rPr>
              <w:t>参考历史信用损失经验，结合当前以及未来经济状况的预测，编制应收账款账龄与整个存续期预期信用损失率对照表，计算预期信用损失</w:t>
            </w:r>
          </w:p>
        </w:tc>
      </w:tr>
      <w:tr w14:paraId="7F460B56">
        <w:trPr>
          <w:trHeight w:val="392" w:hRule="atLeast"/>
          <w:jc w:val="center"/>
        </w:trPr>
        <w:tc>
          <w:tcPr>
            <w:tcW w:w="136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F61DB0">
            <w:pPr>
              <w:pStyle w:val="9"/>
              <w:spacing w:before="0" w:beforeAutospacing="0" w:after="0" w:afterAutospacing="0"/>
              <w:ind w:right="-124"/>
              <w:rPr>
                <w:sz w:val="18"/>
                <w:szCs w:val="18"/>
              </w:rPr>
            </w:pPr>
            <w:r>
              <w:rPr>
                <w:rFonts w:hint="eastAsia"/>
                <w:sz w:val="18"/>
                <w:szCs w:val="18"/>
              </w:rPr>
              <w:t>应收账款2</w:t>
            </w:r>
          </w:p>
        </w:tc>
        <w:tc>
          <w:tcPr>
            <w:tcW w:w="1970" w:type="dxa"/>
            <w:tcBorders>
              <w:top w:val="nil"/>
              <w:left w:val="nil"/>
              <w:bottom w:val="single" w:color="auto" w:sz="8" w:space="0"/>
              <w:right w:val="single" w:color="auto" w:sz="8" w:space="0"/>
            </w:tcBorders>
            <w:tcMar>
              <w:top w:w="0" w:type="dxa"/>
              <w:left w:w="108" w:type="dxa"/>
              <w:bottom w:w="0" w:type="dxa"/>
              <w:right w:w="108" w:type="dxa"/>
            </w:tcMar>
            <w:vAlign w:val="center"/>
          </w:tcPr>
          <w:p w14:paraId="18DDC76D">
            <w:pPr>
              <w:pStyle w:val="9"/>
              <w:spacing w:before="0" w:beforeAutospacing="0" w:after="0" w:afterAutospacing="0"/>
              <w:ind w:right="-124"/>
              <w:rPr>
                <w:sz w:val="18"/>
                <w:szCs w:val="18"/>
              </w:rPr>
            </w:pPr>
            <w:r>
              <w:rPr>
                <w:rFonts w:hint="eastAsia"/>
                <w:sz w:val="18"/>
                <w:szCs w:val="18"/>
              </w:rPr>
              <w:t>应收合并范围内关联方</w:t>
            </w:r>
          </w:p>
        </w:tc>
        <w:tc>
          <w:tcPr>
            <w:tcW w:w="6518" w:type="dxa"/>
            <w:tcBorders>
              <w:top w:val="nil"/>
              <w:left w:val="nil"/>
              <w:bottom w:val="single" w:color="auto" w:sz="8" w:space="0"/>
              <w:right w:val="single" w:color="auto" w:sz="8" w:space="0"/>
            </w:tcBorders>
            <w:tcMar>
              <w:top w:w="0" w:type="dxa"/>
              <w:left w:w="108" w:type="dxa"/>
              <w:bottom w:w="0" w:type="dxa"/>
              <w:right w:w="108" w:type="dxa"/>
            </w:tcMar>
            <w:vAlign w:val="center"/>
          </w:tcPr>
          <w:p w14:paraId="0F3855F3">
            <w:pPr>
              <w:pStyle w:val="9"/>
              <w:spacing w:before="0" w:beforeAutospacing="0" w:after="0" w:afterAutospacing="0"/>
              <w:ind w:right="-124"/>
              <w:rPr>
                <w:sz w:val="18"/>
                <w:szCs w:val="18"/>
              </w:rPr>
            </w:pPr>
            <w:r>
              <w:rPr>
                <w:rFonts w:hint="eastAsia"/>
                <w:sz w:val="18"/>
                <w:szCs w:val="18"/>
              </w:rPr>
              <w:t>参考历史信用损失经验，结合当前以及未来经济状况的预测，通过违约风险敞口和整个存续期预期信用损失率，计算预期信用损失</w:t>
            </w:r>
          </w:p>
        </w:tc>
      </w:tr>
    </w:tbl>
    <w:p w14:paraId="3D2DEE0F">
      <w:pPr>
        <w:pStyle w:val="9"/>
        <w:spacing w:before="0" w:beforeAutospacing="0" w:after="0" w:afterAutospacing="0" w:line="20" w:lineRule="atLeast"/>
        <w:ind w:firstLine="482"/>
        <w:rPr>
          <w:sz w:val="18"/>
          <w:szCs w:val="18"/>
        </w:rPr>
      </w:pPr>
      <w:r>
        <w:rPr>
          <w:rFonts w:hint="eastAsia"/>
          <w:sz w:val="18"/>
          <w:szCs w:val="18"/>
        </w:rPr>
        <w:t>对于划分为组合的应收票据，本公司参考历史信用损失经验，结合当前状况以及对未来经济状况的预测，通过违约风险敞口和整个存续期预期信用损失率，计算预期信用损失。</w:t>
      </w:r>
    </w:p>
    <w:p w14:paraId="26128D31">
      <w:pPr>
        <w:pStyle w:val="9"/>
        <w:spacing w:before="0" w:beforeAutospacing="0" w:after="0" w:afterAutospacing="0" w:line="20" w:lineRule="atLeast"/>
        <w:ind w:firstLine="482"/>
        <w:rPr>
          <w:sz w:val="18"/>
          <w:szCs w:val="18"/>
        </w:rPr>
      </w:pPr>
      <w:r>
        <w:rPr>
          <w:rFonts w:hint="eastAsia"/>
          <w:sz w:val="18"/>
          <w:szCs w:val="18"/>
        </w:rPr>
        <w:t>对于划分为组合的应收账款，本公司参考历史信用损失经验，结合当前状况以及对未来经济状况的预测，编制应收账款账龄与整个存续期预期信用损失率对照表，计算预期信用损失，对照表如下：</w:t>
      </w:r>
    </w:p>
    <w:tbl>
      <w:tblPr>
        <w:tblStyle w:val="11"/>
        <w:tblW w:w="4540" w:type="pct"/>
        <w:jc w:val="center"/>
        <w:tblLayout w:type="autofit"/>
        <w:tblCellMar>
          <w:top w:w="0" w:type="dxa"/>
          <w:left w:w="0" w:type="dxa"/>
          <w:bottom w:w="0" w:type="dxa"/>
          <w:right w:w="0" w:type="dxa"/>
        </w:tblCellMar>
      </w:tblPr>
      <w:tblGrid>
        <w:gridCol w:w="4456"/>
        <w:gridCol w:w="4313"/>
      </w:tblGrid>
      <w:tr w14:paraId="4A21125E">
        <w:trPr>
          <w:trHeight w:val="397" w:hRule="atLeast"/>
          <w:tblHeader/>
          <w:jc w:val="center"/>
        </w:trPr>
        <w:tc>
          <w:tcPr>
            <w:tcW w:w="2541" w:type="pct"/>
            <w:tcBorders>
              <w:top w:val="single" w:color="auto" w:sz="8" w:space="0"/>
              <w:left w:val="single" w:color="auto" w:sz="8" w:space="0"/>
              <w:bottom w:val="single" w:color="auto" w:sz="8" w:space="0"/>
              <w:right w:val="single" w:color="auto" w:sz="8" w:space="0"/>
            </w:tcBorders>
            <w:vAlign w:val="center"/>
          </w:tcPr>
          <w:p w14:paraId="30BF5F2D">
            <w:pPr>
              <w:pStyle w:val="9"/>
              <w:spacing w:before="0" w:beforeAutospacing="0" w:after="0" w:afterAutospacing="0"/>
              <w:ind w:firstLine="420"/>
              <w:jc w:val="center"/>
              <w:rPr>
                <w:sz w:val="18"/>
                <w:szCs w:val="18"/>
              </w:rPr>
            </w:pPr>
            <w:r>
              <w:rPr>
                <w:rStyle w:val="13"/>
                <w:rFonts w:hint="eastAsia"/>
                <w:sz w:val="18"/>
                <w:szCs w:val="18"/>
              </w:rPr>
              <w:t>账龄</w:t>
            </w:r>
          </w:p>
        </w:tc>
        <w:tc>
          <w:tcPr>
            <w:tcW w:w="2459" w:type="pct"/>
            <w:tcBorders>
              <w:top w:val="single" w:color="auto" w:sz="8" w:space="0"/>
              <w:left w:val="nil"/>
              <w:bottom w:val="single" w:color="auto" w:sz="8" w:space="0"/>
              <w:right w:val="single" w:color="auto" w:sz="8" w:space="0"/>
            </w:tcBorders>
            <w:vAlign w:val="center"/>
          </w:tcPr>
          <w:p w14:paraId="38B31B0A">
            <w:pPr>
              <w:pStyle w:val="9"/>
              <w:spacing w:before="0" w:beforeAutospacing="0" w:after="0" w:afterAutospacing="0"/>
              <w:ind w:firstLine="420"/>
              <w:jc w:val="center"/>
              <w:rPr>
                <w:sz w:val="18"/>
                <w:szCs w:val="18"/>
              </w:rPr>
            </w:pPr>
            <w:r>
              <w:rPr>
                <w:rStyle w:val="13"/>
                <w:rFonts w:hint="eastAsia"/>
                <w:sz w:val="18"/>
                <w:szCs w:val="18"/>
              </w:rPr>
              <w:t>应收账款整个存续期预期信用损失率（%）</w:t>
            </w:r>
          </w:p>
        </w:tc>
      </w:tr>
      <w:tr w14:paraId="6B3C224B">
        <w:trPr>
          <w:trHeight w:val="397" w:hRule="atLeast"/>
          <w:jc w:val="center"/>
        </w:trPr>
        <w:tc>
          <w:tcPr>
            <w:tcW w:w="2541" w:type="pct"/>
            <w:tcBorders>
              <w:top w:val="nil"/>
              <w:left w:val="single" w:color="auto" w:sz="8" w:space="0"/>
              <w:bottom w:val="single" w:color="auto" w:sz="8" w:space="0"/>
              <w:right w:val="single" w:color="auto" w:sz="8" w:space="0"/>
            </w:tcBorders>
            <w:vAlign w:val="center"/>
          </w:tcPr>
          <w:p w14:paraId="71CA81C7">
            <w:pPr>
              <w:pStyle w:val="9"/>
              <w:spacing w:before="0" w:beforeAutospacing="0" w:after="0" w:afterAutospacing="0"/>
              <w:ind w:firstLine="420"/>
              <w:rPr>
                <w:sz w:val="18"/>
                <w:szCs w:val="18"/>
              </w:rPr>
            </w:pPr>
            <w:r>
              <w:rPr>
                <w:rFonts w:hint="eastAsia"/>
                <w:sz w:val="18"/>
                <w:szCs w:val="18"/>
              </w:rPr>
              <w:t>1年以内（含1年，下同）</w:t>
            </w:r>
          </w:p>
        </w:tc>
        <w:tc>
          <w:tcPr>
            <w:tcW w:w="2459" w:type="pct"/>
            <w:tcBorders>
              <w:top w:val="nil"/>
              <w:left w:val="nil"/>
              <w:bottom w:val="single" w:color="auto" w:sz="8" w:space="0"/>
              <w:right w:val="single" w:color="auto" w:sz="8" w:space="0"/>
            </w:tcBorders>
            <w:vAlign w:val="center"/>
          </w:tcPr>
          <w:p w14:paraId="00E1A323">
            <w:pPr>
              <w:pStyle w:val="9"/>
              <w:spacing w:before="0" w:beforeAutospacing="0" w:after="0" w:afterAutospacing="0"/>
              <w:ind w:firstLine="420"/>
              <w:jc w:val="center"/>
              <w:rPr>
                <w:sz w:val="18"/>
                <w:szCs w:val="18"/>
              </w:rPr>
            </w:pPr>
            <w:r>
              <w:rPr>
                <w:rFonts w:hint="eastAsia"/>
                <w:sz w:val="18"/>
                <w:szCs w:val="18"/>
              </w:rPr>
              <w:t>5.00</w:t>
            </w:r>
          </w:p>
        </w:tc>
      </w:tr>
      <w:tr w14:paraId="00392B11">
        <w:trPr>
          <w:trHeight w:val="397" w:hRule="atLeast"/>
          <w:jc w:val="center"/>
        </w:trPr>
        <w:tc>
          <w:tcPr>
            <w:tcW w:w="2541" w:type="pct"/>
            <w:tcBorders>
              <w:top w:val="nil"/>
              <w:left w:val="single" w:color="auto" w:sz="8" w:space="0"/>
              <w:bottom w:val="single" w:color="auto" w:sz="8" w:space="0"/>
              <w:right w:val="single" w:color="auto" w:sz="8" w:space="0"/>
            </w:tcBorders>
            <w:vAlign w:val="center"/>
          </w:tcPr>
          <w:p w14:paraId="7CFC9A5E">
            <w:pPr>
              <w:pStyle w:val="9"/>
              <w:spacing w:before="0" w:beforeAutospacing="0" w:after="0" w:afterAutospacing="0"/>
              <w:ind w:firstLine="420"/>
              <w:rPr>
                <w:sz w:val="18"/>
                <w:szCs w:val="18"/>
              </w:rPr>
            </w:pPr>
            <w:r>
              <w:rPr>
                <w:rFonts w:hint="eastAsia"/>
                <w:sz w:val="18"/>
                <w:szCs w:val="18"/>
              </w:rPr>
              <w:t>1-2年</w:t>
            </w:r>
          </w:p>
        </w:tc>
        <w:tc>
          <w:tcPr>
            <w:tcW w:w="2459" w:type="pct"/>
            <w:tcBorders>
              <w:top w:val="nil"/>
              <w:left w:val="nil"/>
              <w:bottom w:val="single" w:color="auto" w:sz="8" w:space="0"/>
              <w:right w:val="single" w:color="auto" w:sz="8" w:space="0"/>
            </w:tcBorders>
            <w:vAlign w:val="center"/>
          </w:tcPr>
          <w:p w14:paraId="01BB0EF3">
            <w:pPr>
              <w:pStyle w:val="9"/>
              <w:spacing w:before="0" w:beforeAutospacing="0" w:after="0" w:afterAutospacing="0"/>
              <w:ind w:firstLine="420"/>
              <w:jc w:val="center"/>
              <w:rPr>
                <w:sz w:val="18"/>
                <w:szCs w:val="18"/>
              </w:rPr>
            </w:pPr>
            <w:r>
              <w:rPr>
                <w:rFonts w:hint="eastAsia"/>
                <w:sz w:val="18"/>
                <w:szCs w:val="18"/>
              </w:rPr>
              <w:t>8.00</w:t>
            </w:r>
          </w:p>
        </w:tc>
      </w:tr>
      <w:tr w14:paraId="40AAF086">
        <w:trPr>
          <w:trHeight w:val="397" w:hRule="atLeast"/>
          <w:jc w:val="center"/>
        </w:trPr>
        <w:tc>
          <w:tcPr>
            <w:tcW w:w="2541" w:type="pct"/>
            <w:tcBorders>
              <w:top w:val="nil"/>
              <w:left w:val="single" w:color="auto" w:sz="8" w:space="0"/>
              <w:bottom w:val="single" w:color="auto" w:sz="8" w:space="0"/>
              <w:right w:val="single" w:color="auto" w:sz="8" w:space="0"/>
            </w:tcBorders>
            <w:vAlign w:val="center"/>
          </w:tcPr>
          <w:p w14:paraId="2C35D3CA">
            <w:pPr>
              <w:pStyle w:val="9"/>
              <w:spacing w:before="0" w:beforeAutospacing="0" w:after="0" w:afterAutospacing="0"/>
              <w:ind w:firstLine="420"/>
              <w:rPr>
                <w:sz w:val="18"/>
                <w:szCs w:val="18"/>
              </w:rPr>
            </w:pPr>
            <w:r>
              <w:rPr>
                <w:rFonts w:hint="eastAsia"/>
                <w:sz w:val="18"/>
                <w:szCs w:val="18"/>
              </w:rPr>
              <w:t>2-3年</w:t>
            </w:r>
          </w:p>
        </w:tc>
        <w:tc>
          <w:tcPr>
            <w:tcW w:w="2459" w:type="pct"/>
            <w:tcBorders>
              <w:top w:val="nil"/>
              <w:left w:val="nil"/>
              <w:bottom w:val="single" w:color="auto" w:sz="8" w:space="0"/>
              <w:right w:val="single" w:color="auto" w:sz="8" w:space="0"/>
            </w:tcBorders>
            <w:vAlign w:val="center"/>
          </w:tcPr>
          <w:p w14:paraId="280AC817">
            <w:pPr>
              <w:pStyle w:val="9"/>
              <w:spacing w:before="0" w:beforeAutospacing="0" w:after="0" w:afterAutospacing="0"/>
              <w:ind w:firstLine="420"/>
              <w:jc w:val="center"/>
              <w:rPr>
                <w:sz w:val="18"/>
                <w:szCs w:val="18"/>
              </w:rPr>
            </w:pPr>
            <w:r>
              <w:rPr>
                <w:rFonts w:hint="eastAsia"/>
                <w:sz w:val="18"/>
                <w:szCs w:val="18"/>
              </w:rPr>
              <w:t>15.00</w:t>
            </w:r>
          </w:p>
        </w:tc>
      </w:tr>
      <w:tr w14:paraId="23E5B6A5">
        <w:trPr>
          <w:trHeight w:val="397" w:hRule="atLeast"/>
          <w:jc w:val="center"/>
        </w:trPr>
        <w:tc>
          <w:tcPr>
            <w:tcW w:w="2541" w:type="pct"/>
            <w:tcBorders>
              <w:top w:val="nil"/>
              <w:left w:val="single" w:color="auto" w:sz="8" w:space="0"/>
              <w:bottom w:val="single" w:color="auto" w:sz="8" w:space="0"/>
              <w:right w:val="single" w:color="auto" w:sz="8" w:space="0"/>
            </w:tcBorders>
            <w:vAlign w:val="center"/>
          </w:tcPr>
          <w:p w14:paraId="78DA1A2B">
            <w:pPr>
              <w:pStyle w:val="9"/>
              <w:spacing w:before="0" w:beforeAutospacing="0" w:after="0" w:afterAutospacing="0"/>
              <w:ind w:firstLine="420"/>
              <w:rPr>
                <w:sz w:val="18"/>
                <w:szCs w:val="18"/>
              </w:rPr>
            </w:pPr>
            <w:r>
              <w:rPr>
                <w:rFonts w:hint="eastAsia"/>
                <w:sz w:val="18"/>
                <w:szCs w:val="18"/>
              </w:rPr>
              <w:t>3-4年</w:t>
            </w:r>
          </w:p>
        </w:tc>
        <w:tc>
          <w:tcPr>
            <w:tcW w:w="2459" w:type="pct"/>
            <w:tcBorders>
              <w:top w:val="nil"/>
              <w:left w:val="nil"/>
              <w:bottom w:val="single" w:color="auto" w:sz="8" w:space="0"/>
              <w:right w:val="single" w:color="auto" w:sz="8" w:space="0"/>
            </w:tcBorders>
            <w:vAlign w:val="center"/>
          </w:tcPr>
          <w:p w14:paraId="622AED7D">
            <w:pPr>
              <w:pStyle w:val="9"/>
              <w:spacing w:before="0" w:beforeAutospacing="0" w:after="0" w:afterAutospacing="0"/>
              <w:ind w:firstLine="420"/>
              <w:jc w:val="center"/>
              <w:rPr>
                <w:sz w:val="18"/>
                <w:szCs w:val="18"/>
              </w:rPr>
            </w:pPr>
            <w:r>
              <w:rPr>
                <w:rFonts w:hint="eastAsia"/>
                <w:sz w:val="18"/>
                <w:szCs w:val="18"/>
              </w:rPr>
              <w:t>20.00</w:t>
            </w:r>
          </w:p>
        </w:tc>
      </w:tr>
      <w:tr w14:paraId="09EEB990">
        <w:trPr>
          <w:trHeight w:val="397" w:hRule="atLeast"/>
          <w:jc w:val="center"/>
        </w:trPr>
        <w:tc>
          <w:tcPr>
            <w:tcW w:w="2541" w:type="pct"/>
            <w:tcBorders>
              <w:top w:val="nil"/>
              <w:left w:val="single" w:color="auto" w:sz="8" w:space="0"/>
              <w:bottom w:val="single" w:color="auto" w:sz="8" w:space="0"/>
              <w:right w:val="single" w:color="auto" w:sz="8" w:space="0"/>
            </w:tcBorders>
            <w:vAlign w:val="center"/>
          </w:tcPr>
          <w:p w14:paraId="3E9C9070">
            <w:pPr>
              <w:pStyle w:val="9"/>
              <w:spacing w:before="0" w:beforeAutospacing="0" w:after="0" w:afterAutospacing="0"/>
              <w:ind w:firstLine="420"/>
              <w:rPr>
                <w:sz w:val="18"/>
                <w:szCs w:val="18"/>
              </w:rPr>
            </w:pPr>
            <w:r>
              <w:rPr>
                <w:rFonts w:hint="eastAsia"/>
                <w:sz w:val="18"/>
                <w:szCs w:val="18"/>
              </w:rPr>
              <w:t>4-5年</w:t>
            </w:r>
          </w:p>
        </w:tc>
        <w:tc>
          <w:tcPr>
            <w:tcW w:w="2459" w:type="pct"/>
            <w:tcBorders>
              <w:top w:val="nil"/>
              <w:left w:val="nil"/>
              <w:bottom w:val="single" w:color="auto" w:sz="8" w:space="0"/>
              <w:right w:val="single" w:color="auto" w:sz="8" w:space="0"/>
            </w:tcBorders>
            <w:vAlign w:val="center"/>
          </w:tcPr>
          <w:p w14:paraId="175DF0E2">
            <w:pPr>
              <w:pStyle w:val="9"/>
              <w:spacing w:before="0" w:beforeAutospacing="0" w:after="0" w:afterAutospacing="0"/>
              <w:ind w:firstLine="420"/>
              <w:jc w:val="center"/>
              <w:rPr>
                <w:sz w:val="18"/>
                <w:szCs w:val="18"/>
              </w:rPr>
            </w:pPr>
            <w:r>
              <w:rPr>
                <w:rFonts w:hint="eastAsia"/>
                <w:sz w:val="18"/>
                <w:szCs w:val="18"/>
              </w:rPr>
              <w:t>50.00</w:t>
            </w:r>
          </w:p>
        </w:tc>
      </w:tr>
      <w:tr w14:paraId="2B291DCC">
        <w:trPr>
          <w:trHeight w:val="397" w:hRule="atLeast"/>
          <w:jc w:val="center"/>
        </w:trPr>
        <w:tc>
          <w:tcPr>
            <w:tcW w:w="2541" w:type="pct"/>
            <w:tcBorders>
              <w:top w:val="nil"/>
              <w:left w:val="single" w:color="auto" w:sz="8" w:space="0"/>
              <w:bottom w:val="single" w:color="auto" w:sz="8" w:space="0"/>
              <w:right w:val="single" w:color="auto" w:sz="8" w:space="0"/>
            </w:tcBorders>
            <w:vAlign w:val="center"/>
          </w:tcPr>
          <w:p w14:paraId="26518A47">
            <w:pPr>
              <w:pStyle w:val="9"/>
              <w:spacing w:before="0" w:beforeAutospacing="0" w:after="0" w:afterAutospacing="0"/>
              <w:ind w:firstLine="420"/>
              <w:rPr>
                <w:sz w:val="18"/>
                <w:szCs w:val="18"/>
              </w:rPr>
            </w:pPr>
            <w:r>
              <w:rPr>
                <w:rFonts w:hint="eastAsia"/>
                <w:sz w:val="18"/>
                <w:szCs w:val="18"/>
              </w:rPr>
              <w:t>5年以上</w:t>
            </w:r>
          </w:p>
        </w:tc>
        <w:tc>
          <w:tcPr>
            <w:tcW w:w="2459" w:type="pct"/>
            <w:tcBorders>
              <w:top w:val="nil"/>
              <w:left w:val="nil"/>
              <w:bottom w:val="single" w:color="auto" w:sz="8" w:space="0"/>
              <w:right w:val="single" w:color="auto" w:sz="8" w:space="0"/>
            </w:tcBorders>
            <w:vAlign w:val="center"/>
          </w:tcPr>
          <w:p w14:paraId="21328BC7">
            <w:pPr>
              <w:pStyle w:val="9"/>
              <w:spacing w:before="0" w:beforeAutospacing="0" w:after="0" w:afterAutospacing="0"/>
              <w:ind w:firstLine="420"/>
              <w:jc w:val="center"/>
              <w:rPr>
                <w:sz w:val="18"/>
                <w:szCs w:val="18"/>
              </w:rPr>
            </w:pPr>
            <w:r>
              <w:rPr>
                <w:rFonts w:hint="eastAsia"/>
                <w:sz w:val="18"/>
                <w:szCs w:val="18"/>
              </w:rPr>
              <w:t>100.00</w:t>
            </w:r>
          </w:p>
        </w:tc>
      </w:tr>
    </w:tbl>
    <w:p w14:paraId="6368E00B">
      <w:pPr>
        <w:pStyle w:val="9"/>
        <w:spacing w:before="0" w:beforeAutospacing="0" w:after="0" w:afterAutospacing="0" w:line="20" w:lineRule="atLeast"/>
        <w:ind w:firstLine="482"/>
        <w:rPr>
          <w:sz w:val="18"/>
          <w:szCs w:val="18"/>
        </w:rPr>
      </w:pPr>
      <w:r>
        <w:rPr>
          <w:rFonts w:hint="eastAsia"/>
          <w:snapToGrid w:val="0"/>
          <w:sz w:val="18"/>
          <w:szCs w:val="18"/>
        </w:rPr>
        <w:t>应收合并范围内关联方组合整个存续期预期信用损失率为0.00%</w:t>
      </w:r>
    </w:p>
    <w:p w14:paraId="4967E408">
      <w:pPr>
        <w:pStyle w:val="9"/>
        <w:spacing w:before="0" w:beforeAutospacing="0" w:after="0" w:afterAutospacing="0" w:line="20" w:lineRule="atLeast"/>
        <w:ind w:firstLine="482"/>
        <w:rPr>
          <w:sz w:val="18"/>
          <w:szCs w:val="18"/>
        </w:rPr>
      </w:pPr>
      <w:r>
        <w:rPr>
          <w:rFonts w:hint="eastAsia"/>
          <w:snapToGrid w:val="0"/>
          <w:sz w:val="18"/>
          <w:szCs w:val="18"/>
        </w:rPr>
        <w:t>B.按信用风险组合计提坏账准备的其他应收款</w:t>
      </w:r>
    </w:p>
    <w:p w14:paraId="31A3DF2C">
      <w:pPr>
        <w:pStyle w:val="9"/>
        <w:spacing w:before="0" w:beforeAutospacing="0" w:after="0" w:afterAutospacing="0" w:line="20" w:lineRule="atLeast"/>
        <w:ind w:firstLine="482"/>
        <w:rPr>
          <w:sz w:val="18"/>
          <w:szCs w:val="18"/>
        </w:rPr>
      </w:pPr>
      <w:r>
        <w:rPr>
          <w:rFonts w:hint="eastAsia"/>
          <w:snapToGrid w:val="0"/>
          <w:sz w:val="18"/>
          <w:szCs w:val="18"/>
        </w:rPr>
        <w:t>对于划分为组合的其他应收款，本公司参考历史信用损失经验，结合当前状况以及对未来经济状况的预测，通过违约风险敞口和未来 12 个月内或整个存续期预期信用损失率，计算预期信用损失。</w:t>
      </w:r>
    </w:p>
    <w:p w14:paraId="76B573C5">
      <w:pPr>
        <w:pStyle w:val="9"/>
        <w:spacing w:before="0" w:beforeAutospacing="0" w:after="0" w:afterAutospacing="0" w:line="20" w:lineRule="atLeast"/>
        <w:ind w:firstLine="482"/>
        <w:rPr>
          <w:sz w:val="18"/>
          <w:szCs w:val="18"/>
        </w:rPr>
      </w:pPr>
      <w:r>
        <w:rPr>
          <w:rFonts w:hint="eastAsia"/>
          <w:snapToGrid w:val="0"/>
          <w:sz w:val="18"/>
          <w:szCs w:val="18"/>
        </w:rPr>
        <w:t>不同组合的确定依据</w:t>
      </w:r>
      <w:r>
        <w:rPr>
          <w:rFonts w:hint="eastAsia"/>
          <w:sz w:val="18"/>
          <w:szCs w:val="18"/>
        </w:rPr>
        <w:t>：</w:t>
      </w:r>
    </w:p>
    <w:tbl>
      <w:tblPr>
        <w:tblStyle w:val="11"/>
        <w:tblW w:w="4998" w:type="pct"/>
        <w:tblInd w:w="0" w:type="dxa"/>
        <w:tblLayout w:type="autofit"/>
        <w:tblCellMar>
          <w:top w:w="0" w:type="dxa"/>
          <w:left w:w="0" w:type="dxa"/>
          <w:bottom w:w="0" w:type="dxa"/>
          <w:right w:w="0" w:type="dxa"/>
        </w:tblCellMar>
      </w:tblPr>
      <w:tblGrid>
        <w:gridCol w:w="2122"/>
        <w:gridCol w:w="2327"/>
        <w:gridCol w:w="5400"/>
      </w:tblGrid>
      <w:tr w14:paraId="7B8DCCCA">
        <w:trPr>
          <w:trHeight w:val="361" w:hRule="atLeast"/>
          <w:tblHeader/>
        </w:trPr>
        <w:tc>
          <w:tcPr>
            <w:tcW w:w="1077"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A275623">
            <w:pPr>
              <w:pStyle w:val="9"/>
              <w:spacing w:before="0" w:beforeAutospacing="0" w:after="0" w:afterAutospacing="0"/>
              <w:ind w:right="-124" w:firstLine="420"/>
              <w:jc w:val="both"/>
              <w:rPr>
                <w:sz w:val="18"/>
                <w:szCs w:val="18"/>
              </w:rPr>
            </w:pPr>
            <w:r>
              <w:rPr>
                <w:rFonts w:hint="eastAsia"/>
                <w:sz w:val="18"/>
                <w:szCs w:val="18"/>
              </w:rPr>
              <w:t>组合类型</w:t>
            </w:r>
          </w:p>
        </w:tc>
        <w:tc>
          <w:tcPr>
            <w:tcW w:w="1181"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2204313">
            <w:pPr>
              <w:pStyle w:val="9"/>
              <w:spacing w:before="0" w:beforeAutospacing="0" w:after="0" w:afterAutospacing="0"/>
              <w:ind w:right="-124" w:firstLine="420"/>
              <w:jc w:val="both"/>
              <w:rPr>
                <w:sz w:val="18"/>
                <w:szCs w:val="18"/>
              </w:rPr>
            </w:pPr>
            <w:r>
              <w:rPr>
                <w:rFonts w:hint="eastAsia"/>
                <w:sz w:val="18"/>
                <w:szCs w:val="18"/>
              </w:rPr>
              <w:t>确定组合依据</w:t>
            </w:r>
          </w:p>
        </w:tc>
        <w:tc>
          <w:tcPr>
            <w:tcW w:w="2741"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AB9F8E1">
            <w:pPr>
              <w:pStyle w:val="9"/>
              <w:spacing w:before="0" w:beforeAutospacing="0" w:after="0" w:afterAutospacing="0"/>
              <w:ind w:right="-124" w:firstLine="420"/>
              <w:jc w:val="center"/>
              <w:rPr>
                <w:sz w:val="18"/>
                <w:szCs w:val="18"/>
              </w:rPr>
            </w:pPr>
            <w:r>
              <w:rPr>
                <w:rFonts w:hint="eastAsia"/>
                <w:sz w:val="18"/>
                <w:szCs w:val="18"/>
              </w:rPr>
              <w:t>计量预期信用损失的方法</w:t>
            </w:r>
          </w:p>
        </w:tc>
      </w:tr>
      <w:tr w14:paraId="0601B3F5">
        <w:trPr>
          <w:trHeight w:val="361" w:hRule="atLeast"/>
        </w:trPr>
        <w:tc>
          <w:tcPr>
            <w:tcW w:w="107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9F667A8">
            <w:pPr>
              <w:pStyle w:val="9"/>
              <w:spacing w:before="0" w:beforeAutospacing="0" w:after="0" w:afterAutospacing="0"/>
              <w:ind w:right="-124" w:firstLine="420"/>
              <w:rPr>
                <w:sz w:val="18"/>
                <w:szCs w:val="18"/>
              </w:rPr>
            </w:pPr>
            <w:r>
              <w:rPr>
                <w:rFonts w:hint="eastAsia"/>
                <w:sz w:val="18"/>
                <w:szCs w:val="18"/>
              </w:rPr>
              <w:t>其他应收款1</w:t>
            </w:r>
          </w:p>
        </w:tc>
        <w:tc>
          <w:tcPr>
            <w:tcW w:w="1181" w:type="pct"/>
            <w:tcBorders>
              <w:top w:val="nil"/>
              <w:left w:val="nil"/>
              <w:bottom w:val="single" w:color="auto" w:sz="8" w:space="0"/>
              <w:right w:val="single" w:color="auto" w:sz="8" w:space="0"/>
            </w:tcBorders>
            <w:tcMar>
              <w:top w:w="0" w:type="dxa"/>
              <w:left w:w="108" w:type="dxa"/>
              <w:bottom w:w="0" w:type="dxa"/>
              <w:right w:w="108" w:type="dxa"/>
            </w:tcMar>
            <w:vAlign w:val="center"/>
          </w:tcPr>
          <w:p w14:paraId="4CF35EB0">
            <w:pPr>
              <w:pStyle w:val="9"/>
              <w:spacing w:before="0" w:beforeAutospacing="0" w:after="0" w:afterAutospacing="0"/>
              <w:ind w:right="-124" w:firstLine="420"/>
              <w:rPr>
                <w:sz w:val="18"/>
                <w:szCs w:val="18"/>
              </w:rPr>
            </w:pPr>
            <w:r>
              <w:rPr>
                <w:rFonts w:hint="eastAsia"/>
                <w:sz w:val="18"/>
                <w:szCs w:val="18"/>
              </w:rPr>
              <w:t>账龄组合</w:t>
            </w:r>
          </w:p>
        </w:tc>
        <w:tc>
          <w:tcPr>
            <w:tcW w:w="2741" w:type="pct"/>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F846ACB">
            <w:pPr>
              <w:pStyle w:val="9"/>
              <w:spacing w:before="0" w:beforeAutospacing="0" w:after="0" w:afterAutospacing="0"/>
              <w:ind w:right="-124" w:firstLine="420"/>
              <w:jc w:val="both"/>
              <w:rPr>
                <w:sz w:val="18"/>
                <w:szCs w:val="18"/>
              </w:rPr>
            </w:pPr>
            <w:r>
              <w:rPr>
                <w:rFonts w:hint="eastAsia"/>
                <w:sz w:val="18"/>
                <w:szCs w:val="18"/>
              </w:rPr>
              <w:t>参考历史信用损失经验，结合当前以及未来经济状况的预测，通过违约风险敞口和未来12个月内或整个存续期预期信用损失率，计算预期信用损失。</w:t>
            </w:r>
          </w:p>
        </w:tc>
      </w:tr>
      <w:tr w14:paraId="44392F7B">
        <w:trPr>
          <w:trHeight w:val="361" w:hRule="atLeast"/>
        </w:trPr>
        <w:tc>
          <w:tcPr>
            <w:tcW w:w="107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A61790D">
            <w:pPr>
              <w:pStyle w:val="9"/>
              <w:spacing w:before="0" w:beforeAutospacing="0" w:after="0" w:afterAutospacing="0"/>
              <w:ind w:right="-124" w:firstLine="420"/>
              <w:rPr>
                <w:sz w:val="18"/>
                <w:szCs w:val="18"/>
              </w:rPr>
            </w:pPr>
            <w:r>
              <w:rPr>
                <w:rFonts w:hint="eastAsia"/>
                <w:sz w:val="18"/>
                <w:szCs w:val="18"/>
              </w:rPr>
              <w:t>其他应收款2</w:t>
            </w:r>
          </w:p>
        </w:tc>
        <w:tc>
          <w:tcPr>
            <w:tcW w:w="1181" w:type="pct"/>
            <w:tcBorders>
              <w:top w:val="nil"/>
              <w:left w:val="nil"/>
              <w:bottom w:val="single" w:color="auto" w:sz="8" w:space="0"/>
              <w:right w:val="single" w:color="auto" w:sz="8" w:space="0"/>
            </w:tcBorders>
            <w:tcMar>
              <w:top w:w="0" w:type="dxa"/>
              <w:left w:w="108" w:type="dxa"/>
              <w:bottom w:w="0" w:type="dxa"/>
              <w:right w:w="108" w:type="dxa"/>
            </w:tcMar>
            <w:vAlign w:val="center"/>
          </w:tcPr>
          <w:p w14:paraId="586DA04B">
            <w:pPr>
              <w:pStyle w:val="9"/>
              <w:spacing w:before="0" w:beforeAutospacing="0" w:after="0" w:afterAutospacing="0"/>
              <w:ind w:right="-124" w:firstLine="420"/>
              <w:rPr>
                <w:sz w:val="18"/>
                <w:szCs w:val="18"/>
              </w:rPr>
            </w:pPr>
            <w:r>
              <w:rPr>
                <w:rFonts w:hint="eastAsia"/>
                <w:sz w:val="18"/>
                <w:szCs w:val="18"/>
              </w:rPr>
              <w:t>合并范围内关联方</w:t>
            </w:r>
          </w:p>
        </w:tc>
        <w:tc>
          <w:tcPr>
            <w:tcW w:w="2741" w:type="pct"/>
            <w:vMerge w:val="continue"/>
            <w:tcBorders>
              <w:top w:val="nil"/>
              <w:left w:val="nil"/>
              <w:bottom w:val="single" w:color="auto" w:sz="8" w:space="0"/>
              <w:right w:val="single" w:color="auto" w:sz="8" w:space="0"/>
            </w:tcBorders>
            <w:vAlign w:val="center"/>
          </w:tcPr>
          <w:p w14:paraId="00AB3C69">
            <w:pPr>
              <w:rPr>
                <w:rFonts w:ascii="宋体" w:hAnsi="宋体" w:eastAsia="宋体" w:cs="宋体"/>
                <w:sz w:val="18"/>
                <w:szCs w:val="18"/>
              </w:rPr>
            </w:pPr>
          </w:p>
        </w:tc>
      </w:tr>
    </w:tbl>
    <w:p w14:paraId="60DF6962">
      <w:pPr>
        <w:pStyle w:val="9"/>
        <w:spacing w:before="0" w:beforeAutospacing="0" w:after="0" w:afterAutospacing="0"/>
        <w:rPr>
          <w:rFonts w:ascii="等线" w:hAnsi="等线" w:eastAsia="等线"/>
          <w:sz w:val="21"/>
          <w:szCs w:val="21"/>
        </w:rPr>
      </w:pPr>
      <w:r>
        <w:rPr>
          <w:rFonts w:hint="eastAsia" w:ascii="等线" w:hAnsi="等线" w:eastAsia="等线"/>
          <w:sz w:val="21"/>
          <w:szCs w:val="21"/>
        </w:rPr>
        <w:t> </w:t>
      </w:r>
    </w:p>
    <w:p w14:paraId="75DAC8E3">
      <w:pPr>
        <w:pStyle w:val="3"/>
        <w:spacing w:before="100" w:after="100" w:line="280" w:lineRule="exact"/>
        <w:jc w:val="left"/>
        <w:rPr>
          <w:rFonts w:ascii="宋体" w:hAnsi="宋体" w:cs="宋体"/>
          <w:b/>
          <w:bCs/>
        </w:rPr>
      </w:pPr>
      <w:bookmarkStart w:id="114" w:name="_Toc989003"/>
      <w:r>
        <w:rPr>
          <w:rFonts w:ascii="宋体" w:hAnsi="宋体" w:cs="宋体"/>
          <w:b/>
          <w:bCs/>
        </w:rPr>
        <w:t>12、应收票据</w:t>
      </w:r>
      <w:bookmarkEnd w:id="114"/>
    </w:p>
    <w:p w14:paraId="6559A912">
      <w:pPr>
        <w:pStyle w:val="9"/>
        <w:spacing w:beforeAutospacing="0" w:afterAutospacing="0"/>
      </w:pPr>
      <w:r>
        <w:rPr>
          <w:rFonts w:hint="eastAsia"/>
          <w:sz w:val="18"/>
          <w:szCs w:val="18"/>
        </w:rPr>
        <w:t>详见第十节、五.重要会计政策及会计估计 11、金融工具。</w:t>
      </w:r>
    </w:p>
    <w:p w14:paraId="3BB7F413">
      <w:pPr>
        <w:pStyle w:val="3"/>
        <w:spacing w:before="100" w:after="100" w:line="280" w:lineRule="exact"/>
        <w:jc w:val="left"/>
        <w:rPr>
          <w:rFonts w:ascii="宋体" w:hAnsi="宋体" w:cs="宋体"/>
          <w:b/>
          <w:bCs/>
        </w:rPr>
      </w:pPr>
      <w:bookmarkStart w:id="115" w:name="_Toc989004"/>
      <w:r>
        <w:rPr>
          <w:rFonts w:ascii="宋体" w:hAnsi="宋体" w:cs="宋体"/>
          <w:b/>
          <w:bCs/>
        </w:rPr>
        <w:t>13、应收账款</w:t>
      </w:r>
      <w:bookmarkEnd w:id="115"/>
    </w:p>
    <w:p w14:paraId="1B1B6342">
      <w:pPr>
        <w:pStyle w:val="9"/>
        <w:spacing w:beforeAutospacing="0" w:afterAutospacing="0"/>
      </w:pPr>
      <w:r>
        <w:rPr>
          <w:rFonts w:hint="eastAsia"/>
          <w:sz w:val="18"/>
          <w:szCs w:val="18"/>
        </w:rPr>
        <w:t>详见第十节、五.重要会计政策及会计估计 11、金融工具。</w:t>
      </w:r>
    </w:p>
    <w:p w14:paraId="04BB931A">
      <w:pPr>
        <w:pStyle w:val="3"/>
        <w:spacing w:before="100" w:after="100" w:line="280" w:lineRule="exact"/>
        <w:jc w:val="left"/>
        <w:rPr>
          <w:rFonts w:ascii="宋体" w:hAnsi="宋体" w:cs="宋体"/>
          <w:b/>
          <w:bCs/>
        </w:rPr>
      </w:pPr>
      <w:bookmarkStart w:id="116" w:name="_Toc989005"/>
      <w:r>
        <w:rPr>
          <w:rFonts w:ascii="宋体" w:hAnsi="宋体" w:cs="宋体"/>
          <w:b/>
          <w:bCs/>
        </w:rPr>
        <w:t>14、应收款项融资</w:t>
      </w:r>
      <w:bookmarkEnd w:id="116"/>
    </w:p>
    <w:p w14:paraId="2B0701CC">
      <w:pPr>
        <w:pStyle w:val="9"/>
        <w:spacing w:beforeAutospacing="0" w:afterAutospacing="0"/>
      </w:pPr>
      <w:r>
        <w:rPr>
          <w:rFonts w:hint="eastAsia"/>
          <w:sz w:val="18"/>
          <w:szCs w:val="18"/>
        </w:rPr>
        <w:t>详见第十节、五.重要会计政策及会计估计 11、金融工具。</w:t>
      </w:r>
    </w:p>
    <w:p w14:paraId="46DCAF2C">
      <w:pPr>
        <w:pStyle w:val="3"/>
        <w:spacing w:before="100" w:after="100" w:line="280" w:lineRule="exact"/>
        <w:jc w:val="left"/>
        <w:rPr>
          <w:rFonts w:ascii="宋体" w:hAnsi="宋体" w:cs="宋体"/>
          <w:b/>
          <w:bCs/>
        </w:rPr>
      </w:pPr>
      <w:bookmarkStart w:id="117" w:name="_Toc989006"/>
      <w:r>
        <w:rPr>
          <w:rFonts w:ascii="宋体" w:hAnsi="宋体" w:cs="宋体"/>
          <w:b/>
          <w:bCs/>
        </w:rPr>
        <w:t>15、其他应收款</w:t>
      </w:r>
      <w:bookmarkEnd w:id="117"/>
    </w:p>
    <w:p w14:paraId="1B391071">
      <w:pPr>
        <w:spacing w:before="100" w:after="100" w:line="240" w:lineRule="exact"/>
        <w:rPr>
          <w:rFonts w:ascii="宋体" w:hAnsi="宋体" w:eastAsia="宋体" w:cs="宋体"/>
          <w:sz w:val="18"/>
          <w:szCs w:val="18"/>
        </w:rPr>
      </w:pPr>
      <w:r>
        <w:rPr>
          <w:rFonts w:ascii="宋体" w:hAnsi="宋体" w:eastAsia="宋体" w:cs="宋体"/>
          <w:sz w:val="18"/>
          <w:szCs w:val="18"/>
        </w:rPr>
        <w:t>其他应收款的预期信用损失的确定方法及会计处理方法</w:t>
      </w:r>
    </w:p>
    <w:p w14:paraId="77387047">
      <w:pPr>
        <w:pStyle w:val="9"/>
        <w:spacing w:beforeAutospacing="0" w:afterAutospacing="0"/>
      </w:pPr>
      <w:r>
        <w:rPr>
          <w:rFonts w:hint="eastAsia"/>
          <w:sz w:val="18"/>
          <w:szCs w:val="18"/>
        </w:rPr>
        <w:t>详见第十节、五.重要会计政策及会计估计 11、金融工具。</w:t>
      </w:r>
    </w:p>
    <w:p w14:paraId="1034C9A7">
      <w:pPr>
        <w:pStyle w:val="3"/>
        <w:spacing w:before="100" w:after="100" w:line="280" w:lineRule="exact"/>
      </w:pPr>
      <w:bookmarkStart w:id="118" w:name="_Toc989007"/>
      <w:r>
        <w:rPr>
          <w:rFonts w:ascii="宋体" w:hAnsi="宋体" w:cs="宋体"/>
          <w:b/>
          <w:bCs/>
        </w:rPr>
        <w:t>16、合同资产</w:t>
      </w:r>
      <w:bookmarkEnd w:id="118"/>
    </w:p>
    <w:p w14:paraId="2104E2D8">
      <w:pPr>
        <w:pStyle w:val="3"/>
        <w:spacing w:before="20" w:after="20" w:line="280" w:lineRule="exact"/>
        <w:jc w:val="left"/>
        <w:rPr>
          <w:rFonts w:ascii="宋体" w:hAnsi="宋体" w:cs="宋体"/>
          <w:b/>
          <w:bCs/>
        </w:rPr>
      </w:pPr>
      <w:bookmarkStart w:id="119" w:name="_Toc989008"/>
      <w:r>
        <w:rPr>
          <w:rFonts w:ascii="宋体" w:hAnsi="宋体" w:cs="宋体"/>
          <w:b/>
          <w:bCs/>
        </w:rPr>
        <w:t>17、存货</w:t>
      </w:r>
      <w:bookmarkEnd w:id="119"/>
    </w:p>
    <w:p w14:paraId="537F48CB">
      <w:pPr>
        <w:pStyle w:val="9"/>
        <w:spacing w:before="20" w:beforeAutospacing="0" w:after="20" w:afterAutospacing="0" w:line="20" w:lineRule="atLeast"/>
        <w:ind w:firstLine="362"/>
        <w:jc w:val="both"/>
        <w:rPr>
          <w:sz w:val="18"/>
          <w:szCs w:val="18"/>
        </w:rPr>
      </w:pPr>
      <w:r>
        <w:rPr>
          <w:rFonts w:hint="eastAsia"/>
          <w:sz w:val="18"/>
          <w:szCs w:val="18"/>
        </w:rPr>
        <w:t>（1）存货的分类</w:t>
      </w:r>
    </w:p>
    <w:p w14:paraId="551862CB">
      <w:pPr>
        <w:pStyle w:val="9"/>
        <w:spacing w:before="20" w:beforeAutospacing="0" w:after="20" w:afterAutospacing="0" w:line="20" w:lineRule="atLeast"/>
        <w:ind w:firstLine="480"/>
        <w:jc w:val="both"/>
        <w:rPr>
          <w:sz w:val="18"/>
          <w:szCs w:val="18"/>
        </w:rPr>
      </w:pPr>
      <w:r>
        <w:rPr>
          <w:rFonts w:hint="eastAsia"/>
          <w:sz w:val="18"/>
          <w:szCs w:val="18"/>
        </w:rPr>
        <w:t>本公司存货分为原材料、在产品、库存商品、包装物等。</w:t>
      </w:r>
    </w:p>
    <w:p w14:paraId="2392F7CA">
      <w:pPr>
        <w:pStyle w:val="9"/>
        <w:spacing w:before="20" w:beforeAutospacing="0" w:after="20" w:afterAutospacing="0" w:line="20" w:lineRule="atLeast"/>
        <w:ind w:firstLine="362"/>
        <w:jc w:val="both"/>
        <w:rPr>
          <w:sz w:val="18"/>
          <w:szCs w:val="18"/>
        </w:rPr>
      </w:pPr>
      <w:r>
        <w:rPr>
          <w:rFonts w:hint="eastAsia"/>
          <w:sz w:val="18"/>
          <w:szCs w:val="18"/>
        </w:rPr>
        <w:t>（2）存货取得和发出的计价方法</w:t>
      </w:r>
    </w:p>
    <w:p w14:paraId="5838C564">
      <w:pPr>
        <w:pStyle w:val="9"/>
        <w:spacing w:before="20" w:beforeAutospacing="0" w:after="20" w:afterAutospacing="0" w:line="20" w:lineRule="atLeast"/>
        <w:ind w:firstLine="480"/>
        <w:jc w:val="both"/>
        <w:rPr>
          <w:sz w:val="18"/>
          <w:szCs w:val="18"/>
        </w:rPr>
      </w:pPr>
      <w:r>
        <w:rPr>
          <w:rFonts w:hint="eastAsia"/>
          <w:sz w:val="18"/>
          <w:szCs w:val="18"/>
        </w:rPr>
        <w:t>本公司存货盘存制度采用永续盘存制,本公司对原材料采用实际成本核算；完工产品与期末在产品，根据不同产品生产工艺的特点分别采用约当产量法或定额成本法计算产品生产成本；</w:t>
      </w:r>
    </w:p>
    <w:p w14:paraId="14F97256">
      <w:pPr>
        <w:pStyle w:val="9"/>
        <w:spacing w:before="20" w:beforeAutospacing="0" w:after="20" w:afterAutospacing="0" w:line="20" w:lineRule="atLeast"/>
        <w:ind w:firstLine="480"/>
        <w:jc w:val="both"/>
        <w:rPr>
          <w:sz w:val="18"/>
          <w:szCs w:val="18"/>
        </w:rPr>
      </w:pPr>
      <w:r>
        <w:rPr>
          <w:rFonts w:hint="eastAsia"/>
          <w:sz w:val="18"/>
          <w:szCs w:val="18"/>
        </w:rPr>
        <w:t>库存</w:t>
      </w:r>
      <w:r>
        <w:rPr>
          <w:rFonts w:hint="eastAsia"/>
          <w:snapToGrid w:val="0"/>
          <w:sz w:val="18"/>
          <w:szCs w:val="18"/>
        </w:rPr>
        <w:t>商品</w:t>
      </w:r>
      <w:r>
        <w:rPr>
          <w:rFonts w:hint="eastAsia"/>
          <w:sz w:val="18"/>
          <w:szCs w:val="18"/>
        </w:rPr>
        <w:t>按实际成本核算，发出产品的成本采用“加权平均法”计价；</w:t>
      </w:r>
    </w:p>
    <w:p w14:paraId="40A3FB06">
      <w:pPr>
        <w:pStyle w:val="9"/>
        <w:spacing w:before="20" w:beforeAutospacing="0" w:after="20" w:afterAutospacing="0" w:line="20" w:lineRule="atLeast"/>
        <w:ind w:firstLine="480"/>
        <w:jc w:val="both"/>
        <w:rPr>
          <w:sz w:val="18"/>
          <w:szCs w:val="18"/>
        </w:rPr>
      </w:pPr>
      <w:r>
        <w:rPr>
          <w:rFonts w:hint="eastAsia"/>
          <w:sz w:val="18"/>
          <w:szCs w:val="18"/>
        </w:rPr>
        <w:t>周转材料领用时采用一次转销法摊销。</w:t>
      </w:r>
    </w:p>
    <w:p w14:paraId="6DE1EE58">
      <w:pPr>
        <w:pStyle w:val="9"/>
        <w:spacing w:before="20" w:beforeAutospacing="0" w:after="20" w:afterAutospacing="0" w:line="20" w:lineRule="atLeast"/>
        <w:ind w:firstLine="480"/>
        <w:jc w:val="both"/>
        <w:rPr>
          <w:sz w:val="18"/>
          <w:szCs w:val="18"/>
        </w:rPr>
      </w:pPr>
      <w:r>
        <w:rPr>
          <w:rFonts w:hint="eastAsia"/>
          <w:sz w:val="18"/>
          <w:szCs w:val="18"/>
        </w:rPr>
        <w:t>为订立合同而发生的差旅费、投标费等，能够单独区分和可靠计量且合同很可能订立的，在取得合同时计入合同成本；未满足上述条件的，则计入当期损益。</w:t>
      </w:r>
    </w:p>
    <w:p w14:paraId="0F8185A8">
      <w:pPr>
        <w:pStyle w:val="9"/>
        <w:spacing w:before="20" w:beforeAutospacing="0" w:after="20" w:afterAutospacing="0" w:line="20" w:lineRule="atLeast"/>
        <w:ind w:firstLine="362"/>
        <w:jc w:val="both"/>
        <w:rPr>
          <w:sz w:val="18"/>
          <w:szCs w:val="18"/>
        </w:rPr>
      </w:pPr>
      <w:r>
        <w:rPr>
          <w:rFonts w:hint="eastAsia"/>
          <w:sz w:val="18"/>
          <w:szCs w:val="18"/>
        </w:rPr>
        <w:t>（3）存货跌价</w:t>
      </w:r>
      <w:r>
        <w:rPr>
          <w:rFonts w:hint="eastAsia"/>
          <w:snapToGrid w:val="0"/>
          <w:sz w:val="18"/>
          <w:szCs w:val="18"/>
        </w:rPr>
        <w:t>准备</w:t>
      </w:r>
      <w:r>
        <w:rPr>
          <w:rFonts w:hint="eastAsia"/>
          <w:sz w:val="18"/>
          <w:szCs w:val="18"/>
        </w:rPr>
        <w:t>计提方法</w:t>
      </w:r>
    </w:p>
    <w:p w14:paraId="76F12FDB">
      <w:pPr>
        <w:pStyle w:val="9"/>
        <w:spacing w:before="20" w:beforeAutospacing="0" w:after="20" w:afterAutospacing="0" w:line="20" w:lineRule="atLeast"/>
        <w:ind w:firstLine="480"/>
        <w:jc w:val="both"/>
        <w:rPr>
          <w:sz w:val="18"/>
          <w:szCs w:val="18"/>
        </w:rPr>
      </w:pPr>
      <w:r>
        <w:rPr>
          <w:rFonts w:hint="eastAsia"/>
          <w:sz w:val="18"/>
          <w:szCs w:val="18"/>
        </w:rPr>
        <w:t>本公司期末存货成本高于其可变现净值的，计提存货跌价准备。本公司通常按照单个类别存货项目计提存货跌价准备，</w:t>
      </w:r>
      <w:r>
        <w:rPr>
          <w:rFonts w:hint="eastAsia"/>
          <w:color w:val="000000"/>
          <w:sz w:val="18"/>
          <w:szCs w:val="18"/>
        </w:rPr>
        <w:t>资产负债表日</w:t>
      </w:r>
      <w:r>
        <w:rPr>
          <w:rFonts w:hint="eastAsia"/>
          <w:sz w:val="18"/>
          <w:szCs w:val="18"/>
        </w:rPr>
        <w:t>，以前减记存货价值的影响因素已经消失的，存货跌价准备在原已计提的金额内转回。</w:t>
      </w:r>
    </w:p>
    <w:p w14:paraId="1DC5DCBF">
      <w:pPr>
        <w:pStyle w:val="9"/>
        <w:spacing w:before="20" w:beforeAutospacing="0" w:after="20" w:afterAutospacing="0" w:line="20" w:lineRule="atLeast"/>
        <w:ind w:firstLine="362"/>
        <w:jc w:val="both"/>
        <w:rPr>
          <w:sz w:val="18"/>
          <w:szCs w:val="18"/>
        </w:rPr>
      </w:pPr>
      <w:r>
        <w:rPr>
          <w:rFonts w:hint="eastAsia"/>
          <w:sz w:val="18"/>
          <w:szCs w:val="18"/>
        </w:rPr>
        <w:t>（4）存货可变现净值的确认方法</w:t>
      </w:r>
    </w:p>
    <w:p w14:paraId="4AB24C59">
      <w:pPr>
        <w:pStyle w:val="9"/>
        <w:widowControl w:val="0"/>
        <w:spacing w:before="100" w:beforeAutospacing="0" w:after="100" w:afterAutospacing="0" w:line="20" w:lineRule="atLeast"/>
        <w:ind w:firstLine="480"/>
        <w:jc w:val="both"/>
        <w:rPr>
          <w:sz w:val="18"/>
          <w:szCs w:val="18"/>
        </w:rPr>
      </w:pPr>
      <w:r>
        <w:rPr>
          <w:rFonts w:hint="eastAsia"/>
          <w:sz w:val="18"/>
          <w:szCs w:val="18"/>
        </w:rPr>
        <w:t>存货可变现净值是按存货的估计售价减去至完工时估计将要发生的成本、估计的销售费用以及相关税费后的金额。在确定存货的可变现净值时，以取得的确凿证据为基础，同时考虑持有存货的目的以及资产负债表日后事项的影响。</w:t>
      </w:r>
    </w:p>
    <w:p w14:paraId="559685B6">
      <w:pPr>
        <w:pStyle w:val="3"/>
        <w:keepNext w:val="0"/>
        <w:keepLines w:val="0"/>
        <w:spacing w:before="100" w:after="100" w:line="280" w:lineRule="exact"/>
        <w:jc w:val="left"/>
      </w:pPr>
      <w:bookmarkStart w:id="120" w:name="_Toc989009"/>
      <w:r>
        <w:rPr>
          <w:rFonts w:ascii="宋体" w:hAnsi="宋体" w:cs="宋体"/>
          <w:b/>
          <w:bCs/>
        </w:rPr>
        <w:t>18、持有待售资产</w:t>
      </w:r>
      <w:bookmarkEnd w:id="120"/>
    </w:p>
    <w:p w14:paraId="7E5BFA8A">
      <w:pPr>
        <w:pStyle w:val="3"/>
        <w:spacing w:before="100" w:after="100" w:line="280" w:lineRule="exact"/>
        <w:jc w:val="left"/>
      </w:pPr>
      <w:bookmarkStart w:id="121" w:name="_Toc989010"/>
      <w:r>
        <w:rPr>
          <w:rFonts w:ascii="宋体" w:hAnsi="宋体" w:cs="宋体"/>
          <w:b/>
          <w:bCs/>
        </w:rPr>
        <w:t>19、债权投资</w:t>
      </w:r>
      <w:bookmarkEnd w:id="121"/>
    </w:p>
    <w:p w14:paraId="19B6D7C8">
      <w:pPr>
        <w:pStyle w:val="3"/>
        <w:spacing w:before="100" w:after="100" w:line="280" w:lineRule="exact"/>
        <w:jc w:val="left"/>
      </w:pPr>
      <w:bookmarkStart w:id="122" w:name="_Toc989011"/>
      <w:r>
        <w:rPr>
          <w:rFonts w:ascii="宋体" w:hAnsi="宋体" w:cs="宋体"/>
          <w:b/>
          <w:bCs/>
        </w:rPr>
        <w:t>20、其他债权投资</w:t>
      </w:r>
      <w:bookmarkEnd w:id="122"/>
    </w:p>
    <w:p w14:paraId="68E22CCD">
      <w:pPr>
        <w:pStyle w:val="3"/>
        <w:spacing w:before="100" w:after="100" w:line="280" w:lineRule="exact"/>
        <w:jc w:val="left"/>
      </w:pPr>
      <w:bookmarkStart w:id="123" w:name="_Toc989012"/>
      <w:r>
        <w:rPr>
          <w:rFonts w:ascii="宋体" w:hAnsi="宋体" w:cs="宋体"/>
          <w:b/>
          <w:bCs/>
        </w:rPr>
        <w:t>21、长期应收款</w:t>
      </w:r>
      <w:bookmarkEnd w:id="123"/>
    </w:p>
    <w:p w14:paraId="47DDA491">
      <w:pPr>
        <w:pStyle w:val="3"/>
        <w:spacing w:before="100" w:after="100" w:line="280" w:lineRule="exact"/>
        <w:jc w:val="left"/>
        <w:rPr>
          <w:rFonts w:ascii="宋体" w:hAnsi="宋体" w:cs="宋体"/>
          <w:b/>
          <w:bCs/>
        </w:rPr>
      </w:pPr>
      <w:bookmarkStart w:id="124" w:name="_Toc989013"/>
      <w:r>
        <w:rPr>
          <w:rFonts w:ascii="宋体" w:hAnsi="宋体" w:cs="宋体"/>
          <w:b/>
          <w:bCs/>
        </w:rPr>
        <w:t>22、长期股权投资</w:t>
      </w:r>
      <w:bookmarkEnd w:id="124"/>
    </w:p>
    <w:p w14:paraId="1CFF1E54">
      <w:pPr>
        <w:pStyle w:val="9"/>
        <w:spacing w:before="100" w:beforeAutospacing="0" w:after="100" w:afterAutospacing="0" w:line="20" w:lineRule="atLeast"/>
        <w:ind w:firstLine="480"/>
        <w:jc w:val="both"/>
        <w:rPr>
          <w:sz w:val="18"/>
          <w:szCs w:val="18"/>
        </w:rPr>
      </w:pPr>
      <w:r>
        <w:rPr>
          <w:rFonts w:hint="eastAsia"/>
          <w:sz w:val="18"/>
          <w:szCs w:val="18"/>
        </w:rPr>
        <w:t>本部分所指的长期股权投资是指本公司对被投资单位具有控制、共同控制或重大影响的长期股权投资。本公司对被投资单位不具有控制、共同控制或重大影响的长期股权投资，作为可供出售金融资产或以公允价值计量且其变动计入当期损益的金融资产核算，其会计政策详见第十节、五、“重要会计政策及会计估计”之“11、金融工具”。</w:t>
      </w:r>
    </w:p>
    <w:p w14:paraId="023B3338">
      <w:pPr>
        <w:pStyle w:val="9"/>
        <w:spacing w:before="20" w:beforeAutospacing="0" w:after="20" w:afterAutospacing="0" w:line="20" w:lineRule="atLeast"/>
        <w:ind w:firstLine="480"/>
        <w:jc w:val="both"/>
        <w:rPr>
          <w:sz w:val="18"/>
          <w:szCs w:val="18"/>
        </w:rPr>
      </w:pPr>
      <w:r>
        <w:rPr>
          <w:rFonts w:hint="eastAsia"/>
          <w:sz w:val="18"/>
          <w:szCs w:val="18"/>
        </w:rPr>
        <w:t>共同控制，是指本公司按照相关约定对某项安排所共有的控制，并且该安排的相关活动必须经过分享控制权的参与方一致同意后才能决策。重大影响，是指本公司对被投资单位的财务和经营政策有参与决策的权力，但并不能够控制或者与其他方一起共同控制这些政策的制定。</w:t>
      </w:r>
    </w:p>
    <w:p w14:paraId="34288F63">
      <w:pPr>
        <w:pStyle w:val="9"/>
        <w:spacing w:before="20" w:beforeAutospacing="0" w:after="20" w:afterAutospacing="0" w:line="20" w:lineRule="atLeast"/>
        <w:ind w:firstLine="362"/>
        <w:jc w:val="both"/>
        <w:rPr>
          <w:sz w:val="18"/>
          <w:szCs w:val="18"/>
        </w:rPr>
      </w:pPr>
      <w:r>
        <w:rPr>
          <w:rFonts w:hint="eastAsia"/>
          <w:sz w:val="18"/>
          <w:szCs w:val="18"/>
        </w:rPr>
        <w:t>（1）投资成本的确定</w:t>
      </w:r>
    </w:p>
    <w:p w14:paraId="13118A9C">
      <w:pPr>
        <w:pStyle w:val="9"/>
        <w:spacing w:before="20" w:beforeAutospacing="0" w:after="20" w:afterAutospacing="0" w:line="20" w:lineRule="atLeast"/>
        <w:ind w:firstLine="480"/>
        <w:jc w:val="both"/>
        <w:rPr>
          <w:sz w:val="18"/>
          <w:szCs w:val="18"/>
        </w:rPr>
      </w:pPr>
      <w:r>
        <w:rPr>
          <w:rFonts w:hint="eastAsia"/>
          <w:sz w:val="18"/>
          <w:szCs w:val="18"/>
        </w:rPr>
        <w:t>对于同一控制下的企业合并取得的长期股权投资，在合并日按照被合并方所有者权益在最终控制方合并财务报表中的账面价值的份额作为长期股权投资的初始投资成本。长期股权投资初始投资成本与支付的现金、转让的非现金资产以及所承担债务账面价值之间的差额，调整资本公积；资本公积不足冲减的，调整留存收益。以发行权益性证券作为合并对价的，在合并日按照被合并方所有者权益在最终控制方合并财务报表中的账面价值的份额作为长期股权投资的初始投资成本，按照发行股份的面值总额作为股本，长期股权投资初始投资成本与所发行股份面值总额之间的差额，调整资本公积；资本公积不足冲减的，调整留存收益。通过多次交易分步取得同一控制下被合并方的股权，最终形成同一控制下企业合并的，应分别是否属于“一揽子交易”进行处理：属于“一揽子交易”的，将各项交易作为一项取得控制权的交易进行会计处理。不属于“一揽子交易”的，在合并日按照应享有被合并方所有者权益在最终控制方合并财务报表中的账面价值的份额作为长期股权投资的初始投资成本，长期股权投资初始投资成本与达到合并前的长期股权投资账面价值加上合并日进一步取得股份新支付对价的账面价值之和的差额，调整资本公积；资本公积不足冲减的，调整留存收益。合并日之前持有的股权投资因采用权益法核算或为可供出售金融资产而确认的其他综合收益，暂不进行会计处理。</w:t>
      </w:r>
    </w:p>
    <w:p w14:paraId="22FF2B49">
      <w:pPr>
        <w:pStyle w:val="9"/>
        <w:spacing w:before="20" w:beforeAutospacing="0" w:after="20" w:afterAutospacing="0" w:line="20" w:lineRule="atLeast"/>
        <w:ind w:firstLine="480"/>
        <w:jc w:val="both"/>
        <w:rPr>
          <w:sz w:val="18"/>
          <w:szCs w:val="18"/>
        </w:rPr>
      </w:pPr>
      <w:r>
        <w:rPr>
          <w:rFonts w:hint="eastAsia"/>
          <w:sz w:val="18"/>
          <w:szCs w:val="18"/>
        </w:rPr>
        <w:t>对于非同一控制下的企业合并取得的长期股权投资，在购买日按照合并成本作为长期股权投资的初始投资成本，合并成本包括购买方付出的资产、发生或承担的负债、发行的权益性证券的公允价值之和。通过多次交易分步取得被购买方的股权，最终形成非同一控制下的企业合并的，应分别是否属于“一揽子交易”进行处理：属于“一揽子交易”的，将各项交易作为一项取得控制权的交易进行会计处理。不属于“一揽子交易”的，按照原持有被购买方的股权投资账面价值加上新增投资成本之和，作为改按成本法核算的长期股权投资的初始投资成本。原持有的股权采用权益法核算的，相关其他综合收益暂不进行会计处理。原持有股权投资为可供出售金融资产的，其公允价值与账面价值之间的差额，以及原计入其他综合收益的累计公允价值变动转入当期损益。</w:t>
      </w:r>
    </w:p>
    <w:p w14:paraId="322C543B">
      <w:pPr>
        <w:pStyle w:val="9"/>
        <w:spacing w:before="20" w:beforeAutospacing="0" w:after="20" w:afterAutospacing="0" w:line="20" w:lineRule="atLeast"/>
        <w:ind w:firstLine="480"/>
        <w:jc w:val="both"/>
        <w:rPr>
          <w:sz w:val="18"/>
          <w:szCs w:val="18"/>
        </w:rPr>
      </w:pPr>
      <w:r>
        <w:rPr>
          <w:rFonts w:hint="eastAsia"/>
          <w:sz w:val="18"/>
          <w:szCs w:val="18"/>
        </w:rPr>
        <w:t>合并方或购买方为企业合并发生的审计、法律服务、评估咨询等中介费用以及其他相关管理费用，于发生时计入当期损益。</w:t>
      </w:r>
    </w:p>
    <w:p w14:paraId="69A82490">
      <w:pPr>
        <w:pStyle w:val="9"/>
        <w:spacing w:before="20" w:beforeAutospacing="0" w:after="20" w:afterAutospacing="0" w:line="20" w:lineRule="atLeast"/>
        <w:ind w:firstLine="480"/>
        <w:jc w:val="both"/>
        <w:rPr>
          <w:sz w:val="18"/>
          <w:szCs w:val="18"/>
        </w:rPr>
      </w:pPr>
      <w:r>
        <w:rPr>
          <w:rFonts w:hint="eastAsia"/>
          <w:sz w:val="18"/>
          <w:szCs w:val="18"/>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对于因追加投资能够对被投资单位实施重大影响或实施共同控制但不构成控制的，长期股权投资成本为按照《企业会计准则第22号——金融工具确认和计量》确定的原持有股权投资的公允价值加上新增投资成本之和。</w:t>
      </w:r>
    </w:p>
    <w:p w14:paraId="728F8CF0">
      <w:pPr>
        <w:pStyle w:val="9"/>
        <w:spacing w:before="20" w:beforeAutospacing="0" w:after="20" w:afterAutospacing="0" w:line="20" w:lineRule="atLeast"/>
        <w:ind w:firstLine="362"/>
        <w:jc w:val="both"/>
        <w:rPr>
          <w:sz w:val="18"/>
          <w:szCs w:val="18"/>
        </w:rPr>
      </w:pPr>
      <w:r>
        <w:rPr>
          <w:rFonts w:hint="eastAsia"/>
          <w:sz w:val="18"/>
          <w:szCs w:val="18"/>
        </w:rPr>
        <w:t>（2）后续计量及</w:t>
      </w:r>
      <w:r>
        <w:rPr>
          <w:rFonts w:hint="eastAsia"/>
          <w:snapToGrid w:val="0"/>
          <w:sz w:val="18"/>
          <w:szCs w:val="18"/>
        </w:rPr>
        <w:t>损益</w:t>
      </w:r>
      <w:r>
        <w:rPr>
          <w:rFonts w:hint="eastAsia"/>
          <w:sz w:val="18"/>
          <w:szCs w:val="18"/>
        </w:rPr>
        <w:t>确认方法</w:t>
      </w:r>
    </w:p>
    <w:p w14:paraId="081ED138">
      <w:pPr>
        <w:pStyle w:val="9"/>
        <w:spacing w:before="20" w:beforeAutospacing="0" w:after="20" w:afterAutospacing="0" w:line="20" w:lineRule="atLeast"/>
        <w:ind w:firstLine="480"/>
        <w:jc w:val="both"/>
        <w:rPr>
          <w:sz w:val="18"/>
          <w:szCs w:val="18"/>
        </w:rPr>
      </w:pPr>
      <w:r>
        <w:rPr>
          <w:rFonts w:hint="eastAsia"/>
          <w:sz w:val="18"/>
          <w:szCs w:val="18"/>
        </w:rPr>
        <w:t>对被投资单位具有共同控制（构成共同经营者除外）或重大影响的长期股权投资，采用权益法核算。此外，公司财务报表采用成本法核算能够对被投资单位实施控制的长期股权投资。</w:t>
      </w:r>
    </w:p>
    <w:p w14:paraId="214D18E7">
      <w:pPr>
        <w:pStyle w:val="9"/>
        <w:spacing w:before="20" w:beforeAutospacing="0" w:after="20" w:afterAutospacing="0" w:line="20" w:lineRule="atLeast"/>
        <w:ind w:firstLine="480"/>
        <w:jc w:val="both"/>
        <w:rPr>
          <w:sz w:val="18"/>
          <w:szCs w:val="18"/>
        </w:rPr>
      </w:pPr>
      <w:r>
        <w:rPr>
          <w:rFonts w:hint="eastAsia"/>
          <w:sz w:val="18"/>
          <w:szCs w:val="18"/>
        </w:rPr>
        <w:t>①成本法核算的长期股权投资</w:t>
      </w:r>
    </w:p>
    <w:p w14:paraId="25C11B4E">
      <w:pPr>
        <w:pStyle w:val="9"/>
        <w:spacing w:before="20" w:beforeAutospacing="0" w:after="20" w:afterAutospacing="0" w:line="20" w:lineRule="atLeast"/>
        <w:ind w:firstLine="480"/>
        <w:jc w:val="both"/>
        <w:rPr>
          <w:sz w:val="18"/>
          <w:szCs w:val="18"/>
        </w:rPr>
      </w:pPr>
      <w:r>
        <w:rPr>
          <w:rFonts w:hint="eastAsia"/>
          <w:sz w:val="18"/>
          <w:szCs w:val="18"/>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14:paraId="7C413A73">
      <w:pPr>
        <w:pStyle w:val="9"/>
        <w:spacing w:before="20" w:beforeAutospacing="0" w:after="20" w:afterAutospacing="0" w:line="20" w:lineRule="atLeast"/>
        <w:ind w:firstLine="480"/>
        <w:jc w:val="both"/>
        <w:rPr>
          <w:sz w:val="18"/>
          <w:szCs w:val="18"/>
        </w:rPr>
      </w:pPr>
      <w:r>
        <w:rPr>
          <w:rFonts w:hint="eastAsia"/>
          <w:sz w:val="18"/>
          <w:szCs w:val="18"/>
        </w:rPr>
        <w:t>②权益法核算的长期股权投资</w:t>
      </w:r>
    </w:p>
    <w:p w14:paraId="6D6C5A0A">
      <w:pPr>
        <w:pStyle w:val="9"/>
        <w:spacing w:before="20" w:beforeAutospacing="0" w:after="20" w:afterAutospacing="0" w:line="20" w:lineRule="atLeast"/>
        <w:ind w:firstLine="480"/>
        <w:jc w:val="both"/>
        <w:rPr>
          <w:sz w:val="18"/>
          <w:szCs w:val="18"/>
        </w:rPr>
      </w:pPr>
      <w:r>
        <w:rPr>
          <w:rFonts w:hint="eastAsia"/>
          <w:sz w:val="18"/>
          <w:szCs w:val="18"/>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14:paraId="70C73308">
      <w:pPr>
        <w:pStyle w:val="9"/>
        <w:spacing w:before="20" w:beforeAutospacing="0" w:after="20" w:afterAutospacing="0" w:line="20" w:lineRule="atLeast"/>
        <w:ind w:firstLine="480"/>
        <w:jc w:val="both"/>
        <w:rPr>
          <w:sz w:val="18"/>
          <w:szCs w:val="18"/>
        </w:rPr>
      </w:pPr>
      <w:r>
        <w:rPr>
          <w:rFonts w:hint="eastAsia"/>
          <w:sz w:val="18"/>
          <w:szCs w:val="18"/>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本公司向合营企业或联营企业投出的资产构成业务的，投资方因此取得长期股权投资但未取得控制权的，以投出业务的公允价值作为新增长期股权投资的初始投资成本，初始投资成本与投出业务的账面价值之差，全额计入当期损益。本公司向合营企业或联营企业出售的资产构成业务的，取得的对价与业务的账面价值之差，全额计入当期损益。本公司自联营企业及合营企业购入的资产构成业务的，按《企业会计准则第20号——企业合并》的规定进行会计处理，全额确认与交易相关的利得或损失。</w:t>
      </w:r>
    </w:p>
    <w:p w14:paraId="24FDAE6C">
      <w:pPr>
        <w:pStyle w:val="9"/>
        <w:spacing w:before="20" w:beforeAutospacing="0" w:after="20" w:afterAutospacing="0" w:line="20" w:lineRule="atLeast"/>
        <w:ind w:firstLine="480"/>
        <w:jc w:val="both"/>
        <w:rPr>
          <w:sz w:val="18"/>
          <w:szCs w:val="18"/>
        </w:rPr>
      </w:pPr>
      <w:r>
        <w:rPr>
          <w:rFonts w:hint="eastAsia"/>
          <w:sz w:val="18"/>
          <w:szCs w:val="18"/>
        </w:rPr>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14:paraId="33192A18">
      <w:pPr>
        <w:pStyle w:val="9"/>
        <w:spacing w:before="20" w:beforeAutospacing="0" w:after="20" w:afterAutospacing="0" w:line="20" w:lineRule="atLeast"/>
        <w:ind w:firstLine="480"/>
        <w:jc w:val="both"/>
        <w:rPr>
          <w:sz w:val="18"/>
          <w:szCs w:val="18"/>
        </w:rPr>
      </w:pPr>
      <w:r>
        <w:rPr>
          <w:rFonts w:hint="eastAsia"/>
          <w:sz w:val="18"/>
          <w:szCs w:val="18"/>
        </w:rPr>
        <w:t>对于本公司首次执行新会计准则之前已经持有的对联营企业和合营企业的长期股权投资，如存在与该投资相关的股权投资借方差额，按原剩余期限直线摊销的金额计入当期损益。</w:t>
      </w:r>
    </w:p>
    <w:p w14:paraId="6770B1C9">
      <w:pPr>
        <w:pStyle w:val="9"/>
        <w:spacing w:before="20" w:beforeAutospacing="0" w:after="20" w:afterAutospacing="0" w:line="20" w:lineRule="atLeast"/>
        <w:ind w:firstLine="480"/>
        <w:jc w:val="both"/>
        <w:rPr>
          <w:sz w:val="18"/>
          <w:szCs w:val="18"/>
        </w:rPr>
      </w:pPr>
      <w:r>
        <w:rPr>
          <w:rFonts w:hint="eastAsia"/>
          <w:sz w:val="18"/>
          <w:szCs w:val="18"/>
        </w:rPr>
        <w:t>③收购少数股权</w:t>
      </w:r>
    </w:p>
    <w:p w14:paraId="69614867">
      <w:pPr>
        <w:pStyle w:val="9"/>
        <w:spacing w:before="20" w:beforeAutospacing="0" w:after="20" w:afterAutospacing="0" w:line="20" w:lineRule="atLeast"/>
        <w:ind w:firstLine="480"/>
        <w:jc w:val="both"/>
        <w:rPr>
          <w:sz w:val="18"/>
          <w:szCs w:val="18"/>
        </w:rPr>
      </w:pPr>
      <w:r>
        <w:rPr>
          <w:rFonts w:hint="eastAsia"/>
          <w:sz w:val="18"/>
          <w:szCs w:val="18"/>
        </w:rPr>
        <w:t>在编制合并财务报表时，因购买少数股权新增的长期股权投资与按照新增持股比例计算应享有子公司自购买日（或合并日）开始持续计算的净资产份额之间的差额，调整资本公积，资本公积不足冲减的，调整留存收益。</w:t>
      </w:r>
    </w:p>
    <w:p w14:paraId="54239632">
      <w:pPr>
        <w:pStyle w:val="9"/>
        <w:spacing w:before="20" w:beforeAutospacing="0" w:after="20" w:afterAutospacing="0" w:line="20" w:lineRule="atLeast"/>
        <w:ind w:firstLine="480"/>
        <w:jc w:val="both"/>
        <w:rPr>
          <w:sz w:val="18"/>
          <w:szCs w:val="18"/>
        </w:rPr>
      </w:pPr>
      <w:r>
        <w:rPr>
          <w:rFonts w:hint="eastAsia"/>
          <w:sz w:val="18"/>
          <w:szCs w:val="18"/>
        </w:rPr>
        <w:t>④处置长期股权投资</w:t>
      </w:r>
    </w:p>
    <w:p w14:paraId="7445E2E3">
      <w:pPr>
        <w:pStyle w:val="9"/>
        <w:spacing w:before="20" w:beforeAutospacing="0" w:after="20" w:afterAutospacing="0" w:line="20" w:lineRule="atLeast"/>
        <w:ind w:firstLine="480"/>
        <w:jc w:val="both"/>
        <w:rPr>
          <w:sz w:val="18"/>
          <w:szCs w:val="18"/>
        </w:rPr>
      </w:pPr>
      <w:r>
        <w:rPr>
          <w:rFonts w:hint="eastAsia"/>
          <w:sz w:val="18"/>
          <w:szCs w:val="18"/>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报告第十节、五、7、（2）“合并财务报表编制的方法”中所述的相关会计政策处理。</w:t>
      </w:r>
    </w:p>
    <w:p w14:paraId="381E1FCB">
      <w:pPr>
        <w:pStyle w:val="9"/>
        <w:spacing w:before="20" w:beforeAutospacing="0" w:after="20" w:afterAutospacing="0" w:line="20" w:lineRule="atLeast"/>
        <w:ind w:firstLine="480"/>
        <w:jc w:val="both"/>
        <w:rPr>
          <w:sz w:val="18"/>
          <w:szCs w:val="18"/>
        </w:rPr>
      </w:pPr>
      <w:r>
        <w:rPr>
          <w:rFonts w:hint="eastAsia"/>
          <w:sz w:val="18"/>
          <w:szCs w:val="18"/>
        </w:rPr>
        <w:t>其他情形下的长期股权投资处置，对于处置的股权，其账面价值与实际取得价款的差额，计入当期损益。</w:t>
      </w:r>
    </w:p>
    <w:p w14:paraId="76B67600">
      <w:pPr>
        <w:pStyle w:val="9"/>
        <w:spacing w:before="20" w:beforeAutospacing="0" w:after="20" w:afterAutospacing="0" w:line="20" w:lineRule="atLeast"/>
        <w:ind w:firstLine="480"/>
        <w:jc w:val="both"/>
        <w:rPr>
          <w:sz w:val="18"/>
          <w:szCs w:val="18"/>
        </w:rPr>
      </w:pPr>
      <w:r>
        <w:rPr>
          <w:rFonts w:hint="eastAsia"/>
          <w:sz w:val="18"/>
          <w:szCs w:val="18"/>
        </w:rPr>
        <w:t>采用权益法核算的长期股权投资，处置后的剩余股权仍采用权益法核算的，在处置时将原计入</w:t>
      </w:r>
      <w:r>
        <w:rPr>
          <w:rFonts w:hint="eastAsia"/>
          <w:snapToGrid w:val="0"/>
          <w:sz w:val="18"/>
          <w:szCs w:val="18"/>
        </w:rPr>
        <w:t>股东权益</w:t>
      </w:r>
      <w:r>
        <w:rPr>
          <w:rFonts w:hint="eastAsia"/>
          <w:sz w:val="18"/>
          <w:szCs w:val="18"/>
        </w:rPr>
        <w:t>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14:paraId="50D9D43C">
      <w:pPr>
        <w:pStyle w:val="9"/>
        <w:spacing w:before="20" w:beforeAutospacing="0" w:after="20" w:afterAutospacing="0" w:line="20" w:lineRule="atLeast"/>
        <w:ind w:firstLine="480"/>
        <w:jc w:val="both"/>
        <w:rPr>
          <w:sz w:val="18"/>
          <w:szCs w:val="18"/>
        </w:rPr>
      </w:pPr>
      <w:r>
        <w:rPr>
          <w:rFonts w:hint="eastAsia"/>
          <w:sz w:val="18"/>
          <w:szCs w:val="18"/>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14:paraId="4FAFF3E9">
      <w:pPr>
        <w:pStyle w:val="9"/>
        <w:spacing w:before="20" w:beforeAutospacing="0" w:after="20" w:afterAutospacing="0" w:line="20" w:lineRule="atLeast"/>
        <w:ind w:firstLine="480"/>
        <w:jc w:val="both"/>
        <w:rPr>
          <w:sz w:val="18"/>
          <w:szCs w:val="18"/>
        </w:rPr>
      </w:pPr>
      <w:r>
        <w:rPr>
          <w:rFonts w:hint="eastAsia"/>
          <w:sz w:val="18"/>
          <w:szCs w:val="18"/>
        </w:rPr>
        <w:t>本公司因处置部分股权投资丧失了对被投资单位的控制的，在编制个别财务报表时，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金融工具确认和计量准则的有关规定进行会计处理，其在丧失控制之日的公允价值与账面价值之间的差额计入当期损益。对于本公司取得对被投资单位的控制之前，因采用权益法核算或金融工具确认和计量准则核算而确认的其他综合收益，在丧失对被投资单位控制时采用与被投资单位直接处置相关资产或负债相同的基础进行会计处理，因采用权益法核算而确认的被投资单位净资产中除净损益、其他综合收益和利润分配以外的其他所有者权益变动在丧失对被投资单位控制时结转入当期损益。其中，处置后的剩余股权采用权益法核算的，其他综合收益和其他所有者权益按比例结转；处置后的剩余股权改按金融工具确认和计量准则进行会计处理的，其他综合收益和其他所有者权益全部结转。</w:t>
      </w:r>
    </w:p>
    <w:p w14:paraId="2C2D23FD">
      <w:pPr>
        <w:pStyle w:val="9"/>
        <w:spacing w:before="20" w:beforeAutospacing="0" w:after="20" w:afterAutospacing="0" w:line="20" w:lineRule="atLeast"/>
        <w:ind w:firstLine="480"/>
        <w:jc w:val="both"/>
        <w:rPr>
          <w:sz w:val="18"/>
          <w:szCs w:val="18"/>
        </w:rPr>
      </w:pPr>
      <w:r>
        <w:rPr>
          <w:rFonts w:hint="eastAsia"/>
          <w:sz w:val="18"/>
          <w:szCs w:val="18"/>
        </w:rPr>
        <w:t>本公司因处置部分股权投资丧失了对被投资单位的共同控制或重大影响的，处置后的剩余股权改按金融工具确认和计量准则核算，其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因被投资方除净损益、其他综合收益和利润分配以外的其他所有者权益变动而确认的所有者权益，在终止采用权益法时全部转入当期投资收益。</w:t>
      </w:r>
    </w:p>
    <w:p w14:paraId="5ACA5B6E">
      <w:pPr>
        <w:pStyle w:val="9"/>
        <w:spacing w:before="20" w:beforeAutospacing="0" w:after="20" w:afterAutospacing="0" w:line="20" w:lineRule="atLeast"/>
        <w:ind w:firstLine="480"/>
        <w:jc w:val="both"/>
        <w:rPr>
          <w:sz w:val="18"/>
          <w:szCs w:val="18"/>
        </w:rPr>
      </w:pPr>
      <w:r>
        <w:rPr>
          <w:rFonts w:hint="eastAsia"/>
          <w:sz w:val="18"/>
          <w:szCs w:val="18"/>
        </w:rPr>
        <w:t>本公司通过多次交易分步处置对子公司股权投资直至丧失控制权，如果上述交易属于一揽子交易的，将各项交易作为一项处置子公司股权投资并丧失控制权的交易进行会计处理，在丧失控制权之前每一次处置价款与所处置的股权对应的长期股权投资账面价值之间的差额，先确认为其他综合收益，到丧失控制权时再一并转入丧失控制权的当期损益</w:t>
      </w:r>
    </w:p>
    <w:p w14:paraId="20225F7B">
      <w:pPr>
        <w:pStyle w:val="3"/>
        <w:spacing w:before="100" w:after="100" w:line="280" w:lineRule="exact"/>
        <w:jc w:val="left"/>
        <w:rPr>
          <w:rFonts w:ascii="宋体" w:hAnsi="宋体" w:cs="宋体"/>
          <w:b/>
          <w:bCs/>
        </w:rPr>
      </w:pPr>
      <w:bookmarkStart w:id="125" w:name="_Toc989014"/>
      <w:r>
        <w:rPr>
          <w:rFonts w:ascii="宋体" w:hAnsi="宋体" w:cs="宋体"/>
          <w:b/>
          <w:bCs/>
        </w:rPr>
        <w:t>23、投资性房地产</w:t>
      </w:r>
      <w:bookmarkEnd w:id="125"/>
    </w:p>
    <w:p w14:paraId="61B5C753">
      <w:pPr>
        <w:spacing w:before="100" w:after="100" w:line="240" w:lineRule="exact"/>
        <w:rPr>
          <w:rFonts w:ascii="宋体" w:hAnsi="宋体" w:eastAsia="宋体" w:cs="宋体"/>
          <w:sz w:val="18"/>
          <w:szCs w:val="18"/>
        </w:rPr>
      </w:pPr>
      <w:r>
        <w:rPr>
          <w:rFonts w:ascii="宋体" w:hAnsi="宋体" w:eastAsia="宋体" w:cs="宋体"/>
          <w:sz w:val="18"/>
          <w:szCs w:val="18"/>
        </w:rPr>
        <w:t>投资性房地产计量模式</w:t>
      </w:r>
    </w:p>
    <w:p w14:paraId="15ACAC99">
      <w:pPr>
        <w:spacing w:before="100" w:after="100" w:line="240" w:lineRule="exact"/>
        <w:rPr>
          <w:rFonts w:ascii="宋体" w:hAnsi="宋体" w:eastAsia="宋体" w:cs="宋体"/>
          <w:sz w:val="18"/>
          <w:szCs w:val="18"/>
        </w:rPr>
      </w:pPr>
      <w:r>
        <w:rPr>
          <w:rFonts w:ascii="宋体" w:hAnsi="宋体" w:eastAsia="宋体" w:cs="宋体"/>
          <w:sz w:val="18"/>
          <w:szCs w:val="18"/>
        </w:rPr>
        <w:t>不适用</w:t>
      </w:r>
    </w:p>
    <w:p w14:paraId="1C661D36">
      <w:pPr>
        <w:pStyle w:val="3"/>
        <w:spacing w:before="100" w:after="100" w:line="280" w:lineRule="exact"/>
        <w:jc w:val="left"/>
        <w:rPr>
          <w:rFonts w:ascii="宋体" w:hAnsi="宋体" w:cs="宋体"/>
          <w:b/>
          <w:bCs/>
        </w:rPr>
      </w:pPr>
      <w:bookmarkStart w:id="126" w:name="_Toc989015"/>
      <w:r>
        <w:rPr>
          <w:rFonts w:ascii="宋体" w:hAnsi="宋体" w:cs="宋体"/>
          <w:b/>
          <w:bCs/>
        </w:rPr>
        <w:t>24、固定资产</w:t>
      </w:r>
      <w:bookmarkEnd w:id="126"/>
    </w:p>
    <w:p w14:paraId="147B59DE">
      <w:pPr>
        <w:keepNext/>
        <w:keepLines/>
        <w:spacing w:before="100" w:after="100" w:line="280" w:lineRule="exact"/>
        <w:outlineLvl w:val="3"/>
        <w:rPr>
          <w:rFonts w:ascii="宋体" w:hAnsi="宋体" w:eastAsia="宋体" w:cs="宋体"/>
          <w:b/>
          <w:bCs/>
          <w:szCs w:val="21"/>
        </w:rPr>
      </w:pPr>
      <w:bookmarkStart w:id="127" w:name="_Toc989016"/>
      <w:r>
        <w:rPr>
          <w:rFonts w:ascii="宋体" w:hAnsi="宋体" w:eastAsia="宋体" w:cs="宋体"/>
          <w:b/>
          <w:bCs/>
          <w:szCs w:val="21"/>
        </w:rPr>
        <w:t>（1） 确认条件</w:t>
      </w:r>
      <w:bookmarkEnd w:id="127"/>
    </w:p>
    <w:p w14:paraId="5B33446E">
      <w:pPr>
        <w:pStyle w:val="9"/>
        <w:spacing w:before="20" w:beforeAutospacing="0" w:after="20" w:afterAutospacing="0" w:line="20" w:lineRule="atLeast"/>
        <w:ind w:firstLine="180" w:firstLineChars="100"/>
        <w:rPr>
          <w:sz w:val="18"/>
          <w:szCs w:val="18"/>
        </w:rPr>
      </w:pPr>
      <w:r>
        <w:rPr>
          <w:rFonts w:hint="eastAsia"/>
          <w:sz w:val="18"/>
          <w:szCs w:val="18"/>
        </w:rPr>
        <w:t>本公司固定资产是指为生产商品、提供劳务、出租或经营管理而持有的，使用寿命超过一个会计年度的有形资产。</w:t>
      </w:r>
    </w:p>
    <w:p w14:paraId="58D5254C">
      <w:pPr>
        <w:pStyle w:val="9"/>
        <w:spacing w:before="20" w:beforeAutospacing="0" w:after="20" w:afterAutospacing="0" w:line="20" w:lineRule="atLeast"/>
        <w:rPr>
          <w:sz w:val="18"/>
          <w:szCs w:val="18"/>
        </w:rPr>
      </w:pPr>
      <w:r>
        <w:rPr>
          <w:rFonts w:hint="eastAsia"/>
          <w:sz w:val="18"/>
          <w:szCs w:val="18"/>
        </w:rPr>
        <w:t>与该固定资产有关的经济利益很可能流入企业，并且该固定资产的成本能够可靠地计量时，固定资产才能予以确认。</w:t>
      </w:r>
    </w:p>
    <w:p w14:paraId="0404BFB0">
      <w:pPr>
        <w:pStyle w:val="9"/>
        <w:spacing w:beforeAutospacing="0" w:afterAutospacing="0" w:line="20" w:lineRule="atLeast"/>
        <w:rPr>
          <w:sz w:val="18"/>
          <w:szCs w:val="18"/>
        </w:rPr>
      </w:pPr>
      <w:r>
        <w:rPr>
          <w:rFonts w:hint="eastAsia"/>
          <w:sz w:val="18"/>
          <w:szCs w:val="18"/>
        </w:rPr>
        <w:t>本公司固定资产按照取得时的实际成本进行初始计量。</w:t>
      </w:r>
    </w:p>
    <w:p w14:paraId="697A2FC7">
      <w:pPr>
        <w:keepNext/>
        <w:keepLines/>
        <w:spacing w:before="100" w:after="100" w:line="280" w:lineRule="exact"/>
        <w:outlineLvl w:val="3"/>
      </w:pPr>
      <w:bookmarkStart w:id="128" w:name="_Toc989017"/>
      <w:r>
        <w:rPr>
          <w:rFonts w:ascii="宋体" w:hAnsi="宋体" w:eastAsia="宋体" w:cs="宋体"/>
          <w:b/>
          <w:bCs/>
          <w:szCs w:val="21"/>
        </w:rPr>
        <w:t>（2） 折旧方法</w:t>
      </w:r>
      <w:bookmarkEnd w:id="128"/>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BE0A6FC">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35E78A7C">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B87E9B">
            <w:pPr>
              <w:spacing w:before="40" w:after="40" w:line="240" w:lineRule="exact"/>
              <w:jc w:val="center"/>
              <w:rPr>
                <w:rFonts w:ascii="宋体" w:hAnsi="宋体" w:eastAsia="宋体" w:cs="宋体"/>
                <w:sz w:val="18"/>
                <w:szCs w:val="18"/>
              </w:rPr>
            </w:pPr>
            <w:r>
              <w:rPr>
                <w:rFonts w:ascii="宋体" w:hAnsi="宋体" w:eastAsia="宋体" w:cs="宋体"/>
                <w:sz w:val="18"/>
                <w:szCs w:val="18"/>
              </w:rPr>
              <w:t>折旧方法</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DDC5B1">
            <w:pPr>
              <w:spacing w:before="40" w:after="40" w:line="240" w:lineRule="exact"/>
              <w:jc w:val="center"/>
              <w:rPr>
                <w:rFonts w:ascii="宋体" w:hAnsi="宋体" w:eastAsia="宋体" w:cs="宋体"/>
                <w:sz w:val="18"/>
                <w:szCs w:val="18"/>
              </w:rPr>
            </w:pPr>
            <w:r>
              <w:rPr>
                <w:rFonts w:ascii="宋体" w:hAnsi="宋体" w:eastAsia="宋体" w:cs="宋体"/>
                <w:sz w:val="18"/>
                <w:szCs w:val="18"/>
              </w:rPr>
              <w:t>折旧年限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F5F8C9">
            <w:pPr>
              <w:spacing w:before="40" w:after="40" w:line="240" w:lineRule="exact"/>
              <w:jc w:val="center"/>
              <w:rPr>
                <w:rFonts w:ascii="宋体" w:hAnsi="宋体" w:eastAsia="宋体" w:cs="宋体"/>
                <w:sz w:val="18"/>
                <w:szCs w:val="18"/>
              </w:rPr>
            </w:pPr>
            <w:r>
              <w:rPr>
                <w:rFonts w:ascii="宋体" w:hAnsi="宋体" w:eastAsia="宋体" w:cs="宋体"/>
                <w:sz w:val="18"/>
                <w:szCs w:val="18"/>
              </w:rPr>
              <w:t>残值率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55F68F">
            <w:pPr>
              <w:spacing w:before="40" w:after="40" w:line="240" w:lineRule="exact"/>
              <w:jc w:val="center"/>
              <w:rPr>
                <w:rFonts w:ascii="宋体" w:hAnsi="宋体" w:eastAsia="宋体" w:cs="宋体"/>
                <w:sz w:val="18"/>
                <w:szCs w:val="18"/>
              </w:rPr>
            </w:pPr>
            <w:r>
              <w:rPr>
                <w:rFonts w:ascii="宋体" w:hAnsi="宋体" w:eastAsia="宋体" w:cs="宋体"/>
                <w:sz w:val="18"/>
                <w:szCs w:val="18"/>
              </w:rPr>
              <w:t>年折旧率</w:t>
            </w:r>
          </w:p>
        </w:tc>
      </w:tr>
      <w:tr w14:paraId="7083DDF6">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247305FD">
            <w:pPr>
              <w:spacing w:line="240" w:lineRule="exact"/>
              <w:rPr>
                <w:rFonts w:ascii="宋体" w:hAnsi="宋体" w:eastAsia="宋体" w:cs="宋体"/>
                <w:sz w:val="18"/>
                <w:szCs w:val="18"/>
              </w:rPr>
            </w:pPr>
            <w:r>
              <w:rPr>
                <w:rFonts w:ascii="宋体" w:hAnsi="宋体" w:eastAsia="宋体" w:cs="宋体"/>
                <w:sz w:val="18"/>
                <w:szCs w:val="18"/>
              </w:rPr>
              <w:t>房屋建筑物</w:t>
            </w:r>
          </w:p>
        </w:tc>
        <w:tc>
          <w:tcPr>
            <w:tcW w:w="1928" w:type="dxa"/>
            <w:tcBorders>
              <w:top w:val="single" w:color="auto" w:sz="2" w:space="0"/>
              <w:left w:val="single" w:color="auto" w:sz="2" w:space="0"/>
              <w:bottom w:val="single" w:color="auto" w:sz="2" w:space="0"/>
              <w:right w:val="single" w:color="auto" w:sz="2" w:space="0"/>
            </w:tcBorders>
            <w:vAlign w:val="center"/>
          </w:tcPr>
          <w:p w14:paraId="6BB978E0">
            <w:pPr>
              <w:spacing w:line="240" w:lineRule="exac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455F0B88">
            <w:pPr>
              <w:spacing w:line="240" w:lineRule="exact"/>
              <w:rPr>
                <w:rFonts w:ascii="宋体" w:hAnsi="宋体" w:eastAsia="宋体" w:cs="宋体"/>
                <w:sz w:val="18"/>
                <w:szCs w:val="18"/>
              </w:rPr>
            </w:pPr>
            <w:r>
              <w:rPr>
                <w:rFonts w:ascii="宋体" w:hAnsi="宋体" w:eastAsia="宋体" w:cs="宋体"/>
                <w:sz w:val="18"/>
                <w:szCs w:val="18"/>
              </w:rPr>
              <w:t>10-40</w:t>
            </w:r>
          </w:p>
        </w:tc>
        <w:tc>
          <w:tcPr>
            <w:tcW w:w="1928" w:type="dxa"/>
            <w:tcBorders>
              <w:top w:val="single" w:color="auto" w:sz="2" w:space="0"/>
              <w:left w:val="single" w:color="auto" w:sz="2" w:space="0"/>
              <w:bottom w:val="single" w:color="auto" w:sz="2" w:space="0"/>
              <w:right w:val="single" w:color="auto" w:sz="2" w:space="0"/>
            </w:tcBorders>
            <w:vAlign w:val="center"/>
          </w:tcPr>
          <w:p w14:paraId="6A4A3872">
            <w:pPr>
              <w:spacing w:line="240" w:lineRule="exact"/>
              <w:rPr>
                <w:rFonts w:ascii="宋体" w:hAnsi="宋体" w:eastAsia="宋体" w:cs="宋体"/>
                <w:sz w:val="18"/>
                <w:szCs w:val="18"/>
              </w:rPr>
            </w:pPr>
            <w:r>
              <w:rPr>
                <w:rFonts w:ascii="宋体" w:hAnsi="宋体" w:eastAsia="宋体" w:cs="宋体"/>
                <w:sz w:val="18"/>
                <w:szCs w:val="18"/>
              </w:rPr>
              <w:t>3</w:t>
            </w:r>
          </w:p>
        </w:tc>
        <w:tc>
          <w:tcPr>
            <w:tcW w:w="1928" w:type="dxa"/>
            <w:tcBorders>
              <w:top w:val="single" w:color="auto" w:sz="2" w:space="0"/>
              <w:left w:val="single" w:color="auto" w:sz="2" w:space="0"/>
              <w:bottom w:val="single" w:color="auto" w:sz="2" w:space="0"/>
              <w:right w:val="single" w:color="auto" w:sz="2" w:space="0"/>
            </w:tcBorders>
            <w:vAlign w:val="center"/>
          </w:tcPr>
          <w:p w14:paraId="3C6457AA">
            <w:pPr>
              <w:spacing w:line="240" w:lineRule="exact"/>
              <w:rPr>
                <w:rFonts w:ascii="宋体" w:hAnsi="宋体" w:eastAsia="宋体" w:cs="宋体"/>
                <w:sz w:val="18"/>
                <w:szCs w:val="18"/>
              </w:rPr>
            </w:pPr>
            <w:r>
              <w:rPr>
                <w:rFonts w:ascii="宋体" w:hAnsi="宋体" w:eastAsia="宋体" w:cs="宋体"/>
                <w:sz w:val="18"/>
                <w:szCs w:val="18"/>
              </w:rPr>
              <w:t>9.70-2.43</w:t>
            </w:r>
          </w:p>
        </w:tc>
      </w:tr>
      <w:tr w14:paraId="5C9CD6AD">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DE711F8">
            <w:pPr>
              <w:spacing w:line="240" w:lineRule="exact"/>
              <w:rPr>
                <w:rFonts w:ascii="宋体" w:hAnsi="宋体" w:eastAsia="宋体" w:cs="宋体"/>
                <w:sz w:val="18"/>
                <w:szCs w:val="18"/>
              </w:rPr>
            </w:pPr>
            <w:r>
              <w:rPr>
                <w:rFonts w:ascii="宋体" w:hAnsi="宋体" w:eastAsia="宋体" w:cs="宋体"/>
                <w:sz w:val="18"/>
                <w:szCs w:val="18"/>
              </w:rPr>
              <w:t>机器设备</w:t>
            </w:r>
          </w:p>
        </w:tc>
        <w:tc>
          <w:tcPr>
            <w:tcW w:w="1928" w:type="dxa"/>
            <w:tcBorders>
              <w:top w:val="single" w:color="auto" w:sz="2" w:space="0"/>
              <w:left w:val="single" w:color="auto" w:sz="2" w:space="0"/>
              <w:bottom w:val="single" w:color="auto" w:sz="2" w:space="0"/>
              <w:right w:val="single" w:color="auto" w:sz="2" w:space="0"/>
            </w:tcBorders>
            <w:vAlign w:val="center"/>
          </w:tcPr>
          <w:p w14:paraId="74A90446">
            <w:pPr>
              <w:spacing w:line="240" w:lineRule="exac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1315DF94">
            <w:pPr>
              <w:spacing w:line="240" w:lineRule="exact"/>
              <w:rPr>
                <w:rFonts w:ascii="宋体" w:hAnsi="宋体" w:eastAsia="宋体" w:cs="宋体"/>
                <w:sz w:val="18"/>
                <w:szCs w:val="18"/>
              </w:rPr>
            </w:pPr>
            <w:r>
              <w:rPr>
                <w:rFonts w:ascii="宋体" w:hAnsi="宋体" w:eastAsia="宋体" w:cs="宋体"/>
                <w:sz w:val="18"/>
                <w:szCs w:val="18"/>
              </w:rPr>
              <w:t>14-20</w:t>
            </w:r>
          </w:p>
        </w:tc>
        <w:tc>
          <w:tcPr>
            <w:tcW w:w="1928" w:type="dxa"/>
            <w:tcBorders>
              <w:top w:val="single" w:color="auto" w:sz="2" w:space="0"/>
              <w:left w:val="single" w:color="auto" w:sz="2" w:space="0"/>
              <w:bottom w:val="single" w:color="auto" w:sz="2" w:space="0"/>
              <w:right w:val="single" w:color="auto" w:sz="2" w:space="0"/>
            </w:tcBorders>
            <w:vAlign w:val="center"/>
          </w:tcPr>
          <w:p w14:paraId="492EE4D7">
            <w:pPr>
              <w:spacing w:line="240" w:lineRule="exact"/>
              <w:rPr>
                <w:rFonts w:ascii="宋体" w:hAnsi="宋体" w:eastAsia="宋体" w:cs="宋体"/>
                <w:sz w:val="18"/>
                <w:szCs w:val="18"/>
              </w:rPr>
            </w:pPr>
            <w:r>
              <w:rPr>
                <w:rFonts w:ascii="宋体" w:hAnsi="宋体" w:eastAsia="宋体" w:cs="宋体"/>
                <w:sz w:val="18"/>
                <w:szCs w:val="18"/>
              </w:rPr>
              <w:t>3</w:t>
            </w:r>
          </w:p>
        </w:tc>
        <w:tc>
          <w:tcPr>
            <w:tcW w:w="1928" w:type="dxa"/>
            <w:tcBorders>
              <w:top w:val="single" w:color="auto" w:sz="2" w:space="0"/>
              <w:left w:val="single" w:color="auto" w:sz="2" w:space="0"/>
              <w:bottom w:val="single" w:color="auto" w:sz="2" w:space="0"/>
              <w:right w:val="single" w:color="auto" w:sz="2" w:space="0"/>
            </w:tcBorders>
            <w:vAlign w:val="center"/>
          </w:tcPr>
          <w:p w14:paraId="270DEF2A">
            <w:pPr>
              <w:spacing w:line="240" w:lineRule="exact"/>
              <w:rPr>
                <w:rFonts w:ascii="宋体" w:hAnsi="宋体" w:eastAsia="宋体" w:cs="宋体"/>
                <w:sz w:val="18"/>
                <w:szCs w:val="18"/>
              </w:rPr>
            </w:pPr>
            <w:r>
              <w:rPr>
                <w:rFonts w:ascii="宋体" w:hAnsi="宋体" w:eastAsia="宋体" w:cs="宋体"/>
                <w:sz w:val="18"/>
                <w:szCs w:val="18"/>
              </w:rPr>
              <w:t>6.93-4.85</w:t>
            </w:r>
          </w:p>
        </w:tc>
      </w:tr>
      <w:tr w14:paraId="2391CDCD">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7E4A270">
            <w:pPr>
              <w:spacing w:line="240" w:lineRule="exact"/>
              <w:rPr>
                <w:rFonts w:ascii="宋体" w:hAnsi="宋体" w:eastAsia="宋体" w:cs="宋体"/>
                <w:sz w:val="18"/>
                <w:szCs w:val="18"/>
              </w:rPr>
            </w:pPr>
            <w:r>
              <w:rPr>
                <w:rFonts w:ascii="宋体" w:hAnsi="宋体" w:eastAsia="宋体" w:cs="宋体"/>
                <w:sz w:val="18"/>
                <w:szCs w:val="18"/>
              </w:rPr>
              <w:t>运输设备</w:t>
            </w:r>
          </w:p>
        </w:tc>
        <w:tc>
          <w:tcPr>
            <w:tcW w:w="1928" w:type="dxa"/>
            <w:tcBorders>
              <w:top w:val="single" w:color="auto" w:sz="2" w:space="0"/>
              <w:left w:val="single" w:color="auto" w:sz="2" w:space="0"/>
              <w:bottom w:val="single" w:color="auto" w:sz="2" w:space="0"/>
              <w:right w:val="single" w:color="auto" w:sz="2" w:space="0"/>
            </w:tcBorders>
            <w:vAlign w:val="center"/>
          </w:tcPr>
          <w:p w14:paraId="69385244">
            <w:pPr>
              <w:spacing w:line="240" w:lineRule="exac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30B8E1A8">
            <w:pPr>
              <w:spacing w:line="240" w:lineRule="exact"/>
              <w:rPr>
                <w:rFonts w:ascii="宋体" w:hAnsi="宋体" w:eastAsia="宋体" w:cs="宋体"/>
                <w:sz w:val="18"/>
                <w:szCs w:val="18"/>
              </w:rPr>
            </w:pPr>
            <w:r>
              <w:rPr>
                <w:rFonts w:ascii="宋体" w:hAnsi="宋体" w:eastAsia="宋体" w:cs="宋体"/>
                <w:sz w:val="18"/>
                <w:szCs w:val="18"/>
              </w:rPr>
              <w:t>6-12</w:t>
            </w:r>
          </w:p>
        </w:tc>
        <w:tc>
          <w:tcPr>
            <w:tcW w:w="1928" w:type="dxa"/>
            <w:tcBorders>
              <w:top w:val="single" w:color="auto" w:sz="2" w:space="0"/>
              <w:left w:val="single" w:color="auto" w:sz="2" w:space="0"/>
              <w:bottom w:val="single" w:color="auto" w:sz="2" w:space="0"/>
              <w:right w:val="single" w:color="auto" w:sz="2" w:space="0"/>
            </w:tcBorders>
            <w:vAlign w:val="center"/>
          </w:tcPr>
          <w:p w14:paraId="3FB5B389">
            <w:pPr>
              <w:spacing w:line="240" w:lineRule="exact"/>
              <w:rPr>
                <w:rFonts w:ascii="宋体" w:hAnsi="宋体" w:eastAsia="宋体" w:cs="宋体"/>
                <w:sz w:val="18"/>
                <w:szCs w:val="18"/>
              </w:rPr>
            </w:pPr>
            <w:r>
              <w:rPr>
                <w:rFonts w:ascii="宋体" w:hAnsi="宋体" w:eastAsia="宋体" w:cs="宋体"/>
                <w:sz w:val="18"/>
                <w:szCs w:val="18"/>
              </w:rPr>
              <w:t>3</w:t>
            </w:r>
          </w:p>
        </w:tc>
        <w:tc>
          <w:tcPr>
            <w:tcW w:w="1928" w:type="dxa"/>
            <w:tcBorders>
              <w:top w:val="single" w:color="auto" w:sz="2" w:space="0"/>
              <w:left w:val="single" w:color="auto" w:sz="2" w:space="0"/>
              <w:bottom w:val="single" w:color="auto" w:sz="2" w:space="0"/>
              <w:right w:val="single" w:color="auto" w:sz="2" w:space="0"/>
            </w:tcBorders>
            <w:vAlign w:val="center"/>
          </w:tcPr>
          <w:p w14:paraId="38B56FE1">
            <w:pPr>
              <w:spacing w:line="240" w:lineRule="exact"/>
              <w:rPr>
                <w:rFonts w:ascii="宋体" w:hAnsi="宋体" w:eastAsia="宋体" w:cs="宋体"/>
                <w:sz w:val="18"/>
                <w:szCs w:val="18"/>
              </w:rPr>
            </w:pPr>
            <w:r>
              <w:rPr>
                <w:rFonts w:ascii="宋体" w:hAnsi="宋体" w:eastAsia="宋体" w:cs="宋体"/>
                <w:sz w:val="18"/>
                <w:szCs w:val="18"/>
              </w:rPr>
              <w:t>16.17-8.08</w:t>
            </w:r>
          </w:p>
        </w:tc>
      </w:tr>
      <w:tr w14:paraId="370D4B9E">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2B90FAC1">
            <w:pPr>
              <w:spacing w:line="240" w:lineRule="exact"/>
              <w:rPr>
                <w:rFonts w:ascii="宋体" w:hAnsi="宋体" w:eastAsia="宋体" w:cs="宋体"/>
                <w:sz w:val="18"/>
                <w:szCs w:val="18"/>
              </w:rPr>
            </w:pPr>
            <w:r>
              <w:rPr>
                <w:rFonts w:ascii="宋体" w:hAnsi="宋体" w:eastAsia="宋体" w:cs="宋体"/>
                <w:sz w:val="18"/>
                <w:szCs w:val="18"/>
              </w:rPr>
              <w:t>电子设备及其他</w:t>
            </w:r>
          </w:p>
        </w:tc>
        <w:tc>
          <w:tcPr>
            <w:tcW w:w="1928" w:type="dxa"/>
            <w:tcBorders>
              <w:top w:val="single" w:color="auto" w:sz="2" w:space="0"/>
              <w:left w:val="single" w:color="auto" w:sz="2" w:space="0"/>
              <w:bottom w:val="single" w:color="auto" w:sz="2" w:space="0"/>
              <w:right w:val="single" w:color="auto" w:sz="2" w:space="0"/>
            </w:tcBorders>
            <w:vAlign w:val="center"/>
          </w:tcPr>
          <w:p w14:paraId="73F08A50">
            <w:pPr>
              <w:spacing w:line="240" w:lineRule="exac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6DF714D9">
            <w:pPr>
              <w:spacing w:line="240" w:lineRule="exact"/>
              <w:rPr>
                <w:rFonts w:ascii="宋体" w:hAnsi="宋体" w:eastAsia="宋体" w:cs="宋体"/>
                <w:sz w:val="18"/>
                <w:szCs w:val="18"/>
              </w:rPr>
            </w:pPr>
            <w:r>
              <w:rPr>
                <w:rFonts w:ascii="宋体" w:hAnsi="宋体" w:eastAsia="宋体" w:cs="宋体"/>
                <w:sz w:val="18"/>
                <w:szCs w:val="18"/>
              </w:rPr>
              <w:t>3-20</w:t>
            </w:r>
          </w:p>
        </w:tc>
        <w:tc>
          <w:tcPr>
            <w:tcW w:w="1928" w:type="dxa"/>
            <w:tcBorders>
              <w:top w:val="single" w:color="auto" w:sz="2" w:space="0"/>
              <w:left w:val="single" w:color="auto" w:sz="2" w:space="0"/>
              <w:bottom w:val="single" w:color="auto" w:sz="2" w:space="0"/>
              <w:right w:val="single" w:color="auto" w:sz="2" w:space="0"/>
            </w:tcBorders>
            <w:vAlign w:val="center"/>
          </w:tcPr>
          <w:p w14:paraId="3AE7B75A">
            <w:pPr>
              <w:spacing w:line="240" w:lineRule="exact"/>
              <w:rPr>
                <w:rFonts w:ascii="宋体" w:hAnsi="宋体" w:eastAsia="宋体" w:cs="宋体"/>
                <w:sz w:val="18"/>
                <w:szCs w:val="18"/>
              </w:rPr>
            </w:pPr>
            <w:r>
              <w:rPr>
                <w:rFonts w:ascii="宋体" w:hAnsi="宋体" w:eastAsia="宋体" w:cs="宋体"/>
                <w:sz w:val="18"/>
                <w:szCs w:val="18"/>
              </w:rPr>
              <w:t>3</w:t>
            </w:r>
          </w:p>
        </w:tc>
        <w:tc>
          <w:tcPr>
            <w:tcW w:w="1928" w:type="dxa"/>
            <w:tcBorders>
              <w:top w:val="single" w:color="auto" w:sz="2" w:space="0"/>
              <w:left w:val="single" w:color="auto" w:sz="2" w:space="0"/>
              <w:bottom w:val="single" w:color="auto" w:sz="2" w:space="0"/>
              <w:right w:val="single" w:color="auto" w:sz="2" w:space="0"/>
            </w:tcBorders>
            <w:vAlign w:val="center"/>
          </w:tcPr>
          <w:p w14:paraId="6671CE89">
            <w:pPr>
              <w:spacing w:line="240" w:lineRule="exact"/>
              <w:rPr>
                <w:rFonts w:ascii="宋体" w:hAnsi="宋体" w:eastAsia="宋体" w:cs="宋体"/>
                <w:sz w:val="18"/>
                <w:szCs w:val="18"/>
              </w:rPr>
            </w:pPr>
            <w:r>
              <w:rPr>
                <w:rFonts w:ascii="宋体" w:hAnsi="宋体" w:eastAsia="宋体" w:cs="宋体"/>
                <w:sz w:val="18"/>
                <w:szCs w:val="18"/>
              </w:rPr>
              <w:t>32.33-4.85</w:t>
            </w:r>
          </w:p>
        </w:tc>
      </w:tr>
    </w:tbl>
    <w:p w14:paraId="141AAAD1">
      <w:pPr>
        <w:pStyle w:val="9"/>
        <w:spacing w:before="0" w:beforeAutospacing="0" w:after="0" w:afterAutospacing="0" w:line="20" w:lineRule="atLeast"/>
        <w:rPr>
          <w:sz w:val="18"/>
          <w:szCs w:val="18"/>
        </w:rPr>
      </w:pPr>
      <w:r>
        <w:rPr>
          <w:rFonts w:hint="eastAsia"/>
          <w:sz w:val="18"/>
          <w:szCs w:val="18"/>
        </w:rPr>
        <w:t>    本公司采用</w:t>
      </w:r>
      <w:r>
        <w:rPr>
          <w:rFonts w:hint="eastAsia"/>
          <w:snapToGrid w:val="0"/>
          <w:sz w:val="18"/>
          <w:szCs w:val="18"/>
        </w:rPr>
        <w:t>年限平均法</w:t>
      </w:r>
      <w:r>
        <w:rPr>
          <w:rFonts w:hint="eastAsia"/>
          <w:sz w:val="18"/>
          <w:szCs w:val="18"/>
        </w:rPr>
        <w:t>计提折旧。固定资产自达到预定可使用状态时开始计提折旧，终止确认时或划分为持有待售非流动资产时停止计提折旧。在不考虑减值准备的情况下，按固定资产类别、预计使用寿命和预计残值，本公司确定各类固定资产的年折旧率如上表。</w:t>
      </w:r>
    </w:p>
    <w:p w14:paraId="5E17D32A">
      <w:pPr>
        <w:pStyle w:val="9"/>
        <w:spacing w:before="0" w:beforeAutospacing="0" w:after="0" w:afterAutospacing="0" w:line="20" w:lineRule="atLeast"/>
        <w:ind w:firstLine="480"/>
        <w:jc w:val="both"/>
        <w:rPr>
          <w:sz w:val="18"/>
          <w:szCs w:val="18"/>
        </w:rPr>
      </w:pPr>
      <w:r>
        <w:rPr>
          <w:rFonts w:hint="eastAsia"/>
          <w:sz w:val="18"/>
          <w:szCs w:val="18"/>
        </w:rPr>
        <w:t>其中，已计提减值准备的固定资产，还应扣除已计提的固定资产减值准备累计金额计算确定折旧率。</w:t>
      </w:r>
    </w:p>
    <w:p w14:paraId="530CD7C9">
      <w:pPr>
        <w:pStyle w:val="9"/>
        <w:spacing w:before="0" w:beforeAutospacing="0" w:after="0" w:afterAutospacing="0" w:line="20" w:lineRule="atLeast"/>
        <w:ind w:firstLine="480"/>
        <w:jc w:val="both"/>
        <w:rPr>
          <w:sz w:val="18"/>
          <w:szCs w:val="18"/>
        </w:rPr>
      </w:pPr>
      <w:r>
        <w:rPr>
          <w:rFonts w:hint="eastAsia"/>
          <w:sz w:val="18"/>
          <w:szCs w:val="18"/>
        </w:rPr>
        <w:t>每年年度终了，本公司对固定资产的使用寿命、预计净残值和折旧方法进行复核。使用寿命预计数与原先估计数有差异的，调整固定资产使用寿命；预计净残值预计数与原先估计数有差异的，调整预计净残值。</w:t>
      </w:r>
    </w:p>
    <w:p w14:paraId="2EBF1895">
      <w:pPr>
        <w:pStyle w:val="9"/>
        <w:spacing w:before="0" w:beforeAutospacing="0" w:after="0" w:afterAutospacing="0" w:line="20" w:lineRule="atLeast"/>
        <w:ind w:firstLine="362"/>
        <w:jc w:val="both"/>
        <w:rPr>
          <w:sz w:val="18"/>
          <w:szCs w:val="18"/>
        </w:rPr>
      </w:pPr>
      <w:r>
        <w:rPr>
          <w:rFonts w:hint="eastAsia"/>
          <w:sz w:val="18"/>
          <w:szCs w:val="18"/>
        </w:rPr>
        <w:t>（3）固定资产的减值测试方法及减值准备计提方法</w:t>
      </w:r>
    </w:p>
    <w:p w14:paraId="741EC871">
      <w:pPr>
        <w:pStyle w:val="9"/>
        <w:spacing w:before="0" w:beforeAutospacing="0" w:after="0" w:afterAutospacing="0" w:line="20" w:lineRule="atLeast"/>
        <w:ind w:firstLine="362"/>
        <w:jc w:val="both"/>
        <w:rPr>
          <w:sz w:val="18"/>
          <w:szCs w:val="18"/>
        </w:rPr>
      </w:pPr>
      <w:r>
        <w:rPr>
          <w:rFonts w:hint="eastAsia"/>
          <w:sz w:val="18"/>
          <w:szCs w:val="18"/>
        </w:rPr>
        <w:t>固定资产的减值测试方法和减值准备计提方法详见本报告第十节、五、30“长期资产减值”。</w:t>
      </w:r>
    </w:p>
    <w:p w14:paraId="5BFC9FB8">
      <w:pPr>
        <w:pStyle w:val="9"/>
        <w:spacing w:before="0" w:beforeAutospacing="0" w:after="0" w:afterAutospacing="0" w:line="20" w:lineRule="atLeast"/>
        <w:ind w:firstLine="362"/>
        <w:jc w:val="both"/>
        <w:rPr>
          <w:sz w:val="18"/>
          <w:szCs w:val="18"/>
        </w:rPr>
      </w:pPr>
      <w:r>
        <w:rPr>
          <w:rFonts w:hint="eastAsia"/>
          <w:sz w:val="18"/>
          <w:szCs w:val="18"/>
        </w:rPr>
        <w:t>（4）其他说明</w:t>
      </w:r>
    </w:p>
    <w:p w14:paraId="05883BAD">
      <w:pPr>
        <w:pStyle w:val="9"/>
        <w:spacing w:before="0" w:beforeAutospacing="0" w:after="0" w:afterAutospacing="0" w:line="20" w:lineRule="atLeast"/>
        <w:ind w:firstLine="362"/>
        <w:jc w:val="both"/>
        <w:rPr>
          <w:sz w:val="18"/>
          <w:szCs w:val="18"/>
        </w:rPr>
      </w:pPr>
      <w:r>
        <w:rPr>
          <w:rFonts w:hint="eastAsia"/>
          <w:sz w:val="18"/>
          <w:szCs w:val="18"/>
        </w:rPr>
        <w:t>与固定资产有关的后续支出，如果与该固定资产有关的经济利益很可能流入且其成本能可靠地计量，则计入固定资产成本，并终止确认被替换部分的账面价值。除此以外的其他后续支出，在发生时计入当期损益。</w:t>
      </w:r>
    </w:p>
    <w:p w14:paraId="5666098E">
      <w:pPr>
        <w:pStyle w:val="9"/>
        <w:spacing w:before="0" w:beforeAutospacing="0" w:after="0" w:afterAutospacing="0" w:line="20" w:lineRule="atLeast"/>
        <w:ind w:firstLine="362"/>
        <w:jc w:val="both"/>
        <w:rPr>
          <w:sz w:val="18"/>
          <w:szCs w:val="18"/>
        </w:rPr>
      </w:pPr>
      <w:r>
        <w:rPr>
          <w:rFonts w:hint="eastAsia"/>
          <w:sz w:val="18"/>
          <w:szCs w:val="18"/>
        </w:rPr>
        <w:t>当固定资产处于处置状态或预期通过使用或处置不能产生经济利益时，终止确认该固定资产。固定资产出售、转让、报废或毁损的处置收入扣除其账面价值和相关税费后的差额计入当期损益。</w:t>
      </w:r>
    </w:p>
    <w:p w14:paraId="23895EC9">
      <w:pPr>
        <w:pStyle w:val="3"/>
        <w:spacing w:before="100" w:after="100" w:line="280" w:lineRule="exact"/>
        <w:jc w:val="left"/>
        <w:rPr>
          <w:rFonts w:ascii="宋体" w:hAnsi="宋体" w:cs="宋体"/>
          <w:b/>
          <w:bCs/>
        </w:rPr>
      </w:pPr>
      <w:bookmarkStart w:id="129" w:name="_Toc989018"/>
      <w:r>
        <w:rPr>
          <w:rFonts w:ascii="宋体" w:hAnsi="宋体" w:cs="宋体"/>
          <w:b/>
          <w:bCs/>
        </w:rPr>
        <w:t>25、在建工程</w:t>
      </w:r>
      <w:bookmarkEnd w:id="129"/>
    </w:p>
    <w:p w14:paraId="68060275">
      <w:pPr>
        <w:pStyle w:val="9"/>
        <w:spacing w:before="20" w:beforeAutospacing="0" w:after="20" w:afterAutospacing="0" w:line="20" w:lineRule="atLeast"/>
        <w:ind w:firstLine="482"/>
      </w:pPr>
      <w:r>
        <w:rPr>
          <w:rFonts w:hint="eastAsia"/>
          <w:sz w:val="18"/>
          <w:szCs w:val="18"/>
        </w:rPr>
        <w:t>本公司在建工程成本按实际工程支出确定。包括在建期间发生的各项必要工程支出、工程达到预定可使用状态前的应予资本化的借款费用以及其他相关费用等。</w:t>
      </w:r>
    </w:p>
    <w:p w14:paraId="4999409C">
      <w:pPr>
        <w:pStyle w:val="9"/>
        <w:spacing w:before="20" w:beforeAutospacing="0" w:after="20" w:afterAutospacing="0" w:line="20" w:lineRule="atLeast"/>
        <w:ind w:firstLine="482"/>
      </w:pPr>
      <w:r>
        <w:rPr>
          <w:rFonts w:hint="eastAsia"/>
          <w:sz w:val="18"/>
          <w:szCs w:val="18"/>
        </w:rPr>
        <w:t>在建工程在达到预定可使用状态时转入固定资产</w:t>
      </w:r>
      <w:r>
        <w:rPr>
          <w:rFonts w:hint="eastAsia" w:ascii="仿宋_GB2312" w:eastAsia="仿宋_GB2312"/>
          <w:sz w:val="18"/>
          <w:szCs w:val="18"/>
        </w:rPr>
        <w:t>。</w:t>
      </w:r>
    </w:p>
    <w:p w14:paraId="17506F0D">
      <w:pPr>
        <w:pStyle w:val="3"/>
        <w:spacing w:before="100" w:after="100" w:line="280" w:lineRule="exact"/>
        <w:jc w:val="left"/>
        <w:rPr>
          <w:rFonts w:ascii="宋体" w:hAnsi="宋体" w:cs="宋体"/>
          <w:b/>
          <w:bCs/>
        </w:rPr>
      </w:pPr>
      <w:bookmarkStart w:id="130" w:name="_Toc989019"/>
      <w:r>
        <w:rPr>
          <w:rFonts w:ascii="宋体" w:hAnsi="宋体" w:cs="宋体"/>
          <w:b/>
          <w:bCs/>
        </w:rPr>
        <w:t>26、借款费用</w:t>
      </w:r>
      <w:bookmarkEnd w:id="130"/>
    </w:p>
    <w:p w14:paraId="03C0F90D">
      <w:pPr>
        <w:pStyle w:val="9"/>
        <w:spacing w:before="20" w:beforeAutospacing="0" w:after="20" w:afterAutospacing="0" w:line="20" w:lineRule="atLeast"/>
        <w:ind w:firstLine="480"/>
        <w:rPr>
          <w:sz w:val="18"/>
          <w:szCs w:val="18"/>
        </w:rPr>
      </w:pPr>
      <w:r>
        <w:rPr>
          <w:rFonts w:hint="eastAsia"/>
          <w:sz w:val="18"/>
          <w:szCs w:val="18"/>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构建或者生产的符合资本化条件的资产达到预定可使用状态或者可销售状态时，停止资本化。其余借款费用在发生当期确认为费用。</w:t>
      </w:r>
    </w:p>
    <w:p w14:paraId="1D1F2B76">
      <w:pPr>
        <w:pStyle w:val="9"/>
        <w:spacing w:before="20" w:beforeAutospacing="0" w:after="20" w:afterAutospacing="0" w:line="20" w:lineRule="atLeast"/>
        <w:ind w:firstLine="480"/>
        <w:rPr>
          <w:sz w:val="18"/>
          <w:szCs w:val="18"/>
        </w:rPr>
      </w:pPr>
      <w:r>
        <w:rPr>
          <w:rFonts w:hint="eastAsia"/>
          <w:sz w:val="18"/>
          <w:szCs w:val="18"/>
        </w:rPr>
        <w:t>专门借款当期实际发生的利息费用，减去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的加权平均利率计算确定。</w:t>
      </w:r>
    </w:p>
    <w:p w14:paraId="4FD30923">
      <w:pPr>
        <w:pStyle w:val="9"/>
        <w:spacing w:before="20" w:beforeAutospacing="0" w:after="20" w:afterAutospacing="0" w:line="20" w:lineRule="atLeast"/>
        <w:ind w:firstLine="480"/>
        <w:rPr>
          <w:sz w:val="18"/>
          <w:szCs w:val="18"/>
        </w:rPr>
      </w:pPr>
      <w:r>
        <w:rPr>
          <w:rFonts w:hint="eastAsia"/>
          <w:sz w:val="18"/>
          <w:szCs w:val="18"/>
        </w:rPr>
        <w:t>资本化期间内，外币专门借款的汇兑差额全部予以资本化；外币一般借款的汇兑差额计入当期损益。</w:t>
      </w:r>
    </w:p>
    <w:p w14:paraId="6E125130">
      <w:pPr>
        <w:pStyle w:val="9"/>
        <w:spacing w:before="20" w:beforeAutospacing="0" w:after="20" w:afterAutospacing="0" w:line="20" w:lineRule="atLeast"/>
        <w:ind w:firstLine="480"/>
        <w:rPr>
          <w:sz w:val="18"/>
          <w:szCs w:val="18"/>
        </w:rPr>
      </w:pPr>
      <w:r>
        <w:rPr>
          <w:rFonts w:hint="eastAsia"/>
          <w:sz w:val="18"/>
          <w:szCs w:val="18"/>
        </w:rPr>
        <w:t>符合资本化条件的资产指需要经过相当长时间的购建或者生产活动才能达到预定可使用或可销售状态的固定资产、投资性房地产和存货等资产。</w:t>
      </w:r>
    </w:p>
    <w:p w14:paraId="4FC19799">
      <w:pPr>
        <w:pStyle w:val="9"/>
        <w:spacing w:before="20" w:beforeAutospacing="0" w:after="20" w:afterAutospacing="0" w:line="20" w:lineRule="atLeast"/>
        <w:rPr>
          <w:sz w:val="18"/>
          <w:szCs w:val="18"/>
        </w:rPr>
      </w:pPr>
      <w:r>
        <w:rPr>
          <w:rFonts w:hint="eastAsia"/>
          <w:sz w:val="18"/>
          <w:szCs w:val="18"/>
        </w:rPr>
        <w:t>如果符合资本化条件的资产在购建或生产过程中发生非正常中断、并且中断时间连续超过3个月的，暂停借款费用的资本化，直至资产的购建或生产活动重新开始</w:t>
      </w:r>
    </w:p>
    <w:p w14:paraId="797D2DC9">
      <w:pPr>
        <w:pStyle w:val="3"/>
        <w:keepNext w:val="0"/>
        <w:keepLines w:val="0"/>
        <w:spacing w:before="100" w:after="100" w:line="280" w:lineRule="exact"/>
        <w:jc w:val="left"/>
      </w:pPr>
      <w:bookmarkStart w:id="131" w:name="_Toc989020"/>
      <w:r>
        <w:rPr>
          <w:rFonts w:ascii="宋体" w:hAnsi="宋体" w:cs="宋体"/>
          <w:b/>
          <w:bCs/>
        </w:rPr>
        <w:t>27、生物资产</w:t>
      </w:r>
      <w:bookmarkEnd w:id="131"/>
    </w:p>
    <w:p w14:paraId="3EF80A2E">
      <w:pPr>
        <w:pStyle w:val="3"/>
        <w:keepNext w:val="0"/>
        <w:keepLines w:val="0"/>
        <w:spacing w:before="100" w:after="100" w:line="280" w:lineRule="exact"/>
        <w:jc w:val="left"/>
      </w:pPr>
      <w:bookmarkStart w:id="132" w:name="_Toc989021"/>
      <w:r>
        <w:rPr>
          <w:rFonts w:ascii="宋体" w:hAnsi="宋体" w:cs="宋体"/>
          <w:b/>
          <w:bCs/>
        </w:rPr>
        <w:t>28、油气资产</w:t>
      </w:r>
      <w:bookmarkEnd w:id="132"/>
    </w:p>
    <w:p w14:paraId="4CAB68DE">
      <w:pPr>
        <w:pStyle w:val="3"/>
        <w:keepNext w:val="0"/>
        <w:keepLines w:val="0"/>
        <w:spacing w:before="100" w:after="100" w:line="280" w:lineRule="exact"/>
        <w:jc w:val="left"/>
        <w:rPr>
          <w:rFonts w:ascii="宋体" w:hAnsi="宋体" w:cs="宋体"/>
          <w:b/>
          <w:bCs/>
        </w:rPr>
      </w:pPr>
      <w:bookmarkStart w:id="133" w:name="_Toc989022"/>
      <w:r>
        <w:rPr>
          <w:rFonts w:ascii="宋体" w:hAnsi="宋体" w:cs="宋体"/>
          <w:b/>
          <w:bCs/>
        </w:rPr>
        <w:t>29、无形资产</w:t>
      </w:r>
      <w:bookmarkEnd w:id="133"/>
    </w:p>
    <w:p w14:paraId="66E2E48A">
      <w:pPr>
        <w:spacing w:before="20" w:after="20" w:line="280" w:lineRule="exact"/>
        <w:outlineLvl w:val="3"/>
        <w:rPr>
          <w:rFonts w:ascii="宋体" w:hAnsi="宋体" w:eastAsia="宋体" w:cs="宋体"/>
          <w:b/>
          <w:bCs/>
          <w:szCs w:val="21"/>
        </w:rPr>
      </w:pPr>
      <w:bookmarkStart w:id="134" w:name="_Toc989023"/>
      <w:r>
        <w:rPr>
          <w:rFonts w:ascii="宋体" w:hAnsi="宋体" w:eastAsia="宋体" w:cs="宋体"/>
          <w:b/>
          <w:bCs/>
          <w:szCs w:val="21"/>
        </w:rPr>
        <w:t>（1） 使用寿命及其确定依据、估计情况、摊销方法或复核程序</w:t>
      </w:r>
      <w:bookmarkEnd w:id="134"/>
    </w:p>
    <w:p w14:paraId="29665E72">
      <w:pPr>
        <w:pStyle w:val="9"/>
        <w:spacing w:before="0" w:beforeAutospacing="0" w:after="0" w:afterAutospacing="0" w:line="20" w:lineRule="atLeast"/>
        <w:ind w:firstLine="482"/>
      </w:pPr>
      <w:r>
        <w:rPr>
          <w:rFonts w:hint="eastAsia"/>
          <w:sz w:val="18"/>
          <w:szCs w:val="18"/>
        </w:rPr>
        <w:t>本公司无形资产按照成本进行初始计量，并于取得无形资产时分析判断其使用寿命。使用寿命为有限的，自无形资产可供使用时起，采用能反映与该资产有关的经济利益的预期实现方式的摊销方法，在预计使用年限内摊销；无法可靠确定预期实现方式的，采用直线法摊销；使用寿命不确定的无形资产，不作摊销。</w:t>
      </w:r>
    </w:p>
    <w:p w14:paraId="57420CDC">
      <w:pPr>
        <w:pStyle w:val="9"/>
        <w:spacing w:before="0" w:beforeAutospacing="0" w:after="0" w:afterAutospacing="0" w:line="20" w:lineRule="atLeast"/>
        <w:ind w:firstLine="482"/>
      </w:pPr>
      <w:r>
        <w:rPr>
          <w:rFonts w:hint="eastAsia"/>
          <w:sz w:val="18"/>
          <w:szCs w:val="18"/>
        </w:rPr>
        <w:t>本公司于每年年度终了，对使用寿命有限的无形资产的使用寿命及摊销方法进行复核，与以前估计不同的，调整原先估计数，并按会计估计变更处理。</w:t>
      </w:r>
    </w:p>
    <w:p w14:paraId="1BF43EC6">
      <w:pPr>
        <w:pStyle w:val="9"/>
        <w:spacing w:before="0" w:beforeAutospacing="0" w:after="0" w:afterAutospacing="0" w:line="20" w:lineRule="atLeast"/>
        <w:ind w:firstLine="482"/>
      </w:pPr>
      <w:r>
        <w:rPr>
          <w:rFonts w:hint="eastAsia"/>
          <w:sz w:val="18"/>
          <w:szCs w:val="18"/>
        </w:rPr>
        <w:t>本公司期末预计某项无形资产已经不能给企业带来未来经济利益的，将该项无形资产的账面价值全部转入当期损益。</w:t>
      </w:r>
    </w:p>
    <w:p w14:paraId="0418E629">
      <w:pPr>
        <w:keepNext/>
        <w:keepLines/>
        <w:spacing w:before="0" w:after="0" w:line="280" w:lineRule="exact"/>
        <w:outlineLvl w:val="3"/>
        <w:rPr>
          <w:rFonts w:ascii="宋体" w:hAnsi="宋体" w:eastAsia="宋体" w:cs="宋体"/>
          <w:b/>
          <w:bCs/>
          <w:szCs w:val="21"/>
        </w:rPr>
      </w:pPr>
      <w:bookmarkStart w:id="135" w:name="_Toc989024"/>
      <w:r>
        <w:rPr>
          <w:rFonts w:ascii="宋体" w:hAnsi="宋体" w:eastAsia="宋体" w:cs="宋体"/>
          <w:b/>
          <w:bCs/>
          <w:szCs w:val="21"/>
        </w:rPr>
        <w:t>（2） 研发支出的归集范围及相关会计处理方法</w:t>
      </w:r>
      <w:bookmarkEnd w:id="135"/>
    </w:p>
    <w:p w14:paraId="4A425729">
      <w:pPr>
        <w:pStyle w:val="9"/>
        <w:spacing w:before="0" w:beforeAutospacing="0" w:after="0" w:afterAutospacing="0" w:line="20" w:lineRule="atLeast"/>
        <w:ind w:firstLine="482"/>
      </w:pPr>
      <w:r>
        <w:rPr>
          <w:rFonts w:hint="eastAsia"/>
          <w:sz w:val="18"/>
          <w:szCs w:val="18"/>
        </w:rPr>
        <w:t>本公司将内部研究开发项目的支出，区分为研究阶段支出和开发阶段支出。</w:t>
      </w:r>
    </w:p>
    <w:p w14:paraId="6E16966F">
      <w:pPr>
        <w:pStyle w:val="9"/>
        <w:spacing w:before="0" w:beforeAutospacing="0" w:after="0" w:afterAutospacing="0" w:line="20" w:lineRule="atLeast"/>
        <w:ind w:firstLine="482"/>
      </w:pPr>
      <w:r>
        <w:rPr>
          <w:rFonts w:hint="eastAsia"/>
          <w:sz w:val="18"/>
          <w:szCs w:val="18"/>
        </w:rPr>
        <w:t>研究阶段的支出，于发生时计入当期损益。</w:t>
      </w:r>
    </w:p>
    <w:p w14:paraId="739618A8">
      <w:pPr>
        <w:pStyle w:val="9"/>
        <w:spacing w:before="0" w:beforeAutospacing="0" w:after="0" w:afterAutospacing="0" w:line="20" w:lineRule="atLeast"/>
        <w:ind w:firstLine="482"/>
      </w:pPr>
      <w:r>
        <w:rPr>
          <w:rFonts w:hint="eastAsia"/>
          <w:sz w:val="18"/>
          <w:szCs w:val="18"/>
        </w:rPr>
        <w:t>开发阶段的支出，同时满足下列条件的，才能予以资本化，即：完成该无形资产以使其能够使用或出售在技术上具有可行性；具有完成该无形资产并使用或出售的意图；无形资产产生经济利益的方式，包括能够证明运用该无形资产生产的产品存在市场或无形资产自身存在市场，无形资产将在内部使用的，能够证明其有用性；有足够的技术、财务资源和其他资源支持，以完成该无形资产的开发，并有能力使用或出售该无形资产；归属于该无形资产开发阶段的支出能够可靠地计量。不满足上述条件的开发支出计入当期损益。</w:t>
      </w:r>
    </w:p>
    <w:p w14:paraId="603CDA71">
      <w:pPr>
        <w:pStyle w:val="9"/>
        <w:spacing w:before="0" w:beforeAutospacing="0" w:after="0" w:afterAutospacing="0" w:line="20" w:lineRule="atLeast"/>
        <w:ind w:firstLine="482"/>
      </w:pPr>
      <w:r>
        <w:rPr>
          <w:rFonts w:hint="eastAsia"/>
          <w:sz w:val="18"/>
          <w:szCs w:val="18"/>
        </w:rPr>
        <w:t>本公司相应项目在满足上述条件，通过技术可行性及经济可行性研究，形成项目立项后，进入开发阶段。</w:t>
      </w:r>
    </w:p>
    <w:p w14:paraId="1995132B">
      <w:pPr>
        <w:pStyle w:val="3"/>
        <w:spacing w:before="100" w:after="100" w:line="280" w:lineRule="exact"/>
        <w:jc w:val="left"/>
        <w:rPr>
          <w:rFonts w:ascii="宋体" w:hAnsi="宋体" w:cs="宋体"/>
          <w:b/>
          <w:bCs/>
        </w:rPr>
      </w:pPr>
      <w:bookmarkStart w:id="136" w:name="_Toc989025"/>
      <w:r>
        <w:rPr>
          <w:rFonts w:ascii="宋体" w:hAnsi="宋体" w:cs="宋体"/>
          <w:b/>
          <w:bCs/>
        </w:rPr>
        <w:t>30、长期资产减值</w:t>
      </w:r>
      <w:bookmarkEnd w:id="136"/>
    </w:p>
    <w:p w14:paraId="070D249A">
      <w:pPr>
        <w:pStyle w:val="9"/>
        <w:spacing w:before="0" w:beforeAutospacing="0" w:after="0" w:afterAutospacing="0" w:line="20" w:lineRule="atLeast"/>
        <w:ind w:firstLine="482"/>
        <w:rPr>
          <w:sz w:val="18"/>
          <w:szCs w:val="18"/>
        </w:rPr>
      </w:pPr>
      <w:r>
        <w:rPr>
          <w:rFonts w:hint="eastAsia"/>
          <w:sz w:val="18"/>
          <w:szCs w:val="18"/>
        </w:rPr>
        <w:t>对于固定资产、在建工程、使用寿命有限的无形资产、以成本模式计量的投资性房地产及对子公司、合营企业、联营企业的长期股权投资等非流动非金融资产，本公司于资产负债表日判断是否存在减值迹象。如存在减值迹象的，则估计其可收回金额，进行减值测试。商誉、使用寿命不确定的无形资产和尚未达到可使用状态的无形资产，无论是否存在减值迹象，每年均进行减值测试。</w:t>
      </w:r>
    </w:p>
    <w:p w14:paraId="1E41E277">
      <w:pPr>
        <w:pStyle w:val="9"/>
        <w:spacing w:before="0" w:beforeAutospacing="0" w:after="0" w:afterAutospacing="0" w:line="20" w:lineRule="atLeast"/>
        <w:ind w:firstLine="482"/>
        <w:rPr>
          <w:sz w:val="18"/>
          <w:szCs w:val="18"/>
        </w:rPr>
      </w:pPr>
      <w:r>
        <w:rPr>
          <w:rFonts w:hint="eastAsia"/>
          <w:sz w:val="18"/>
          <w:szCs w:val="18"/>
        </w:rPr>
        <w:t>减值测试结果表明资产的可收回金额低于其账面价值的，按其差额计提减值准备并计入减值损失。可收回金额为资产的公允价值减去处置费用后的净额与资产预计未来现金流量的现值两者之间的较高者。资产的公允价值根据公平交易中销售协议价格确定；不存在销售协议但存在资产活跃市场的，公允价值按照该资产的买方出价确定；不存在销售协议和资产活跃市场的，则以可获取的最佳信息为基础估计资产的公允价值。处置费用包括与资产处置有关的法律费用、相关税费、搬运费以及为使资产达到可销售状态所发生的直接费用。资产预计未来现金流量的现值，按照资产在持续使用过程中和最终处置时所产生的预计未来现金流量，选择恰当的折现率对其进行折现后的金额加以确定。资产减值准备按单项资产为基础计算并确认，如果难以对单项资产的可收回金额进行估计的，以该资产所属的资产组确定资产组的可收回金额。资产组是能够独立产生现金流入的最小资产组合。</w:t>
      </w:r>
    </w:p>
    <w:p w14:paraId="6099C3BF">
      <w:pPr>
        <w:pStyle w:val="9"/>
        <w:spacing w:before="0" w:beforeAutospacing="0" w:after="0" w:afterAutospacing="0" w:line="20" w:lineRule="atLeast"/>
        <w:ind w:firstLine="482"/>
        <w:rPr>
          <w:sz w:val="18"/>
          <w:szCs w:val="18"/>
        </w:rPr>
      </w:pPr>
      <w:r>
        <w:rPr>
          <w:rFonts w:hint="eastAsia"/>
          <w:sz w:val="18"/>
          <w:szCs w:val="18"/>
        </w:rPr>
        <w:t>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05F77266">
      <w:pPr>
        <w:pStyle w:val="9"/>
        <w:spacing w:before="0" w:beforeAutospacing="0" w:after="0" w:afterAutospacing="0" w:line="20" w:lineRule="atLeast"/>
        <w:ind w:firstLine="482"/>
        <w:rPr>
          <w:sz w:val="18"/>
          <w:szCs w:val="18"/>
        </w:rPr>
      </w:pPr>
      <w:r>
        <w:rPr>
          <w:rFonts w:hint="eastAsia"/>
          <w:sz w:val="18"/>
          <w:szCs w:val="18"/>
        </w:rPr>
        <w:t>上述资产减值损失一经确认，以后期间不予转回价值得以恢复的部分。</w:t>
      </w:r>
    </w:p>
    <w:p w14:paraId="00EC57C6">
      <w:pPr>
        <w:pStyle w:val="3"/>
        <w:spacing w:before="100" w:after="100" w:line="280" w:lineRule="exact"/>
        <w:jc w:val="left"/>
        <w:rPr>
          <w:rFonts w:ascii="宋体" w:hAnsi="宋体" w:cs="宋体"/>
          <w:b/>
          <w:bCs/>
        </w:rPr>
      </w:pPr>
      <w:bookmarkStart w:id="137" w:name="_Toc989026"/>
      <w:r>
        <w:rPr>
          <w:rFonts w:ascii="宋体" w:hAnsi="宋体" w:cs="宋体"/>
          <w:b/>
          <w:bCs/>
        </w:rPr>
        <w:t>31、长期待摊费用</w:t>
      </w:r>
      <w:bookmarkEnd w:id="137"/>
    </w:p>
    <w:p w14:paraId="05EFFA8F">
      <w:pPr>
        <w:pStyle w:val="9"/>
        <w:spacing w:before="100" w:beforeAutospacing="0" w:after="100" w:afterAutospacing="0" w:line="20" w:lineRule="atLeast"/>
        <w:ind w:firstLine="482"/>
      </w:pPr>
      <w:r>
        <w:rPr>
          <w:rFonts w:hint="eastAsia"/>
          <w:sz w:val="18"/>
          <w:szCs w:val="18"/>
        </w:rPr>
        <w:t>本公司发生的长期待摊费用按实际成本计价，并按预计受益期限平均摊销。对不能使以后会计期间受益的长期待摊费用项目，其摊余价值全部计入当期损益。</w:t>
      </w:r>
    </w:p>
    <w:p w14:paraId="6343CFCE">
      <w:pPr>
        <w:pStyle w:val="3"/>
        <w:spacing w:before="100" w:after="100" w:line="280" w:lineRule="exact"/>
        <w:jc w:val="left"/>
      </w:pPr>
      <w:bookmarkStart w:id="138" w:name="_Toc989027"/>
      <w:r>
        <w:rPr>
          <w:rFonts w:ascii="宋体" w:hAnsi="宋体" w:cs="宋体"/>
          <w:b/>
          <w:bCs/>
        </w:rPr>
        <w:t>32、合同负债</w:t>
      </w:r>
      <w:bookmarkEnd w:id="138"/>
    </w:p>
    <w:p w14:paraId="3B880E38">
      <w:pPr>
        <w:pStyle w:val="3"/>
        <w:spacing w:before="100" w:after="100" w:line="280" w:lineRule="exact"/>
        <w:jc w:val="left"/>
        <w:rPr>
          <w:rFonts w:ascii="宋体" w:hAnsi="宋体" w:cs="宋体"/>
          <w:b/>
          <w:bCs/>
        </w:rPr>
      </w:pPr>
      <w:bookmarkStart w:id="139" w:name="_Toc989028"/>
      <w:r>
        <w:rPr>
          <w:rFonts w:ascii="宋体" w:hAnsi="宋体" w:cs="宋体"/>
          <w:b/>
          <w:bCs/>
        </w:rPr>
        <w:t>33、职工薪酬</w:t>
      </w:r>
      <w:bookmarkEnd w:id="139"/>
    </w:p>
    <w:p w14:paraId="6D9641E6">
      <w:pPr>
        <w:keepNext/>
        <w:keepLines/>
        <w:spacing w:before="100" w:after="100" w:line="280" w:lineRule="exact"/>
        <w:outlineLvl w:val="3"/>
        <w:rPr>
          <w:rFonts w:ascii="宋体" w:hAnsi="宋体" w:eastAsia="宋体" w:cs="宋体"/>
          <w:b/>
          <w:bCs/>
          <w:szCs w:val="21"/>
        </w:rPr>
      </w:pPr>
      <w:bookmarkStart w:id="140" w:name="_Toc989029"/>
      <w:r>
        <w:rPr>
          <w:rFonts w:ascii="宋体" w:hAnsi="宋体" w:eastAsia="宋体" w:cs="宋体"/>
          <w:b/>
          <w:bCs/>
          <w:szCs w:val="21"/>
        </w:rPr>
        <w:t>（1） 短期薪酬的会计处理方法</w:t>
      </w:r>
      <w:bookmarkEnd w:id="140"/>
    </w:p>
    <w:p w14:paraId="386B004D">
      <w:pPr>
        <w:pStyle w:val="9"/>
        <w:spacing w:before="0" w:beforeAutospacing="0" w:after="0" w:afterAutospacing="0" w:line="20" w:lineRule="atLeast"/>
        <w:ind w:firstLine="482"/>
      </w:pPr>
      <w:r>
        <w:rPr>
          <w:rFonts w:hint="eastAsia"/>
          <w:sz w:val="18"/>
          <w:szCs w:val="18"/>
        </w:rPr>
        <w:t>短期薪酬主要包括工资、奖金、津贴和补贴、职工福利费、医疗保险费、生育保险费、工伤保险费、住房公积金、工会经费和职工教育经费、非货币性福利等。本公司在职工为本公司提供服务的会计期间将实际发生的短期职工薪酬确认为负债，并计入当期损益或相关资产成本。其中非货币性福利按公允价值计量。</w:t>
      </w:r>
    </w:p>
    <w:p w14:paraId="7BF76B9A">
      <w:pPr>
        <w:keepNext/>
        <w:keepLines/>
        <w:spacing w:before="100" w:after="100" w:line="280" w:lineRule="exact"/>
        <w:outlineLvl w:val="3"/>
        <w:rPr>
          <w:rFonts w:ascii="宋体" w:hAnsi="宋体" w:eastAsia="宋体" w:cs="宋体"/>
          <w:b/>
          <w:bCs/>
          <w:szCs w:val="21"/>
        </w:rPr>
      </w:pPr>
      <w:bookmarkStart w:id="141" w:name="_Toc989030"/>
      <w:r>
        <w:rPr>
          <w:rFonts w:ascii="宋体" w:hAnsi="宋体" w:eastAsia="宋体" w:cs="宋体"/>
          <w:b/>
          <w:bCs/>
          <w:szCs w:val="21"/>
        </w:rPr>
        <w:t>（2） 离职后福利的会计处理方法</w:t>
      </w:r>
      <w:bookmarkEnd w:id="141"/>
    </w:p>
    <w:p w14:paraId="5DE7E6C8">
      <w:pPr>
        <w:pStyle w:val="9"/>
        <w:spacing w:before="100" w:beforeAutospacing="0" w:after="100" w:afterAutospacing="0" w:line="20" w:lineRule="atLeast"/>
        <w:ind w:firstLine="482"/>
      </w:pPr>
      <w:r>
        <w:rPr>
          <w:rFonts w:hint="eastAsia"/>
          <w:sz w:val="18"/>
          <w:szCs w:val="18"/>
        </w:rPr>
        <w:t>离职后福利主要包括设定提存计划</w:t>
      </w:r>
      <w:r>
        <w:rPr>
          <w:rFonts w:hint="eastAsia"/>
          <w:color w:val="FF0000"/>
          <w:sz w:val="18"/>
          <w:szCs w:val="18"/>
        </w:rPr>
        <w:t>。</w:t>
      </w:r>
      <w:r>
        <w:rPr>
          <w:rFonts w:hint="eastAsia"/>
          <w:sz w:val="18"/>
          <w:szCs w:val="18"/>
        </w:rPr>
        <w:t>其中设定提存计划主要包括基本养老保险、失业保险等，相应的应缴存金额于发生时计入相关资产成本或当期损益。</w:t>
      </w:r>
    </w:p>
    <w:p w14:paraId="248D7FF8">
      <w:pPr>
        <w:keepNext/>
        <w:keepLines/>
        <w:spacing w:before="100" w:after="100" w:line="280" w:lineRule="exact"/>
        <w:outlineLvl w:val="3"/>
        <w:rPr>
          <w:rFonts w:ascii="宋体" w:hAnsi="宋体" w:eastAsia="宋体" w:cs="宋体"/>
          <w:b/>
          <w:bCs/>
          <w:szCs w:val="21"/>
        </w:rPr>
      </w:pPr>
      <w:bookmarkStart w:id="142" w:name="_Toc989031"/>
      <w:r>
        <w:rPr>
          <w:rFonts w:ascii="宋体" w:hAnsi="宋体" w:eastAsia="宋体" w:cs="宋体"/>
          <w:b/>
          <w:bCs/>
          <w:szCs w:val="21"/>
        </w:rPr>
        <w:t>（3） 辞退福利的会计处理方法</w:t>
      </w:r>
      <w:bookmarkEnd w:id="142"/>
    </w:p>
    <w:p w14:paraId="6373037D">
      <w:pPr>
        <w:pStyle w:val="9"/>
        <w:spacing w:before="0" w:beforeAutospacing="0" w:after="0" w:afterAutospacing="0" w:line="20" w:lineRule="atLeast"/>
        <w:ind w:firstLine="482"/>
        <w:rPr>
          <w:sz w:val="18"/>
          <w:szCs w:val="18"/>
        </w:rPr>
      </w:pPr>
      <w:r>
        <w:rPr>
          <w:rFonts w:hint="eastAsia"/>
          <w:sz w:val="18"/>
          <w:szCs w:val="18"/>
        </w:rPr>
        <w:t>在职工劳动合同到期之前解除与职工的劳动关系，或为鼓励职工自愿接受裁减而提出给予补偿的建议，在本公司不能单方面撤回因解除劳动关系计划或裁减建议所提供的辞退福利时，和本公司确认与涉及支付辞退福利的重组相关的成本两者孰早日，确认辞退福利产生的职工薪酬负债，并计入当期损益。但辞退福利预期在年度报告期结束后十二个月不能完全支付的，按照其他长期职工薪酬处理。</w:t>
      </w:r>
    </w:p>
    <w:p w14:paraId="4E59CDAB">
      <w:pPr>
        <w:pStyle w:val="9"/>
        <w:spacing w:before="0" w:beforeAutospacing="0" w:after="0" w:afterAutospacing="0" w:line="20" w:lineRule="atLeast"/>
        <w:ind w:firstLine="482"/>
        <w:rPr>
          <w:sz w:val="18"/>
          <w:szCs w:val="18"/>
        </w:rPr>
      </w:pPr>
      <w:r>
        <w:rPr>
          <w:rFonts w:hint="eastAsia"/>
          <w:sz w:val="18"/>
          <w:szCs w:val="18"/>
        </w:rPr>
        <w:t>职工内部退休计划采用上述辞退福利相同的原则处理。本公司将自职工停止提供服务日至正常退休日的期间拟支付的内退人员工资和缴纳的社会保险费等，在符合预计负债确认条件时，计入当期损益（辞退福利）。</w:t>
      </w:r>
    </w:p>
    <w:p w14:paraId="6633EB3E">
      <w:pPr>
        <w:keepNext/>
        <w:keepLines/>
        <w:spacing w:before="100" w:after="100" w:line="280" w:lineRule="exact"/>
        <w:outlineLvl w:val="3"/>
        <w:rPr>
          <w:rFonts w:ascii="宋体" w:hAnsi="宋体" w:eastAsia="宋体" w:cs="宋体"/>
          <w:b/>
          <w:bCs/>
          <w:szCs w:val="21"/>
        </w:rPr>
      </w:pPr>
      <w:bookmarkStart w:id="143" w:name="_Toc989032"/>
      <w:r>
        <w:rPr>
          <w:rFonts w:ascii="宋体" w:hAnsi="宋体" w:eastAsia="宋体" w:cs="宋体"/>
          <w:b/>
          <w:bCs/>
          <w:szCs w:val="21"/>
        </w:rPr>
        <w:t>（4） 其他长期职工福利的会计处理方法</w:t>
      </w:r>
      <w:bookmarkEnd w:id="143"/>
    </w:p>
    <w:p w14:paraId="70D4865B">
      <w:pPr>
        <w:pStyle w:val="9"/>
        <w:spacing w:before="100" w:beforeAutospacing="0" w:after="100" w:afterAutospacing="0" w:line="20" w:lineRule="atLeast"/>
        <w:ind w:firstLine="482"/>
        <w:rPr>
          <w:sz w:val="18"/>
          <w:szCs w:val="18"/>
        </w:rPr>
      </w:pPr>
      <w:r>
        <w:rPr>
          <w:rFonts w:hint="eastAsia"/>
          <w:sz w:val="18"/>
          <w:szCs w:val="18"/>
        </w:rPr>
        <w:t>本公司向职工提供的其他长期职工福利，符合设定提存计划的，按照设定提存计划进行会计处理，除此之外按照设定受益计划进行会计处理。</w:t>
      </w:r>
    </w:p>
    <w:p w14:paraId="24335349">
      <w:pPr>
        <w:pStyle w:val="3"/>
        <w:spacing w:before="100" w:after="100" w:line="280" w:lineRule="exact"/>
        <w:jc w:val="left"/>
        <w:rPr>
          <w:rFonts w:ascii="宋体" w:hAnsi="宋体" w:cs="宋体"/>
          <w:b/>
          <w:bCs/>
        </w:rPr>
      </w:pPr>
      <w:bookmarkStart w:id="144" w:name="_Toc989033"/>
      <w:r>
        <w:rPr>
          <w:rFonts w:ascii="宋体" w:hAnsi="宋体" w:cs="宋体"/>
          <w:b/>
          <w:bCs/>
        </w:rPr>
        <w:t>34、预计负债</w:t>
      </w:r>
      <w:bookmarkEnd w:id="144"/>
    </w:p>
    <w:p w14:paraId="600EE5AB">
      <w:pPr>
        <w:pStyle w:val="9"/>
        <w:spacing w:before="0" w:beforeAutospacing="0" w:after="0" w:afterAutospacing="0" w:line="20" w:lineRule="atLeast"/>
        <w:ind w:firstLine="482"/>
      </w:pPr>
      <w:r>
        <w:rPr>
          <w:rFonts w:hint="eastAsia"/>
          <w:sz w:val="18"/>
          <w:szCs w:val="18"/>
        </w:rPr>
        <w:t>如果与或有事项相关的义务同时符合以下条件，本公司将其确认为预计负债：</w:t>
      </w:r>
    </w:p>
    <w:p w14:paraId="368DBC45">
      <w:pPr>
        <w:pStyle w:val="9"/>
        <w:spacing w:before="0" w:beforeAutospacing="0" w:after="0" w:afterAutospacing="0" w:line="20" w:lineRule="atLeast"/>
        <w:ind w:firstLine="482"/>
      </w:pPr>
      <w:r>
        <w:rPr>
          <w:rFonts w:hint="eastAsia"/>
          <w:sz w:val="18"/>
          <w:szCs w:val="18"/>
        </w:rPr>
        <w:t>A、该义务是本公司承担的现时义务；</w:t>
      </w:r>
    </w:p>
    <w:p w14:paraId="767C7329">
      <w:pPr>
        <w:pStyle w:val="9"/>
        <w:spacing w:before="0" w:beforeAutospacing="0" w:after="0" w:afterAutospacing="0" w:line="20" w:lineRule="atLeast"/>
        <w:ind w:firstLine="482"/>
      </w:pPr>
      <w:r>
        <w:rPr>
          <w:rFonts w:hint="eastAsia"/>
          <w:sz w:val="18"/>
          <w:szCs w:val="18"/>
        </w:rPr>
        <w:t>B、该义务的履行很可能导致经济利益流出本公司；</w:t>
      </w:r>
    </w:p>
    <w:p w14:paraId="1F5AF2C5">
      <w:pPr>
        <w:pStyle w:val="9"/>
        <w:spacing w:before="0" w:beforeAutospacing="0" w:after="0" w:afterAutospacing="0" w:line="20" w:lineRule="atLeast"/>
        <w:ind w:firstLine="482"/>
      </w:pPr>
      <w:r>
        <w:rPr>
          <w:rFonts w:hint="eastAsia"/>
          <w:sz w:val="18"/>
          <w:szCs w:val="18"/>
        </w:rPr>
        <w:t>C、该义务的金额能够可靠地计量。</w:t>
      </w:r>
    </w:p>
    <w:p w14:paraId="7F20213E">
      <w:pPr>
        <w:pStyle w:val="9"/>
        <w:spacing w:before="0" w:beforeAutospacing="0" w:after="0" w:afterAutospacing="0" w:line="20" w:lineRule="atLeast"/>
        <w:ind w:firstLine="482"/>
      </w:pPr>
      <w:r>
        <w:rPr>
          <w:rFonts w:hint="eastAsia"/>
          <w:sz w:val="18"/>
          <w:szCs w:val="18"/>
        </w:rPr>
        <w:t>预计负债按照履行相关现时义务所需支出的最佳估计数进行初始计量，综合考虑与或有事项有关的风险、不确定性和货币时间价值等因素。货币时间价值影响重大的，通过对相关未来现金流出进行折现后确定最佳估计数。</w:t>
      </w:r>
    </w:p>
    <w:p w14:paraId="0EA831C6">
      <w:pPr>
        <w:pStyle w:val="9"/>
        <w:spacing w:before="0" w:beforeAutospacing="0" w:after="0" w:afterAutospacing="0" w:line="20" w:lineRule="atLeast"/>
        <w:ind w:firstLine="482"/>
      </w:pPr>
      <w:r>
        <w:rPr>
          <w:rFonts w:hint="eastAsia"/>
          <w:sz w:val="18"/>
          <w:szCs w:val="18"/>
        </w:rPr>
        <w:t>如果清偿已确认预计负债所需支出全部或部分预期由第三方或其他方补偿，则补偿金额只能在基本确定能收到时，作为资产单独确认。确认的补偿金额不超过所确认负债的账面价值。</w:t>
      </w:r>
    </w:p>
    <w:p w14:paraId="041DBDB2">
      <w:pPr>
        <w:pStyle w:val="3"/>
        <w:spacing w:before="100" w:after="100" w:line="280" w:lineRule="exact"/>
        <w:jc w:val="left"/>
      </w:pPr>
      <w:bookmarkStart w:id="145" w:name="_Toc989034"/>
      <w:r>
        <w:rPr>
          <w:rFonts w:ascii="宋体" w:hAnsi="宋体" w:cs="宋体"/>
          <w:b/>
          <w:bCs/>
        </w:rPr>
        <w:t>35、股份支付</w:t>
      </w:r>
      <w:bookmarkEnd w:id="145"/>
    </w:p>
    <w:p w14:paraId="0154D4D8">
      <w:pPr>
        <w:pStyle w:val="3"/>
        <w:spacing w:before="100" w:after="100" w:line="280" w:lineRule="exact"/>
        <w:jc w:val="left"/>
      </w:pPr>
      <w:bookmarkStart w:id="146" w:name="_Toc989035"/>
      <w:r>
        <w:rPr>
          <w:rFonts w:ascii="宋体" w:hAnsi="宋体" w:cs="宋体"/>
          <w:b/>
          <w:bCs/>
        </w:rPr>
        <w:t>36、优先股、永续债等其他金融工具</w:t>
      </w:r>
      <w:bookmarkEnd w:id="146"/>
    </w:p>
    <w:p w14:paraId="2E760F5A">
      <w:pPr>
        <w:pStyle w:val="3"/>
        <w:spacing w:before="100" w:after="100" w:line="280" w:lineRule="exact"/>
        <w:jc w:val="left"/>
        <w:rPr>
          <w:rFonts w:ascii="宋体" w:hAnsi="宋体" w:cs="宋体"/>
          <w:b/>
          <w:bCs/>
        </w:rPr>
      </w:pPr>
      <w:bookmarkStart w:id="147" w:name="_Toc989036"/>
      <w:r>
        <w:rPr>
          <w:rFonts w:ascii="宋体" w:hAnsi="宋体" w:cs="宋体"/>
          <w:b/>
          <w:bCs/>
        </w:rPr>
        <w:t>37、收入</w:t>
      </w:r>
      <w:bookmarkEnd w:id="147"/>
    </w:p>
    <w:p w14:paraId="0237C1F9">
      <w:pPr>
        <w:spacing w:before="100" w:after="100" w:line="240" w:lineRule="exact"/>
        <w:rPr>
          <w:rFonts w:ascii="宋体" w:hAnsi="宋体" w:eastAsia="宋体" w:cs="宋体"/>
          <w:sz w:val="18"/>
          <w:szCs w:val="18"/>
        </w:rPr>
      </w:pPr>
      <w:r>
        <w:rPr>
          <w:rFonts w:ascii="宋体" w:hAnsi="宋体" w:eastAsia="宋体" w:cs="宋体"/>
          <w:sz w:val="18"/>
          <w:szCs w:val="18"/>
        </w:rPr>
        <w:t>按照业务类型披露收入确认和计量所采用的会计政策</w:t>
      </w:r>
    </w:p>
    <w:p w14:paraId="30191702">
      <w:pPr>
        <w:pStyle w:val="9"/>
        <w:spacing w:before="0" w:beforeAutospacing="0" w:after="0" w:afterAutospacing="0" w:line="20" w:lineRule="atLeast"/>
        <w:ind w:firstLine="480"/>
        <w:rPr>
          <w:sz w:val="18"/>
          <w:szCs w:val="18"/>
        </w:rPr>
      </w:pPr>
      <w:r>
        <w:rPr>
          <w:rFonts w:hint="eastAsia"/>
          <w:sz w:val="18"/>
          <w:szCs w:val="18"/>
        </w:rPr>
        <w:t>收入是本公司在日常活动中形成的、会导致股东权益增加且与股东投入资本无关的经济利益的总流入。本公司在履行了合同中的履约义务，即在客户取得相关商品或服务（简称商品）的控制权时确认收入。</w:t>
      </w:r>
    </w:p>
    <w:p w14:paraId="4D9463A2">
      <w:pPr>
        <w:pStyle w:val="9"/>
        <w:spacing w:before="0" w:beforeAutospacing="0" w:after="0" w:afterAutospacing="0" w:line="20" w:lineRule="atLeast"/>
        <w:ind w:firstLine="480"/>
        <w:rPr>
          <w:sz w:val="18"/>
          <w:szCs w:val="18"/>
        </w:rPr>
      </w:pPr>
      <w:r>
        <w:rPr>
          <w:rFonts w:hint="eastAsia"/>
          <w:sz w:val="18"/>
          <w:szCs w:val="18"/>
        </w:rPr>
        <w:t>合同中包含两项或多项履约义务的，本公司在合同开始日，按照各单项履约义务所承诺商品的单独售价的相对比例，将交易价格分摊至各单项履约义务，按照分摊至各单项履约义务的交易价格计量收入。</w:t>
      </w:r>
    </w:p>
    <w:p w14:paraId="50BF2404">
      <w:pPr>
        <w:pStyle w:val="9"/>
        <w:spacing w:before="0" w:beforeAutospacing="0" w:after="0" w:afterAutospacing="0" w:line="20" w:lineRule="atLeast"/>
        <w:ind w:firstLine="480"/>
        <w:rPr>
          <w:sz w:val="18"/>
          <w:szCs w:val="18"/>
        </w:rPr>
      </w:pPr>
      <w:r>
        <w:rPr>
          <w:rFonts w:hint="eastAsia"/>
          <w:sz w:val="18"/>
          <w:szCs w:val="18"/>
        </w:rPr>
        <w:t>交易价格是本公司因向客户转让商品而预期有权收取的对价金额，不包括代第三方收取的款项。本公司确认的交易价格不超过在相关不确定性消除时累计已确认收入极可能不会发生重大转回的金额。合同中存在重大融资成分的，本公司按照假定客户在取得商品控制权时即以现金支付的应付金额确定交易价格，该交易价格与合同承诺的对价之间的差额，在合同期间内采用实际利率法摊销。</w:t>
      </w:r>
    </w:p>
    <w:p w14:paraId="4FD58DA9">
      <w:pPr>
        <w:pStyle w:val="9"/>
        <w:spacing w:before="0" w:beforeAutospacing="0" w:after="0" w:afterAutospacing="0" w:line="20" w:lineRule="atLeast"/>
        <w:ind w:firstLine="480"/>
        <w:rPr>
          <w:sz w:val="18"/>
          <w:szCs w:val="18"/>
        </w:rPr>
      </w:pPr>
      <w:r>
        <w:rPr>
          <w:rFonts w:hint="eastAsia"/>
          <w:sz w:val="18"/>
          <w:szCs w:val="18"/>
        </w:rPr>
        <w:t>满足下列条件之一时，属于在某一时段内履行履约义务，否则，属于在某一时点履行履约义务：①客户在本公司履约的同时即取得并消耗本公司履约所带来的经济利益；②客户能够控制本公司履约过程中在建的商品；③本公司履约过程中所产出的商品具有不可替代用途，且本公司在整个合同期间内有权就累计至今已完成的履约部分收取款项。</w:t>
      </w:r>
    </w:p>
    <w:p w14:paraId="4EA86EED">
      <w:pPr>
        <w:pStyle w:val="9"/>
        <w:spacing w:before="0" w:beforeAutospacing="0" w:after="0" w:afterAutospacing="0" w:line="20" w:lineRule="atLeast"/>
        <w:ind w:firstLine="480"/>
        <w:rPr>
          <w:sz w:val="18"/>
          <w:szCs w:val="18"/>
        </w:rPr>
      </w:pPr>
      <w:r>
        <w:rPr>
          <w:rFonts w:hint="eastAsia"/>
          <w:sz w:val="18"/>
          <w:szCs w:val="18"/>
        </w:rPr>
        <w:t>对于在某一时段内履行的履约义务，本公司在该时段内按照履约进度确认收入。履约进度不能合理确定时，本公司已经发生的成本预计能够得到补偿的，按照已经发生的成本金额确认收入，直至履约进度能够合理确定。对于在某一时点履行的履约义务，本公司在客户取得相关商品控制权时点确认收入。</w:t>
      </w:r>
    </w:p>
    <w:p w14:paraId="2EB44E78">
      <w:pPr>
        <w:pStyle w:val="9"/>
        <w:spacing w:before="0" w:beforeAutospacing="0" w:after="0" w:afterAutospacing="0" w:line="20" w:lineRule="atLeast"/>
        <w:ind w:firstLine="480"/>
        <w:rPr>
          <w:sz w:val="18"/>
          <w:szCs w:val="18"/>
        </w:rPr>
      </w:pPr>
      <w:r>
        <w:rPr>
          <w:rFonts w:hint="eastAsia"/>
          <w:sz w:val="18"/>
          <w:szCs w:val="18"/>
        </w:rPr>
        <w:t>本公司在向客户转让商品前能够控制该商品的，为主要责任人，按照已收或应收对价总额确认收入；否则为代理人，按照预期有权收取的佣金或手续费的金额确认收入。</w:t>
      </w:r>
    </w:p>
    <w:p w14:paraId="5633194D">
      <w:pPr>
        <w:pStyle w:val="9"/>
        <w:spacing w:before="0" w:beforeAutospacing="0" w:after="0" w:afterAutospacing="0" w:line="20" w:lineRule="atLeast"/>
        <w:ind w:firstLine="480"/>
        <w:rPr>
          <w:sz w:val="18"/>
          <w:szCs w:val="18"/>
        </w:rPr>
      </w:pPr>
      <w:r>
        <w:rPr>
          <w:rFonts w:hint="eastAsia"/>
          <w:sz w:val="18"/>
          <w:szCs w:val="18"/>
        </w:rPr>
        <w:t>本公司的营业收入主要包括啤酒的销售，收入具体确认政策为：在产品发出移交给购货方，已收到货款或取得收款权利时确认收入。</w:t>
      </w:r>
    </w:p>
    <w:p w14:paraId="1F53807D">
      <w:pPr>
        <w:spacing w:before="100" w:after="100" w:line="20" w:lineRule="atLeast"/>
      </w:pPr>
      <w:r>
        <w:rPr>
          <w:rFonts w:hint="eastAsia" w:ascii="宋体" w:hAnsi="宋体" w:eastAsia="宋体" w:cs="宋体"/>
          <w:sz w:val="18"/>
          <w:szCs w:val="18"/>
        </w:rPr>
        <w:t>同类业务采用不同经营模式涉及不同收入确认方式及计量方法的情况</w:t>
      </w:r>
    </w:p>
    <w:p w14:paraId="5FE8E186">
      <w:pPr>
        <w:pStyle w:val="3"/>
        <w:spacing w:before="100" w:after="100" w:line="280" w:lineRule="exact"/>
        <w:jc w:val="left"/>
      </w:pPr>
      <w:bookmarkStart w:id="148" w:name="_Toc989037"/>
      <w:r>
        <w:rPr>
          <w:rFonts w:ascii="宋体" w:hAnsi="宋体" w:cs="宋体"/>
          <w:b/>
          <w:bCs/>
        </w:rPr>
        <w:t>38、合同成本</w:t>
      </w:r>
      <w:bookmarkEnd w:id="148"/>
    </w:p>
    <w:p w14:paraId="0420AB99">
      <w:pPr>
        <w:pStyle w:val="3"/>
        <w:spacing w:before="100" w:after="100" w:line="280" w:lineRule="exact"/>
        <w:jc w:val="left"/>
        <w:rPr>
          <w:rFonts w:ascii="宋体" w:hAnsi="宋体" w:cs="宋体"/>
          <w:b/>
          <w:bCs/>
        </w:rPr>
      </w:pPr>
      <w:bookmarkStart w:id="149" w:name="_Toc989038"/>
      <w:r>
        <w:rPr>
          <w:rFonts w:ascii="宋体" w:hAnsi="宋体" w:cs="宋体"/>
          <w:b/>
          <w:bCs/>
        </w:rPr>
        <w:t>39、政府补助</w:t>
      </w:r>
      <w:bookmarkEnd w:id="149"/>
    </w:p>
    <w:p w14:paraId="7463BEDB">
      <w:pPr>
        <w:pStyle w:val="9"/>
        <w:spacing w:before="0" w:beforeAutospacing="0" w:after="0" w:afterAutospacing="0" w:line="20" w:lineRule="atLeast"/>
        <w:ind w:firstLine="482"/>
        <w:rPr>
          <w:sz w:val="18"/>
          <w:szCs w:val="18"/>
        </w:rPr>
      </w:pPr>
      <w:r>
        <w:rPr>
          <w:rFonts w:hint="eastAsia"/>
          <w:sz w:val="18"/>
          <w:szCs w:val="18"/>
        </w:rPr>
        <w:t>政府补助是指本公司从政府无偿取得货币性资产或非货币性资产，不包括政府以投资者身份并享有相应所有者权益而投入的资本。政府补助分为与资产相关的政府补助和与收益相关的政府补助。政府补助为货币性资产的，按照收到或应收的金额计量。政府补助为非货币性资产的，应当按照公允价值计量；公允价值不能可靠取得的，按照名义金额计量。按照名义金额计量的政府补助，直接计入当期损益。</w:t>
      </w:r>
    </w:p>
    <w:p w14:paraId="319DD331">
      <w:pPr>
        <w:pStyle w:val="9"/>
        <w:spacing w:before="0" w:beforeAutospacing="0" w:after="0" w:afterAutospacing="0" w:line="20" w:lineRule="atLeast"/>
        <w:ind w:firstLine="482"/>
        <w:rPr>
          <w:sz w:val="18"/>
          <w:szCs w:val="18"/>
        </w:rPr>
      </w:pPr>
      <w:r>
        <w:rPr>
          <w:rFonts w:hint="eastAsia"/>
          <w:sz w:val="18"/>
          <w:szCs w:val="18"/>
        </w:rPr>
        <w:t>当本公司能够满足政府补助所附条件，且能够收到政府补助时，才能确认政府补助。</w:t>
      </w:r>
    </w:p>
    <w:p w14:paraId="0EBBCD8E">
      <w:pPr>
        <w:pStyle w:val="9"/>
        <w:spacing w:before="0" w:beforeAutospacing="0" w:after="0" w:afterAutospacing="0" w:line="20" w:lineRule="atLeast"/>
        <w:ind w:firstLine="482"/>
        <w:rPr>
          <w:sz w:val="18"/>
          <w:szCs w:val="18"/>
        </w:rPr>
      </w:pPr>
      <w:r>
        <w:rPr>
          <w:rFonts w:hint="eastAsia"/>
          <w:sz w:val="18"/>
          <w:szCs w:val="18"/>
        </w:rPr>
        <w:t>政府补助分为与资产相关的政府补助和与收益相关的政府补助。与资产相关的政府补助，是指公司取得的、用于购建或以其他方式形成长期资产的政府补助。与收益相关的政府补助，是指除与资产相关的政府补助之外的政府补助。</w:t>
      </w:r>
    </w:p>
    <w:p w14:paraId="55C97064">
      <w:pPr>
        <w:pStyle w:val="9"/>
        <w:spacing w:before="0" w:beforeAutospacing="0" w:after="0" w:afterAutospacing="0" w:line="20" w:lineRule="atLeast"/>
        <w:ind w:firstLine="482"/>
        <w:rPr>
          <w:sz w:val="18"/>
          <w:szCs w:val="18"/>
        </w:rPr>
      </w:pPr>
      <w:r>
        <w:rPr>
          <w:rFonts w:hint="eastAsia"/>
          <w:sz w:val="18"/>
          <w:szCs w:val="18"/>
        </w:rPr>
        <w:t>与资产相关的政府补助，采用净额法，冲减相关资产的账面价值，已确认的政府补助需要退回的，调整资产账面价值。</w:t>
      </w:r>
    </w:p>
    <w:p w14:paraId="2BE981D3">
      <w:pPr>
        <w:pStyle w:val="9"/>
        <w:spacing w:before="0" w:beforeAutospacing="0" w:after="0" w:afterAutospacing="0" w:line="20" w:lineRule="atLeast"/>
        <w:ind w:firstLine="480"/>
        <w:rPr>
          <w:sz w:val="18"/>
          <w:szCs w:val="18"/>
        </w:rPr>
      </w:pPr>
      <w:r>
        <w:rPr>
          <w:rFonts w:hint="eastAsia"/>
          <w:sz w:val="18"/>
          <w:szCs w:val="18"/>
        </w:rPr>
        <w:t> 与收益相关的政府补助，采用净额法，用于补偿企业以后期间的相关成本费用或损失的，确认为递延收益，并在确认相关成本费用或损失的期间，计入当期损益或冲减相关成本；用于补偿企业已发生的相关成本费用或损失的，直接计入当期损益或冲减相关成本。</w:t>
      </w:r>
    </w:p>
    <w:p w14:paraId="382638CB">
      <w:pPr>
        <w:pStyle w:val="9"/>
        <w:spacing w:before="0" w:beforeAutospacing="0" w:after="0" w:afterAutospacing="0" w:line="20" w:lineRule="atLeast"/>
        <w:ind w:firstLine="480"/>
        <w:rPr>
          <w:sz w:val="18"/>
          <w:szCs w:val="18"/>
        </w:rPr>
      </w:pPr>
      <w:r>
        <w:rPr>
          <w:rFonts w:hint="eastAsia"/>
          <w:sz w:val="18"/>
          <w:szCs w:val="18"/>
        </w:rPr>
        <w:t>对于同时包含与资产相关部分和与收益相关部分的政府补助，区分不同部分分别进行会计处理；难以区分的，整体归类为与收益相关的政府补助。</w:t>
      </w:r>
    </w:p>
    <w:p w14:paraId="2D5DA5FB">
      <w:pPr>
        <w:pStyle w:val="9"/>
        <w:spacing w:before="0" w:beforeAutospacing="0" w:after="0" w:afterAutospacing="0" w:line="20" w:lineRule="atLeast"/>
        <w:ind w:firstLine="480"/>
        <w:rPr>
          <w:sz w:val="18"/>
          <w:szCs w:val="18"/>
        </w:rPr>
      </w:pPr>
      <w:r>
        <w:rPr>
          <w:rFonts w:hint="eastAsia"/>
          <w:sz w:val="18"/>
          <w:szCs w:val="18"/>
        </w:rPr>
        <w:t>与公司日常活动相关的政府补助，按照经济业务实质，计入其他收益或冲减相关成本费用。与公司日常活动无关的政府补助，计入营业外收支。</w:t>
      </w:r>
    </w:p>
    <w:p w14:paraId="7CB546AD">
      <w:pPr>
        <w:pStyle w:val="3"/>
        <w:spacing w:before="100" w:after="100" w:line="280" w:lineRule="exact"/>
        <w:jc w:val="left"/>
        <w:rPr>
          <w:rFonts w:ascii="宋体" w:hAnsi="宋体" w:cs="宋体"/>
          <w:b/>
          <w:bCs/>
        </w:rPr>
      </w:pPr>
      <w:bookmarkStart w:id="150" w:name="_Toc989039"/>
      <w:r>
        <w:rPr>
          <w:rFonts w:ascii="宋体" w:hAnsi="宋体" w:cs="宋体"/>
          <w:b/>
          <w:bCs/>
        </w:rPr>
        <w:t>40、递延所得税资产/递延所得税负债</w:t>
      </w:r>
      <w:bookmarkEnd w:id="150"/>
    </w:p>
    <w:p w14:paraId="51655967">
      <w:pPr>
        <w:pStyle w:val="9"/>
        <w:spacing w:before="0" w:beforeAutospacing="0" w:after="0" w:afterAutospacing="0" w:line="20" w:lineRule="atLeast"/>
        <w:ind w:firstLine="482"/>
        <w:rPr>
          <w:sz w:val="18"/>
          <w:szCs w:val="18"/>
        </w:rPr>
      </w:pPr>
      <w:r>
        <w:rPr>
          <w:rFonts w:hint="eastAsia"/>
          <w:sz w:val="18"/>
          <w:szCs w:val="18"/>
        </w:rPr>
        <w:t>（1）递延所得税资产/递延所得税负债：</w:t>
      </w:r>
    </w:p>
    <w:p w14:paraId="38239651">
      <w:pPr>
        <w:pStyle w:val="9"/>
        <w:spacing w:before="0" w:beforeAutospacing="0" w:after="0" w:afterAutospacing="0" w:line="20" w:lineRule="atLeast"/>
        <w:ind w:firstLine="482"/>
        <w:rPr>
          <w:sz w:val="18"/>
          <w:szCs w:val="18"/>
        </w:rPr>
      </w:pPr>
      <w:r>
        <w:rPr>
          <w:rFonts w:hint="eastAsia"/>
          <w:sz w:val="18"/>
          <w:szCs w:val="18"/>
        </w:rPr>
        <w:t>某些资产、负债项目的账面价值与其计税基础之间的差额，以及未作为资产和负债确认但按照税法规定可以确定其计税基础的项目的账面价值与计税基础之间的差额产生的暂时性差异，采用资产负债表债务法确认递延所得税资产及递延所得税负债。</w:t>
      </w:r>
    </w:p>
    <w:p w14:paraId="484A695B">
      <w:pPr>
        <w:pStyle w:val="9"/>
        <w:spacing w:before="0" w:beforeAutospacing="0" w:after="0" w:afterAutospacing="0" w:line="20" w:lineRule="atLeast"/>
        <w:ind w:firstLine="482"/>
        <w:rPr>
          <w:sz w:val="18"/>
          <w:szCs w:val="18"/>
        </w:rPr>
      </w:pPr>
      <w:r>
        <w:rPr>
          <w:rFonts w:hint="eastAsia"/>
          <w:sz w:val="18"/>
          <w:szCs w:val="18"/>
        </w:rPr>
        <w:t>与商誉的初始确认有关，以及与既不是企业合并、发生时也不影响会计利润和应纳税所得额（或可抵扣亏损）的交易中产生的资产或负债的初始确认有关的应纳税暂时性差异，不予确认有关的递延所得税负债。此外，对与子公司、联营企业及合营企业投资相关的应纳税暂时性差异，如果本公司能够控制暂时性差异转回的时间，而且该暂时性差异在可预见的未来很可能不会转回，也不予确认有关的递延所得税负债。除上述例外情况，本公司确认其他所有应纳税暂时性差异产生的递延所得税负债。</w:t>
      </w:r>
    </w:p>
    <w:p w14:paraId="69B8B048">
      <w:pPr>
        <w:pStyle w:val="9"/>
        <w:spacing w:before="0" w:beforeAutospacing="0" w:after="0" w:afterAutospacing="0" w:line="20" w:lineRule="atLeast"/>
        <w:ind w:firstLine="482"/>
        <w:rPr>
          <w:sz w:val="18"/>
          <w:szCs w:val="18"/>
        </w:rPr>
      </w:pPr>
      <w:r>
        <w:rPr>
          <w:rFonts w:hint="eastAsia"/>
          <w:sz w:val="18"/>
          <w:szCs w:val="18"/>
        </w:rPr>
        <w:t>与既不是企业合并、发生时也不影响会计利润和应纳税所得额（或可抵扣亏损）的交易中产生的资产或负债的初始确认有关的可抵扣暂时性差异，不予确认有关的递延所得税资产。此外，对与子公司、联营企业及合营企业投资相关的可抵扣暂时性差异，如果暂时性差异在可预见的未来不是很可能转回，或者未来不是很可能获得用来抵扣可抵扣暂时性差异的应纳税所得额，不予确认有关的递延所得税资产。除上述例外情况，本公司以很可能取得用来抵扣可抵扣暂时性差异的应纳税所得额为限，确认其他可抵扣暂时性差异产生的递延所得税资产。</w:t>
      </w:r>
    </w:p>
    <w:p w14:paraId="6D4FAD65">
      <w:pPr>
        <w:pStyle w:val="9"/>
        <w:spacing w:before="0" w:beforeAutospacing="0" w:after="0" w:afterAutospacing="0" w:line="20" w:lineRule="atLeast"/>
        <w:ind w:firstLine="482"/>
        <w:rPr>
          <w:sz w:val="18"/>
          <w:szCs w:val="18"/>
        </w:rPr>
      </w:pPr>
      <w:r>
        <w:rPr>
          <w:rFonts w:hint="eastAsia"/>
          <w:sz w:val="18"/>
          <w:szCs w:val="18"/>
        </w:rPr>
        <w:t>对于能够结转以后年度的可抵扣亏损和税款抵减，以很可能获得用来抵扣可抵扣亏损和税款抵减的未来应纳税所得额为限，确认相应的递延所得税资产。</w:t>
      </w:r>
    </w:p>
    <w:p w14:paraId="24BBE378">
      <w:pPr>
        <w:pStyle w:val="9"/>
        <w:spacing w:before="0" w:beforeAutospacing="0" w:after="0" w:afterAutospacing="0" w:line="20" w:lineRule="atLeast"/>
        <w:ind w:firstLine="482"/>
        <w:rPr>
          <w:sz w:val="18"/>
          <w:szCs w:val="18"/>
        </w:rPr>
      </w:pPr>
      <w:r>
        <w:rPr>
          <w:rFonts w:hint="eastAsia"/>
          <w:sz w:val="18"/>
          <w:szCs w:val="18"/>
        </w:rPr>
        <w:t>资产负债表日，对于递延所得税资产和递延所得税负债，根据税法规定，按照预期收回相关资产或清偿相关负债期间的适用税率计量。</w:t>
      </w:r>
    </w:p>
    <w:p w14:paraId="57123C19">
      <w:pPr>
        <w:pStyle w:val="9"/>
        <w:spacing w:before="0" w:beforeAutospacing="0" w:after="0" w:afterAutospacing="0" w:line="20" w:lineRule="atLeast"/>
        <w:ind w:firstLine="482"/>
        <w:rPr>
          <w:sz w:val="18"/>
          <w:szCs w:val="18"/>
        </w:rPr>
      </w:pPr>
      <w:r>
        <w:rPr>
          <w:rFonts w:hint="eastAsia"/>
          <w:sz w:val="18"/>
          <w:szCs w:val="18"/>
        </w:rPr>
        <w:t>于资产负债表日，对递延所得税资产的账面价值进行复核，如果未来很可能无法获得足够的应纳税所得额用以抵扣递延所得税资产的利益，则减记递延所得税资产的账面价值。在很可能获得足够的应纳税所得额时，减记的金额予以转回。</w:t>
      </w:r>
    </w:p>
    <w:p w14:paraId="71986C30">
      <w:pPr>
        <w:pStyle w:val="9"/>
        <w:spacing w:before="0" w:beforeAutospacing="0" w:after="0" w:afterAutospacing="0" w:line="20" w:lineRule="atLeast"/>
        <w:ind w:firstLine="482"/>
        <w:rPr>
          <w:sz w:val="18"/>
          <w:szCs w:val="18"/>
        </w:rPr>
      </w:pPr>
      <w:r>
        <w:rPr>
          <w:rFonts w:hint="eastAsia"/>
          <w:sz w:val="18"/>
          <w:szCs w:val="18"/>
        </w:rPr>
        <w:t>（2）所得税：</w:t>
      </w:r>
    </w:p>
    <w:p w14:paraId="7F7B56DC">
      <w:pPr>
        <w:pStyle w:val="9"/>
        <w:spacing w:before="0" w:beforeAutospacing="0" w:after="0" w:afterAutospacing="0" w:line="20" w:lineRule="atLeast"/>
        <w:ind w:firstLine="482"/>
        <w:rPr>
          <w:sz w:val="18"/>
          <w:szCs w:val="18"/>
        </w:rPr>
      </w:pPr>
      <w:r>
        <w:rPr>
          <w:rFonts w:hint="eastAsia"/>
          <w:sz w:val="18"/>
          <w:szCs w:val="18"/>
        </w:rPr>
        <w:t>所得税包括当期所得税和递延所得税。除由于企业合并产生的调整商誉，或与直接计入所有者权益的交易或者事项相关的递延所得税计入所有者权益外，均作为所得税费用计入当期损益。</w:t>
      </w:r>
    </w:p>
    <w:p w14:paraId="39C025A4">
      <w:pPr>
        <w:pStyle w:val="9"/>
        <w:spacing w:before="0" w:beforeAutospacing="0" w:after="0" w:afterAutospacing="0" w:line="20" w:lineRule="atLeast"/>
        <w:ind w:firstLine="482"/>
        <w:rPr>
          <w:sz w:val="18"/>
          <w:szCs w:val="18"/>
        </w:rPr>
      </w:pPr>
      <w:r>
        <w:rPr>
          <w:rFonts w:hint="eastAsia"/>
          <w:sz w:val="18"/>
          <w:szCs w:val="18"/>
        </w:rPr>
        <w:t>当期所得税是按照当期应纳税所得额计算的当期应交所得税金额。应纳税所得额系根据有关税法规定对本年度税前会计利润作相应调整后得出。</w:t>
      </w:r>
    </w:p>
    <w:p w14:paraId="1B70D7D3">
      <w:pPr>
        <w:pStyle w:val="9"/>
        <w:spacing w:before="0" w:beforeAutospacing="0" w:after="0" w:afterAutospacing="0" w:line="20" w:lineRule="atLeast"/>
        <w:ind w:firstLine="482"/>
        <w:rPr>
          <w:sz w:val="18"/>
          <w:szCs w:val="18"/>
        </w:rPr>
      </w:pPr>
      <w:r>
        <w:rPr>
          <w:rFonts w:hint="eastAsia"/>
          <w:sz w:val="18"/>
          <w:szCs w:val="18"/>
        </w:rPr>
        <w:t>本公司根据资产、负债于资产负债表日的账面价值与计税基础之间的暂时性差异，采用资产负债表债务法确认递延所得税。</w:t>
      </w:r>
    </w:p>
    <w:p w14:paraId="53148BEC">
      <w:pPr>
        <w:pStyle w:val="9"/>
        <w:spacing w:before="0" w:beforeAutospacing="0" w:after="0" w:afterAutospacing="0" w:line="20" w:lineRule="atLeast"/>
        <w:ind w:firstLine="482"/>
        <w:rPr>
          <w:sz w:val="18"/>
          <w:szCs w:val="18"/>
        </w:rPr>
      </w:pPr>
      <w:r>
        <w:rPr>
          <w:rFonts w:hint="eastAsia"/>
          <w:sz w:val="18"/>
          <w:szCs w:val="18"/>
        </w:rPr>
        <w:t>各项应纳税暂时性差异均确认相关的递延所得税负债，除非该应纳税暂时性差异是在以下交易中产生的：</w:t>
      </w:r>
    </w:p>
    <w:p w14:paraId="5648C782">
      <w:pPr>
        <w:pStyle w:val="9"/>
        <w:spacing w:before="0" w:beforeAutospacing="0" w:after="0" w:afterAutospacing="0" w:line="20" w:lineRule="atLeast"/>
        <w:ind w:firstLine="482"/>
        <w:rPr>
          <w:sz w:val="18"/>
          <w:szCs w:val="18"/>
        </w:rPr>
      </w:pPr>
      <w:r>
        <w:rPr>
          <w:rFonts w:hint="eastAsia"/>
          <w:sz w:val="18"/>
          <w:szCs w:val="18"/>
        </w:rPr>
        <w:t>A、商誉的初始确认，或者具有以下特征的交易中产生的资产或负债的初始确认：该交易不是企业合并，并且交易发生时既不影响会计利润也不影响应纳税所得额；</w:t>
      </w:r>
    </w:p>
    <w:p w14:paraId="411A99D9">
      <w:pPr>
        <w:pStyle w:val="9"/>
        <w:spacing w:before="0" w:beforeAutospacing="0" w:after="0" w:afterAutospacing="0" w:line="20" w:lineRule="atLeast"/>
        <w:ind w:firstLine="482"/>
        <w:rPr>
          <w:sz w:val="18"/>
          <w:szCs w:val="18"/>
        </w:rPr>
      </w:pPr>
      <w:r>
        <w:rPr>
          <w:rFonts w:hint="eastAsia"/>
          <w:sz w:val="18"/>
          <w:szCs w:val="18"/>
        </w:rPr>
        <w:t>B、对于与子公司、合营企业及联营企业投资相关的应纳税暂时性差异，该暂时性差异转回的时间能够控制并且该暂时性差异在可预见的未来很可能不会转回。</w:t>
      </w:r>
    </w:p>
    <w:p w14:paraId="348CE895">
      <w:pPr>
        <w:pStyle w:val="9"/>
        <w:spacing w:before="0" w:beforeAutospacing="0" w:after="0" w:afterAutospacing="0" w:line="20" w:lineRule="atLeast"/>
        <w:ind w:firstLine="482"/>
        <w:rPr>
          <w:sz w:val="18"/>
          <w:szCs w:val="18"/>
        </w:rPr>
      </w:pPr>
      <w:r>
        <w:rPr>
          <w:rFonts w:hint="eastAsia"/>
          <w:sz w:val="18"/>
          <w:szCs w:val="18"/>
        </w:rPr>
        <w:t>对于可抵扣暂时性差异、能够结转以后年度的可抵扣亏损和税款抵减，本公司以很可能取得用来抵扣可抵扣暂时性差异、可抵扣亏损和税款抵减的未来应纳税所得额为限，确认由此产生的递延所得税资产，除非该可抵扣暂时性差异是在以下交易中产生的：</w:t>
      </w:r>
    </w:p>
    <w:p w14:paraId="1CC3724D">
      <w:pPr>
        <w:pStyle w:val="9"/>
        <w:spacing w:before="0" w:beforeAutospacing="0" w:after="0" w:afterAutospacing="0" w:line="20" w:lineRule="atLeast"/>
        <w:ind w:firstLine="482"/>
        <w:rPr>
          <w:sz w:val="18"/>
          <w:szCs w:val="18"/>
        </w:rPr>
      </w:pPr>
      <w:r>
        <w:rPr>
          <w:rFonts w:hint="eastAsia"/>
          <w:sz w:val="18"/>
          <w:szCs w:val="18"/>
        </w:rPr>
        <w:t>A、该交易不是企业合并，并且交易发生时既不影响会计利润也不影响应纳税所得额；</w:t>
      </w:r>
    </w:p>
    <w:p w14:paraId="1104A31B">
      <w:pPr>
        <w:pStyle w:val="9"/>
        <w:spacing w:before="0" w:beforeAutospacing="0" w:after="0" w:afterAutospacing="0" w:line="20" w:lineRule="atLeast"/>
        <w:ind w:firstLine="482"/>
        <w:rPr>
          <w:sz w:val="18"/>
          <w:szCs w:val="18"/>
        </w:rPr>
      </w:pPr>
      <w:r>
        <w:rPr>
          <w:rFonts w:hint="eastAsia"/>
          <w:sz w:val="18"/>
          <w:szCs w:val="18"/>
        </w:rPr>
        <w:t>B、对于与子公司、合营企业及联营企业投资相关的可抵扣暂时性差异，同时满足下列条件的，确认相应的递延所得税资产：暂时性差异在可预见的未来很可能转回，且未来很可能获得用来抵扣可抵扣暂时性差异的应纳税所得额。</w:t>
      </w:r>
    </w:p>
    <w:p w14:paraId="79F1FFF2">
      <w:pPr>
        <w:pStyle w:val="9"/>
        <w:spacing w:before="0" w:beforeAutospacing="0" w:after="0" w:afterAutospacing="0" w:line="20" w:lineRule="atLeast"/>
        <w:ind w:firstLine="482"/>
        <w:rPr>
          <w:sz w:val="18"/>
          <w:szCs w:val="18"/>
        </w:rPr>
      </w:pPr>
      <w:r>
        <w:rPr>
          <w:rFonts w:hint="eastAsia"/>
          <w:sz w:val="18"/>
          <w:szCs w:val="18"/>
        </w:rPr>
        <w:t>于资产负债表日，本公司对递延所得税资产和递延所得税负债，按照预期收回该资产或清偿该负债期间的适用税率计量，并反映资产负债表日预期收回资产或清偿负债方式的所得税影响。</w:t>
      </w:r>
    </w:p>
    <w:p w14:paraId="53F4EF82">
      <w:pPr>
        <w:pStyle w:val="9"/>
        <w:spacing w:before="0" w:beforeAutospacing="0" w:after="0" w:afterAutospacing="0" w:line="20" w:lineRule="atLeast"/>
        <w:ind w:firstLine="482"/>
        <w:rPr>
          <w:sz w:val="18"/>
          <w:szCs w:val="18"/>
        </w:rPr>
      </w:pPr>
      <w:r>
        <w:rPr>
          <w:rFonts w:hint="eastAsia"/>
          <w:sz w:val="18"/>
          <w:szCs w:val="18"/>
        </w:rPr>
        <w:t>于资产负债表日，本公司对递延所得税资产的账面价值进行复核。如果未来期间很可能无法获得足够的应纳税所得额用以抵扣递延所得税资产的利益，减记递延所得税资产的账面价值。在很可能获得足够的应纳税所得额时，减记的金额予以转回。</w:t>
      </w:r>
    </w:p>
    <w:p w14:paraId="76952D28">
      <w:pPr>
        <w:pStyle w:val="3"/>
        <w:spacing w:before="100" w:after="100" w:line="280" w:lineRule="exact"/>
        <w:jc w:val="left"/>
        <w:rPr>
          <w:rFonts w:ascii="宋体" w:hAnsi="宋体" w:cs="宋体"/>
          <w:b/>
          <w:bCs/>
        </w:rPr>
      </w:pPr>
      <w:bookmarkStart w:id="151" w:name="_Toc989040"/>
      <w:r>
        <w:rPr>
          <w:rFonts w:ascii="宋体" w:hAnsi="宋体" w:cs="宋体"/>
          <w:b/>
          <w:bCs/>
        </w:rPr>
        <w:t>41、租赁</w:t>
      </w:r>
      <w:bookmarkEnd w:id="151"/>
    </w:p>
    <w:p w14:paraId="53F25D0D">
      <w:pPr>
        <w:keepNext/>
        <w:keepLines/>
        <w:spacing w:before="100" w:after="100" w:line="280" w:lineRule="exact"/>
        <w:outlineLvl w:val="3"/>
        <w:rPr>
          <w:rFonts w:ascii="宋体" w:hAnsi="宋体" w:eastAsia="宋体" w:cs="宋体"/>
          <w:b/>
          <w:bCs/>
          <w:szCs w:val="21"/>
        </w:rPr>
      </w:pPr>
      <w:bookmarkStart w:id="152" w:name="_Toc989041"/>
      <w:r>
        <w:rPr>
          <w:rFonts w:ascii="宋体" w:hAnsi="宋体" w:eastAsia="宋体" w:cs="宋体"/>
          <w:b/>
          <w:bCs/>
          <w:szCs w:val="21"/>
        </w:rPr>
        <w:t>（1） 作为承租方租赁的会计处理方法</w:t>
      </w:r>
      <w:bookmarkEnd w:id="152"/>
    </w:p>
    <w:p w14:paraId="13E8AFF0">
      <w:pPr>
        <w:pStyle w:val="9"/>
        <w:spacing w:before="0" w:beforeAutospacing="0" w:after="0" w:afterAutospacing="0" w:line="20" w:lineRule="atLeast"/>
        <w:ind w:firstLine="482"/>
      </w:pPr>
      <w:r>
        <w:rPr>
          <w:rFonts w:hint="eastAsia"/>
          <w:sz w:val="18"/>
          <w:szCs w:val="18"/>
        </w:rPr>
        <w:t>合同中同时包含多项单独租赁的，将合同予以分拆，分别各项单独租赁进行会计处理。合同中同时包含租赁和非租赁部分的，将租赁和非租赁部分进行分拆，按照各租赁部分单独价格及非租赁部分的单独价格之和的相对比例分摊合同对价。租赁期是本公司有权使用租赁资产且不可撤销的期间。</w:t>
      </w:r>
    </w:p>
    <w:p w14:paraId="60B25976">
      <w:pPr>
        <w:pStyle w:val="9"/>
        <w:spacing w:before="0" w:beforeAutospacing="0" w:after="0" w:afterAutospacing="0" w:line="20" w:lineRule="atLeast"/>
        <w:ind w:firstLine="482"/>
      </w:pPr>
      <w:r>
        <w:rPr>
          <w:rFonts w:hint="eastAsia"/>
          <w:sz w:val="18"/>
          <w:szCs w:val="18"/>
        </w:rPr>
        <w:t>①使用权资产</w:t>
      </w:r>
    </w:p>
    <w:p w14:paraId="351EE473">
      <w:pPr>
        <w:pStyle w:val="9"/>
        <w:spacing w:before="0" w:beforeAutospacing="0" w:after="0" w:afterAutospacing="0" w:line="20" w:lineRule="atLeast"/>
        <w:ind w:firstLine="482"/>
      </w:pPr>
      <w:r>
        <w:rPr>
          <w:rFonts w:hint="eastAsia"/>
          <w:sz w:val="18"/>
          <w:szCs w:val="18"/>
        </w:rPr>
        <w:t>使用权资产是指本公司可在租赁期内使用租赁资产的权利。本公司租赁资产的类别主要包括房屋建筑物等。</w:t>
      </w:r>
    </w:p>
    <w:p w14:paraId="7D2EEEC8">
      <w:pPr>
        <w:pStyle w:val="9"/>
        <w:spacing w:before="0" w:beforeAutospacing="0" w:after="0" w:afterAutospacing="0" w:line="20" w:lineRule="atLeast"/>
        <w:ind w:firstLine="482"/>
      </w:pPr>
      <w:r>
        <w:rPr>
          <w:rFonts w:hint="eastAsia"/>
          <w:sz w:val="18"/>
          <w:szCs w:val="18"/>
        </w:rPr>
        <w:t>在租赁期开始日，本公司按照成本对使用权资产进行初始计量，包括：A.租赁负债的初始计量金额；B.在租赁期开始日或之前支付的租赁付款额，存在租赁激励的，扣除已享受的租赁激励相关金额；C.发生的初始直接费用；D.为拆卸及移除租赁资产、复原租赁资产所在场地或将租赁资产恢复至租赁条款约定状态预计将发生的成本，但属于为生产存货而发生的，适用《企业会计准则第1号——存货》。</w:t>
      </w:r>
    </w:p>
    <w:p w14:paraId="0C8B7B26">
      <w:pPr>
        <w:pStyle w:val="9"/>
        <w:spacing w:before="0" w:beforeAutospacing="0" w:after="0" w:afterAutospacing="0" w:line="20" w:lineRule="atLeast"/>
        <w:ind w:firstLine="482"/>
      </w:pPr>
      <w:r>
        <w:rPr>
          <w:rFonts w:hint="eastAsia"/>
          <w:sz w:val="18"/>
          <w:szCs w:val="18"/>
        </w:rPr>
        <w:t>在租赁期开始日后，本公司采用成本模式对使用权资产进行后续计量，根据与使用权资产有关的经济利益的预期实现方式作出决定，以直线法对使用权资产计提折旧，并对已识别的减值损失进行会计处理。本公司按照租赁准则有关规定重新计量租赁负债的，相应调整使用权资产的账面价值。</w:t>
      </w:r>
    </w:p>
    <w:p w14:paraId="5E002A75">
      <w:pPr>
        <w:pStyle w:val="9"/>
        <w:spacing w:before="0" w:beforeAutospacing="0" w:after="0" w:afterAutospacing="0" w:line="20" w:lineRule="atLeast"/>
        <w:ind w:firstLine="482"/>
      </w:pPr>
      <w:r>
        <w:rPr>
          <w:rFonts w:hint="eastAsia"/>
          <w:sz w:val="18"/>
          <w:szCs w:val="18"/>
        </w:rPr>
        <w:t>②租赁负债</w:t>
      </w:r>
    </w:p>
    <w:p w14:paraId="4769B98C">
      <w:pPr>
        <w:pStyle w:val="9"/>
        <w:spacing w:before="0" w:beforeAutospacing="0" w:after="0" w:afterAutospacing="0" w:line="20" w:lineRule="atLeast"/>
        <w:ind w:firstLine="482"/>
      </w:pPr>
      <w:r>
        <w:rPr>
          <w:rFonts w:hint="eastAsia"/>
          <w:sz w:val="18"/>
          <w:szCs w:val="18"/>
        </w:rPr>
        <w:t>租赁负债反映本公司尚未支付的租赁付款额的现值。本公司按照租赁期开始日尚未支付的租赁付款额的现值对租赁负债进行初始计量。</w:t>
      </w:r>
    </w:p>
    <w:p w14:paraId="3E00110B">
      <w:pPr>
        <w:pStyle w:val="9"/>
        <w:spacing w:before="0" w:beforeAutospacing="0" w:after="0" w:afterAutospacing="0" w:line="20" w:lineRule="atLeast"/>
        <w:ind w:firstLine="482"/>
      </w:pPr>
      <w:r>
        <w:rPr>
          <w:rFonts w:hint="eastAsia"/>
          <w:sz w:val="18"/>
          <w:szCs w:val="18"/>
        </w:rPr>
        <w:t>租赁付款额，是指本公司向出租人支付的与在租赁期内使用租赁资产的权利相关的款项，包括：A.固定付款额及实质固定付款额，存在租赁激励的，扣除租赁激励相关金额；B.取决于指数或比率的可变租赁付款额，该款项在初始计量时根据租赁期开始日的指数或比率确定；C.本公司合理确定将行使购买选择权时，购买选择权的行权价格；D.租赁期反映出本公司将行使终止租赁选择权时，行使终止租赁选择权需支付的款项；E.根据本公司提供的担保余值预计应支付的款项。</w:t>
      </w:r>
    </w:p>
    <w:p w14:paraId="239A9D07">
      <w:pPr>
        <w:pStyle w:val="9"/>
        <w:spacing w:before="0" w:beforeAutospacing="0" w:after="0" w:afterAutospacing="0" w:line="20" w:lineRule="atLeast"/>
        <w:ind w:firstLine="482"/>
      </w:pPr>
      <w:r>
        <w:rPr>
          <w:rFonts w:hint="eastAsia"/>
          <w:sz w:val="18"/>
          <w:szCs w:val="18"/>
        </w:rPr>
        <w:t xml:space="preserve">在计算租赁付款额的现值时，本公司采用租赁内含利率作为折现率；无法确定租赁内含利率时，采用增量借款利率作为折现率，以同期银行贷款利率为基础，考虑相关因素调整得出增量借款利率。   </w:t>
      </w:r>
    </w:p>
    <w:p w14:paraId="7D86DAB3">
      <w:pPr>
        <w:pStyle w:val="9"/>
        <w:spacing w:before="0" w:beforeAutospacing="0" w:after="0" w:afterAutospacing="0" w:line="20" w:lineRule="atLeast"/>
        <w:ind w:firstLine="482"/>
      </w:pPr>
      <w:r>
        <w:rPr>
          <w:rFonts w:hint="eastAsia"/>
          <w:sz w:val="18"/>
          <w:szCs w:val="18"/>
        </w:rPr>
        <w:t>本公司按照固定的周期性利率计算租赁负债在租赁期内各期间的利息费用，并计入当期损益，但应当资本化的计入相关资产成本。</w:t>
      </w:r>
    </w:p>
    <w:p w14:paraId="3980F7F8">
      <w:pPr>
        <w:pStyle w:val="9"/>
        <w:spacing w:before="0" w:beforeAutospacing="0" w:after="0" w:afterAutospacing="0" w:line="20" w:lineRule="atLeast"/>
        <w:ind w:firstLine="482"/>
      </w:pPr>
      <w:r>
        <w:rPr>
          <w:rFonts w:hint="eastAsia"/>
          <w:sz w:val="18"/>
          <w:szCs w:val="18"/>
        </w:rPr>
        <w:t>当购买选择权、续租选择权、终止租赁选择权的评估结果发生变化，续租选择权、终止租赁选择权实际行使情况与原评估结果不一致，根据担保余值预计的应付金额发生变动，用于确定租赁付款额的指数或比率发生变动，或者实质固定付款额发生变动时，重新计量租赁负债。</w:t>
      </w:r>
    </w:p>
    <w:p w14:paraId="23B5B126">
      <w:pPr>
        <w:pStyle w:val="9"/>
        <w:spacing w:before="0" w:beforeAutospacing="0" w:after="0" w:afterAutospacing="0" w:line="20" w:lineRule="atLeast"/>
        <w:ind w:firstLine="482"/>
      </w:pPr>
      <w:r>
        <w:rPr>
          <w:rFonts w:hint="eastAsia"/>
          <w:sz w:val="18"/>
          <w:szCs w:val="18"/>
        </w:rPr>
        <w:t>③租赁的变更</w:t>
      </w:r>
    </w:p>
    <w:p w14:paraId="0C59C04C">
      <w:pPr>
        <w:pStyle w:val="9"/>
        <w:spacing w:before="0" w:beforeAutospacing="0" w:after="0" w:afterAutospacing="0" w:line="20" w:lineRule="atLeast"/>
        <w:ind w:firstLine="482"/>
      </w:pPr>
      <w:r>
        <w:rPr>
          <w:rFonts w:hint="eastAsia"/>
          <w:sz w:val="18"/>
          <w:szCs w:val="18"/>
        </w:rPr>
        <w:t>当租赁变更通过增加一项或多项租赁资产的使用权而扩大了租赁范围，且增加的对价与租赁范围扩大部分的单独价格按该合同情况调整后的金额相当时，该租赁变更作为一项单独租赁进行会计处理。未作为单独租赁进行会计处理的，分摊变更后合同的对价，重新确定租赁期，重新计量租赁负债。</w:t>
      </w:r>
    </w:p>
    <w:p w14:paraId="6A32CDA4">
      <w:pPr>
        <w:pStyle w:val="9"/>
        <w:spacing w:before="0" w:beforeAutospacing="0" w:after="0" w:afterAutospacing="0" w:line="20" w:lineRule="atLeast"/>
        <w:ind w:firstLine="482"/>
      </w:pPr>
      <w:r>
        <w:rPr>
          <w:rFonts w:hint="eastAsia"/>
          <w:sz w:val="18"/>
          <w:szCs w:val="18"/>
        </w:rPr>
        <w:t>④短期租赁和低价值资产租赁</w:t>
      </w:r>
    </w:p>
    <w:p w14:paraId="3A0808F6">
      <w:pPr>
        <w:pStyle w:val="9"/>
        <w:spacing w:before="0" w:beforeAutospacing="0" w:after="0" w:afterAutospacing="0" w:line="20" w:lineRule="atLeast"/>
        <w:ind w:firstLine="482"/>
      </w:pPr>
      <w:r>
        <w:rPr>
          <w:rFonts w:hint="eastAsia"/>
          <w:sz w:val="18"/>
          <w:szCs w:val="18"/>
        </w:rPr>
        <w:t>本公司将在租赁期开始日租赁期不超过12个月，且不包含购买选择权的租赁认定为短期租赁；将单项租赁资产为全新资产时价值较低的租赁认定为低价值资产租赁。本公司转租或预期转租租赁资产的，原租赁不认定为低价值资产租赁。本公司对短期租赁和低价值资产租赁选择不确认使用权资产和租赁负债，将租赁付款额在租赁期内各个期间按照直线法或其他系统合理的方法计入相关的资产成本或当期损益。</w:t>
      </w:r>
    </w:p>
    <w:p w14:paraId="614C8CEC">
      <w:pPr>
        <w:pStyle w:val="9"/>
        <w:spacing w:before="0" w:beforeAutospacing="0" w:after="0" w:afterAutospacing="0" w:line="20" w:lineRule="atLeast"/>
        <w:ind w:firstLine="482"/>
      </w:pPr>
      <w:r>
        <w:rPr>
          <w:rFonts w:hint="eastAsia"/>
          <w:sz w:val="18"/>
          <w:szCs w:val="18"/>
        </w:rPr>
        <w:t>⑤售后租回交易</w:t>
      </w:r>
    </w:p>
    <w:p w14:paraId="50C7257B">
      <w:pPr>
        <w:pStyle w:val="9"/>
        <w:spacing w:before="0" w:beforeAutospacing="0" w:after="0" w:afterAutospacing="0" w:line="20" w:lineRule="atLeast"/>
        <w:ind w:firstLine="482"/>
      </w:pPr>
      <w:r>
        <w:rPr>
          <w:rFonts w:hint="eastAsia"/>
          <w:sz w:val="18"/>
          <w:szCs w:val="18"/>
        </w:rPr>
        <w:t>对于售后租回交易，本公司按照《企业会计准则第14号——收入》的规定，评估确定售后租回交易中的资产转让是否属于销售，属于销售的，按原资产账面价值中与租回获得的使用权有关的部分，计量售后租回所形成的使用权资产，并仅就转让至出租人的权利确认相关利得或损失；不属于销售的，继续确认被转让资产，同时确认一项与转让收入等额的金融负债。</w:t>
      </w:r>
    </w:p>
    <w:p w14:paraId="02F5C12B">
      <w:pPr>
        <w:keepNext/>
        <w:keepLines/>
        <w:spacing w:before="100" w:after="100" w:line="280" w:lineRule="exact"/>
        <w:outlineLvl w:val="3"/>
        <w:rPr>
          <w:rFonts w:ascii="宋体" w:hAnsi="宋体" w:eastAsia="宋体" w:cs="宋体"/>
          <w:b/>
          <w:bCs/>
          <w:szCs w:val="21"/>
        </w:rPr>
      </w:pPr>
      <w:bookmarkStart w:id="153" w:name="_Toc989042"/>
      <w:r>
        <w:rPr>
          <w:rFonts w:ascii="宋体" w:hAnsi="宋体" w:eastAsia="宋体" w:cs="宋体"/>
          <w:b/>
          <w:bCs/>
          <w:szCs w:val="21"/>
        </w:rPr>
        <w:t>（2） 作为出租方租赁的会计处理方法</w:t>
      </w:r>
      <w:bookmarkEnd w:id="153"/>
    </w:p>
    <w:p w14:paraId="29004E29">
      <w:pPr>
        <w:pStyle w:val="9"/>
        <w:spacing w:before="0" w:beforeAutospacing="0" w:after="0" w:afterAutospacing="0" w:line="20" w:lineRule="atLeast"/>
        <w:ind w:firstLine="482"/>
      </w:pPr>
      <w:r>
        <w:rPr>
          <w:rFonts w:hint="eastAsia"/>
          <w:sz w:val="18"/>
          <w:szCs w:val="18"/>
        </w:rPr>
        <w:t>本公司在租赁开始日将租赁分为融资租赁和经营租赁，实质上转移了与租赁资产所有权有关的几乎全部风险和报酬的租赁为融资租赁，此外为经营租赁。本公司作为转租出租人时，基于原租赁产生的使用权资产对转租赁进行分类。</w:t>
      </w:r>
    </w:p>
    <w:p w14:paraId="0BC355F0">
      <w:pPr>
        <w:pStyle w:val="9"/>
        <w:spacing w:before="0" w:beforeAutospacing="0" w:after="0" w:afterAutospacing="0" w:line="20" w:lineRule="atLeast"/>
        <w:ind w:firstLine="482"/>
      </w:pPr>
      <w:r>
        <w:rPr>
          <w:rFonts w:hint="eastAsia"/>
          <w:sz w:val="18"/>
          <w:szCs w:val="18"/>
        </w:rPr>
        <w:t>①融资租赁</w:t>
      </w:r>
    </w:p>
    <w:p w14:paraId="5FC496E7">
      <w:pPr>
        <w:pStyle w:val="9"/>
        <w:spacing w:before="0" w:beforeAutospacing="0" w:after="0" w:afterAutospacing="0" w:line="20" w:lineRule="atLeast"/>
        <w:ind w:firstLine="482"/>
      </w:pPr>
      <w:r>
        <w:rPr>
          <w:rFonts w:hint="eastAsia"/>
          <w:sz w:val="18"/>
          <w:szCs w:val="18"/>
        </w:rPr>
        <w:t>在租赁期开始日，本公司对融资租赁确认应收融资租赁款，并终止确认融资租赁资产。对应收融资租赁款进行初始计量时，以租赁投资净额作为应收融资租赁款的入账价值。租赁投资净额为未担保余值和租赁期开始日尚未收到的租赁收款额按照租赁内含利率折现的现值之和。</w:t>
      </w:r>
    </w:p>
    <w:p w14:paraId="13DDF709">
      <w:pPr>
        <w:pStyle w:val="9"/>
        <w:spacing w:before="0" w:beforeAutospacing="0" w:after="0" w:afterAutospacing="0" w:line="20" w:lineRule="atLeast"/>
        <w:ind w:firstLine="482"/>
      </w:pPr>
      <w:r>
        <w:rPr>
          <w:rFonts w:hint="eastAsia"/>
          <w:sz w:val="18"/>
          <w:szCs w:val="18"/>
        </w:rPr>
        <w:t>租赁收款额，是指本公司因让渡在租赁期内使用租赁资产的权利而应向承租人收取的款项，包括：A.承租人需支付的固定付款额及实质固定付款额，存在租赁激励的，扣除租赁激励相关金额；B.取决于指数或比率的可变租赁付款额；C.购买选择权的行权价格，前提是合理确定承租人将行使该选择权；D.承租人行使终止租赁选择权需支付的款项，前提是租赁期反映出承租人将行使终止租赁选择权；E.由承租人、与承租人有关的一方以及有经济能力履行担保义务的独立第三方向本公司提供的担保余值。</w:t>
      </w:r>
    </w:p>
    <w:p w14:paraId="455AC2F3">
      <w:pPr>
        <w:pStyle w:val="9"/>
        <w:spacing w:before="0" w:beforeAutospacing="0" w:after="0" w:afterAutospacing="0" w:line="20" w:lineRule="atLeast"/>
        <w:ind w:firstLine="482"/>
      </w:pPr>
      <w:r>
        <w:rPr>
          <w:rFonts w:hint="eastAsia"/>
          <w:sz w:val="18"/>
          <w:szCs w:val="18"/>
        </w:rPr>
        <w:t>本公司按照固定的周期性利率计算并确认租赁期内各个期间的利息收入。本公司取得的未纳入租赁投资净额计量的可变租赁付款额在实际发生时计入当期损益。</w:t>
      </w:r>
    </w:p>
    <w:p w14:paraId="45F5C456">
      <w:pPr>
        <w:pStyle w:val="9"/>
        <w:spacing w:before="0" w:beforeAutospacing="0" w:after="0" w:afterAutospacing="0" w:line="20" w:lineRule="atLeast"/>
        <w:ind w:firstLine="482"/>
      </w:pPr>
      <w:r>
        <w:rPr>
          <w:rFonts w:hint="eastAsia"/>
          <w:sz w:val="18"/>
          <w:szCs w:val="18"/>
        </w:rPr>
        <w:t>②经营租赁</w:t>
      </w:r>
    </w:p>
    <w:p w14:paraId="0079EBD7">
      <w:pPr>
        <w:pStyle w:val="9"/>
        <w:spacing w:before="0" w:beforeAutospacing="0" w:after="0" w:afterAutospacing="0" w:line="20" w:lineRule="atLeast"/>
        <w:ind w:firstLine="482"/>
      </w:pPr>
      <w:r>
        <w:rPr>
          <w:rFonts w:hint="eastAsia"/>
          <w:sz w:val="18"/>
          <w:szCs w:val="18"/>
        </w:rPr>
        <w:t>租赁期内各个期间，本公司采用直线法，将经营租赁的租赁收款额确认为租金收入。未计入租赁收款额的可变租赁付款额在实际发生时计入当期损益。</w:t>
      </w:r>
    </w:p>
    <w:p w14:paraId="60594D5A">
      <w:pPr>
        <w:pStyle w:val="9"/>
        <w:spacing w:before="0" w:beforeAutospacing="0" w:after="0" w:afterAutospacing="0" w:line="20" w:lineRule="atLeast"/>
        <w:ind w:firstLine="482"/>
      </w:pPr>
      <w:r>
        <w:rPr>
          <w:rFonts w:hint="eastAsia"/>
          <w:sz w:val="18"/>
          <w:szCs w:val="18"/>
        </w:rPr>
        <w:t>经营租赁发生变更的，本公司自变更生效日起将其作为一项新租赁进行会计处理，与变更前租赁有关的预收或应收租赁收款额视为新租赁的收款额。</w:t>
      </w:r>
    </w:p>
    <w:p w14:paraId="5CF96304">
      <w:pPr>
        <w:pStyle w:val="9"/>
        <w:spacing w:before="0" w:beforeAutospacing="0" w:after="0" w:afterAutospacing="0" w:line="20" w:lineRule="atLeast"/>
        <w:ind w:firstLine="482"/>
      </w:pPr>
      <w:r>
        <w:rPr>
          <w:rFonts w:hint="eastAsia"/>
          <w:sz w:val="18"/>
          <w:szCs w:val="18"/>
        </w:rPr>
        <w:t>（3）售后租回交易</w:t>
      </w:r>
    </w:p>
    <w:p w14:paraId="66587647">
      <w:pPr>
        <w:pStyle w:val="9"/>
        <w:spacing w:before="0" w:beforeAutospacing="0" w:after="0" w:afterAutospacing="0" w:line="20" w:lineRule="atLeast"/>
        <w:ind w:firstLine="482"/>
      </w:pPr>
      <w:r>
        <w:rPr>
          <w:rFonts w:hint="eastAsia"/>
          <w:sz w:val="18"/>
          <w:szCs w:val="18"/>
        </w:rPr>
        <w:t>对于售后租回交易，本公司按照《企业会计准则第14号——收入》的规定，评估确定售后租回交易中的资产转让是否属于销售，属于销售的，根据适用的会计准则对资产购买和资产处置进行会计处理；不属于销售的，不确认被转让资产，但确认一项与转让收入等额的金融资产。</w:t>
      </w:r>
    </w:p>
    <w:p w14:paraId="28B08F45">
      <w:pPr>
        <w:pStyle w:val="3"/>
        <w:spacing w:before="100" w:after="100" w:line="280" w:lineRule="exact"/>
        <w:jc w:val="left"/>
      </w:pPr>
      <w:bookmarkStart w:id="154" w:name="_Toc989043"/>
      <w:r>
        <w:rPr>
          <w:rFonts w:ascii="宋体" w:hAnsi="宋体" w:cs="宋体"/>
          <w:b/>
          <w:bCs/>
        </w:rPr>
        <w:t>42、其他重要的会计政策和会计估计</w:t>
      </w:r>
      <w:bookmarkEnd w:id="154"/>
    </w:p>
    <w:p w14:paraId="18750783">
      <w:pPr>
        <w:pStyle w:val="3"/>
        <w:spacing w:before="100" w:after="100" w:line="280" w:lineRule="exact"/>
        <w:jc w:val="left"/>
        <w:rPr>
          <w:rFonts w:ascii="宋体" w:hAnsi="宋体" w:cs="宋体"/>
          <w:b/>
          <w:bCs/>
        </w:rPr>
      </w:pPr>
      <w:bookmarkStart w:id="155" w:name="_Toc989044"/>
      <w:r>
        <w:rPr>
          <w:rFonts w:ascii="宋体" w:hAnsi="宋体" w:cs="宋体"/>
          <w:b/>
          <w:bCs/>
        </w:rPr>
        <w:t>43、重要会计政策和会计估计变更</w:t>
      </w:r>
      <w:bookmarkEnd w:id="155"/>
    </w:p>
    <w:p w14:paraId="5CADDDF7">
      <w:pPr>
        <w:keepNext/>
        <w:keepLines/>
        <w:spacing w:before="100" w:after="100" w:line="280" w:lineRule="exact"/>
        <w:outlineLvl w:val="3"/>
        <w:rPr>
          <w:rFonts w:ascii="宋体" w:hAnsi="宋体" w:eastAsia="宋体" w:cs="宋体"/>
          <w:b/>
          <w:bCs/>
          <w:sz w:val="18"/>
          <w:szCs w:val="18"/>
        </w:rPr>
      </w:pPr>
      <w:bookmarkStart w:id="156" w:name="_Toc989045"/>
      <w:r>
        <w:rPr>
          <w:rFonts w:ascii="宋体" w:hAnsi="宋体" w:eastAsia="宋体" w:cs="宋体"/>
          <w:b/>
          <w:bCs/>
          <w:sz w:val="18"/>
          <w:szCs w:val="18"/>
        </w:rPr>
        <w:t>（1） 重要会计政策变更</w:t>
      </w:r>
      <w:bookmarkEnd w:id="156"/>
    </w:p>
    <w:p w14:paraId="15294179">
      <w:pPr>
        <w:spacing w:before="40" w:after="40" w:line="240" w:lineRule="exact"/>
        <w:rPr>
          <w:rFonts w:ascii="宋体" w:hAnsi="宋体" w:eastAsia="宋体" w:cs="宋体"/>
          <w:sz w:val="18"/>
          <w:szCs w:val="18"/>
        </w:rPr>
      </w:pPr>
      <w:r>
        <w:rPr>
          <w:rFonts w:hint="eastAsia" w:ascii="宋体" w:hAnsi="宋体" w:eastAsia="宋体" w:cs="宋体"/>
          <w:sz w:val="18"/>
          <w:szCs w:val="18"/>
          <w:lang w:eastAsia="zh-CN"/>
        </w:rPr>
        <w:t>☑</w:t>
      </w:r>
      <w:r>
        <w:rPr>
          <w:rFonts w:ascii="宋体" w:hAnsi="宋体" w:eastAsia="宋体" w:cs="宋体"/>
          <w:sz w:val="18"/>
          <w:szCs w:val="18"/>
        </w:rPr>
        <w:t>不适用</w:t>
      </w:r>
    </w:p>
    <w:p w14:paraId="6AC1724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454"/>
        <w:gridCol w:w="2850"/>
        <w:gridCol w:w="2335"/>
      </w:tblGrid>
      <w:tr w14:paraId="7D6BB594">
        <w:trPr>
          <w:trHeight w:val="240" w:hRule="atLeast"/>
        </w:trPr>
        <w:tc>
          <w:tcPr>
            <w:tcW w:w="4454" w:type="dxa"/>
            <w:tcBorders>
              <w:top w:val="single" w:color="auto" w:sz="2" w:space="0"/>
              <w:left w:val="single" w:color="auto" w:sz="2" w:space="0"/>
              <w:bottom w:val="single" w:color="auto" w:sz="2" w:space="0"/>
              <w:right w:val="single" w:color="auto" w:sz="2" w:space="0"/>
            </w:tcBorders>
            <w:shd w:val="clear" w:color="auto" w:fill="D3D3D3"/>
            <w:vAlign w:val="center"/>
          </w:tcPr>
          <w:p w14:paraId="1A4A1E42">
            <w:pPr>
              <w:spacing w:before="40" w:after="40" w:line="240" w:lineRule="exact"/>
              <w:jc w:val="center"/>
              <w:rPr>
                <w:rFonts w:ascii="宋体" w:hAnsi="宋体" w:eastAsia="宋体" w:cs="宋体"/>
                <w:sz w:val="18"/>
                <w:szCs w:val="18"/>
              </w:rPr>
            </w:pPr>
            <w:r>
              <w:rPr>
                <w:rFonts w:ascii="宋体" w:hAnsi="宋体" w:eastAsia="宋体" w:cs="宋体"/>
                <w:sz w:val="18"/>
                <w:szCs w:val="18"/>
              </w:rPr>
              <w:t>会计政策变更的内容和原因</w:t>
            </w:r>
          </w:p>
        </w:tc>
        <w:tc>
          <w:tcPr>
            <w:tcW w:w="2850" w:type="dxa"/>
            <w:tcBorders>
              <w:top w:val="single" w:color="auto" w:sz="2" w:space="0"/>
              <w:left w:val="single" w:color="auto" w:sz="2" w:space="0"/>
              <w:bottom w:val="single" w:color="auto" w:sz="2" w:space="0"/>
              <w:right w:val="single" w:color="auto" w:sz="2" w:space="0"/>
            </w:tcBorders>
            <w:shd w:val="clear" w:color="auto" w:fill="D3D3D3"/>
            <w:vAlign w:val="center"/>
          </w:tcPr>
          <w:p w14:paraId="2877853F">
            <w:pPr>
              <w:spacing w:before="40" w:after="40" w:line="240" w:lineRule="exact"/>
              <w:jc w:val="center"/>
              <w:rPr>
                <w:rFonts w:ascii="宋体" w:hAnsi="宋体" w:eastAsia="宋体" w:cs="宋体"/>
                <w:sz w:val="18"/>
                <w:szCs w:val="18"/>
              </w:rPr>
            </w:pPr>
            <w:r>
              <w:rPr>
                <w:rFonts w:ascii="宋体" w:hAnsi="宋体" w:eastAsia="宋体" w:cs="宋体"/>
                <w:sz w:val="18"/>
                <w:szCs w:val="18"/>
              </w:rPr>
              <w:t>受重要影响的报表项目名称</w:t>
            </w:r>
          </w:p>
        </w:tc>
        <w:tc>
          <w:tcPr>
            <w:tcW w:w="2335" w:type="dxa"/>
            <w:tcBorders>
              <w:top w:val="single" w:color="auto" w:sz="2" w:space="0"/>
              <w:left w:val="single" w:color="auto" w:sz="2" w:space="0"/>
              <w:bottom w:val="single" w:color="auto" w:sz="2" w:space="0"/>
              <w:right w:val="single" w:color="auto" w:sz="2" w:space="0"/>
            </w:tcBorders>
            <w:shd w:val="clear" w:color="auto" w:fill="D3D3D3"/>
            <w:vAlign w:val="center"/>
          </w:tcPr>
          <w:p w14:paraId="0C3F8F5E">
            <w:pPr>
              <w:spacing w:before="40" w:after="40" w:line="240" w:lineRule="exact"/>
              <w:jc w:val="center"/>
              <w:rPr>
                <w:rFonts w:ascii="宋体" w:hAnsi="宋体" w:eastAsia="宋体" w:cs="宋体"/>
                <w:sz w:val="18"/>
                <w:szCs w:val="18"/>
              </w:rPr>
            </w:pPr>
            <w:r>
              <w:rPr>
                <w:rFonts w:ascii="宋体" w:hAnsi="宋体" w:eastAsia="宋体" w:cs="宋体"/>
                <w:sz w:val="18"/>
                <w:szCs w:val="18"/>
              </w:rPr>
              <w:t>影响金额</w:t>
            </w:r>
          </w:p>
        </w:tc>
      </w:tr>
      <w:tr w14:paraId="531E98A3">
        <w:trPr>
          <w:trHeight w:val="240" w:hRule="atLeast"/>
        </w:trPr>
        <w:tc>
          <w:tcPr>
            <w:tcW w:w="4454" w:type="dxa"/>
            <w:tcBorders>
              <w:top w:val="single" w:color="auto" w:sz="2" w:space="0"/>
              <w:left w:val="single" w:color="auto" w:sz="2" w:space="0"/>
              <w:bottom w:val="single" w:color="auto" w:sz="2" w:space="0"/>
              <w:right w:val="single" w:color="auto" w:sz="2" w:space="0"/>
            </w:tcBorders>
            <w:vAlign w:val="center"/>
          </w:tcPr>
          <w:p w14:paraId="2821E3F5">
            <w:pPr>
              <w:spacing w:line="240" w:lineRule="exact"/>
              <w:rPr>
                <w:rFonts w:ascii="宋体" w:hAnsi="宋体" w:eastAsia="宋体" w:cs="宋体"/>
                <w:sz w:val="18"/>
                <w:szCs w:val="18"/>
              </w:rPr>
            </w:pPr>
          </w:p>
        </w:tc>
        <w:tc>
          <w:tcPr>
            <w:tcW w:w="2850" w:type="dxa"/>
            <w:tcBorders>
              <w:top w:val="single" w:color="auto" w:sz="2" w:space="0"/>
              <w:left w:val="single" w:color="auto" w:sz="2" w:space="0"/>
              <w:bottom w:val="single" w:color="auto" w:sz="2" w:space="0"/>
              <w:right w:val="single" w:color="auto" w:sz="2" w:space="0"/>
            </w:tcBorders>
            <w:vAlign w:val="center"/>
          </w:tcPr>
          <w:p w14:paraId="3732E4C7">
            <w:pPr>
              <w:spacing w:line="240" w:lineRule="exact"/>
              <w:rPr>
                <w:rFonts w:ascii="宋体" w:hAnsi="宋体" w:eastAsia="宋体" w:cs="宋体"/>
                <w:sz w:val="18"/>
                <w:szCs w:val="18"/>
              </w:rPr>
            </w:pPr>
          </w:p>
        </w:tc>
        <w:tc>
          <w:tcPr>
            <w:tcW w:w="2335" w:type="dxa"/>
            <w:tcBorders>
              <w:top w:val="single" w:color="auto" w:sz="2" w:space="0"/>
              <w:left w:val="single" w:color="auto" w:sz="2" w:space="0"/>
              <w:bottom w:val="single" w:color="auto" w:sz="2" w:space="0"/>
              <w:right w:val="single" w:color="auto" w:sz="2" w:space="0"/>
            </w:tcBorders>
            <w:vAlign w:val="center"/>
          </w:tcPr>
          <w:p w14:paraId="367F77AA">
            <w:pPr>
              <w:spacing w:line="240" w:lineRule="exact"/>
              <w:jc w:val="right"/>
              <w:rPr>
                <w:rFonts w:ascii="宋体" w:hAnsi="宋体" w:eastAsia="宋体" w:cs="宋体"/>
                <w:sz w:val="18"/>
                <w:szCs w:val="18"/>
              </w:rPr>
            </w:pPr>
          </w:p>
        </w:tc>
      </w:tr>
    </w:tbl>
    <w:p w14:paraId="433A87C2">
      <w:pPr>
        <w:keepNext/>
        <w:keepLines/>
        <w:spacing w:before="100" w:after="100" w:line="280" w:lineRule="exact"/>
        <w:outlineLvl w:val="3"/>
        <w:rPr>
          <w:rFonts w:ascii="宋体" w:hAnsi="宋体" w:eastAsia="宋体" w:cs="宋体"/>
          <w:b/>
          <w:bCs/>
          <w:sz w:val="18"/>
          <w:szCs w:val="18"/>
        </w:rPr>
      </w:pPr>
      <w:bookmarkStart w:id="157" w:name="_Toc989046"/>
      <w:r>
        <w:rPr>
          <w:rFonts w:ascii="宋体" w:hAnsi="宋体" w:eastAsia="宋体" w:cs="宋体"/>
          <w:b/>
          <w:bCs/>
          <w:sz w:val="18"/>
          <w:szCs w:val="18"/>
        </w:rPr>
        <w:t>（2） 重要会计估计变更</w:t>
      </w:r>
      <w:bookmarkEnd w:id="157"/>
    </w:p>
    <w:p w14:paraId="3777040E">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BE35A1C">
      <w:pPr>
        <w:keepNext/>
        <w:keepLines/>
        <w:spacing w:before="100" w:after="100" w:line="280" w:lineRule="exact"/>
        <w:outlineLvl w:val="3"/>
        <w:rPr>
          <w:rFonts w:ascii="宋体" w:hAnsi="宋体" w:eastAsia="宋体" w:cs="宋体"/>
          <w:b/>
          <w:bCs/>
          <w:sz w:val="18"/>
          <w:szCs w:val="18"/>
        </w:rPr>
      </w:pPr>
      <w:bookmarkStart w:id="158" w:name="_Toc989047"/>
      <w:r>
        <w:rPr>
          <w:rFonts w:ascii="宋体" w:hAnsi="宋体" w:eastAsia="宋体" w:cs="宋体"/>
          <w:b/>
          <w:bCs/>
          <w:sz w:val="18"/>
          <w:szCs w:val="18"/>
        </w:rPr>
        <w:t>（3） 2024年起首次执行新会计准则调整首次执行当年年初财务报表相关项目情况</w:t>
      </w:r>
      <w:bookmarkEnd w:id="158"/>
    </w:p>
    <w:p w14:paraId="0C04D9E3">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767B36D">
      <w:pPr>
        <w:pStyle w:val="3"/>
        <w:spacing w:before="100" w:after="100" w:line="280" w:lineRule="exact"/>
        <w:jc w:val="left"/>
      </w:pPr>
      <w:bookmarkStart w:id="159" w:name="_Toc989048"/>
      <w:r>
        <w:rPr>
          <w:rFonts w:ascii="宋体" w:hAnsi="宋体" w:cs="宋体"/>
          <w:b/>
          <w:bCs/>
        </w:rPr>
        <w:t>44、其他</w:t>
      </w:r>
      <w:bookmarkEnd w:id="159"/>
    </w:p>
    <w:p w14:paraId="405B3EFB">
      <w:pPr>
        <w:pStyle w:val="2"/>
        <w:spacing w:before="300" w:after="300" w:line="320" w:lineRule="exact"/>
        <w:rPr>
          <w:rFonts w:ascii="宋体" w:hAnsi="宋体" w:eastAsia="宋体" w:cs="宋体"/>
          <w:b/>
          <w:bCs/>
          <w:sz w:val="24"/>
          <w:szCs w:val="24"/>
        </w:rPr>
      </w:pPr>
      <w:bookmarkStart w:id="160" w:name="_Toc989049"/>
      <w:r>
        <w:rPr>
          <w:rFonts w:ascii="宋体" w:hAnsi="宋体" w:eastAsia="宋体" w:cs="宋体"/>
          <w:b/>
          <w:bCs/>
          <w:sz w:val="24"/>
          <w:szCs w:val="24"/>
        </w:rPr>
        <w:t>六、税项</w:t>
      </w:r>
      <w:bookmarkEnd w:id="160"/>
    </w:p>
    <w:p w14:paraId="078BE99F">
      <w:pPr>
        <w:pStyle w:val="3"/>
        <w:spacing w:before="100" w:after="100" w:line="280" w:lineRule="exact"/>
        <w:jc w:val="left"/>
        <w:rPr>
          <w:rFonts w:ascii="宋体" w:hAnsi="宋体" w:cs="宋体"/>
          <w:b/>
          <w:bCs/>
        </w:rPr>
      </w:pPr>
      <w:bookmarkStart w:id="161" w:name="_Toc989050"/>
      <w:r>
        <w:rPr>
          <w:rFonts w:ascii="宋体" w:hAnsi="宋体" w:cs="宋体"/>
          <w:b/>
          <w:bCs/>
        </w:rPr>
        <w:t>1、主要税种及税率</w:t>
      </w:r>
      <w:bookmarkEnd w:id="161"/>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B71661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8E2259">
            <w:pPr>
              <w:spacing w:before="40" w:after="40" w:line="240" w:lineRule="exact"/>
              <w:jc w:val="center"/>
              <w:rPr>
                <w:rFonts w:ascii="宋体" w:hAnsi="宋体" w:eastAsia="宋体" w:cs="宋体"/>
                <w:sz w:val="18"/>
                <w:szCs w:val="18"/>
              </w:rPr>
            </w:pPr>
            <w:r>
              <w:rPr>
                <w:rFonts w:ascii="宋体" w:hAnsi="宋体" w:eastAsia="宋体" w:cs="宋体"/>
                <w:sz w:val="18"/>
                <w:szCs w:val="18"/>
              </w:rPr>
              <w:t>税种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C882E6">
            <w:pPr>
              <w:spacing w:before="40" w:after="40" w:line="240" w:lineRule="exact"/>
              <w:jc w:val="center"/>
              <w:rPr>
                <w:rFonts w:ascii="宋体" w:hAnsi="宋体" w:eastAsia="宋体" w:cs="宋体"/>
                <w:sz w:val="18"/>
                <w:szCs w:val="18"/>
              </w:rPr>
            </w:pPr>
            <w:r>
              <w:rPr>
                <w:rFonts w:ascii="宋体" w:hAnsi="宋体" w:eastAsia="宋体" w:cs="宋体"/>
                <w:sz w:val="18"/>
                <w:szCs w:val="18"/>
              </w:rPr>
              <w:t>计税依据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52B833">
            <w:pPr>
              <w:spacing w:before="40" w:after="40" w:line="240" w:lineRule="exact"/>
              <w:jc w:val="center"/>
              <w:rPr>
                <w:rFonts w:ascii="宋体" w:hAnsi="宋体" w:eastAsia="宋体" w:cs="宋体"/>
                <w:sz w:val="18"/>
                <w:szCs w:val="18"/>
              </w:rPr>
            </w:pPr>
            <w:r>
              <w:rPr>
                <w:rFonts w:ascii="宋体" w:hAnsi="宋体" w:eastAsia="宋体" w:cs="宋体"/>
                <w:sz w:val="18"/>
                <w:szCs w:val="18"/>
              </w:rPr>
              <w:t>税率</w:t>
            </w:r>
          </w:p>
        </w:tc>
      </w:tr>
      <w:tr w14:paraId="5C4C4EE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66CAA9">
            <w:pPr>
              <w:spacing w:before="40" w:after="40" w:line="240" w:lineRule="exact"/>
              <w:rPr>
                <w:rFonts w:ascii="宋体" w:hAnsi="宋体" w:eastAsia="宋体" w:cs="宋体"/>
                <w:sz w:val="18"/>
                <w:szCs w:val="18"/>
              </w:rPr>
            </w:pPr>
            <w:r>
              <w:rPr>
                <w:rFonts w:ascii="宋体" w:hAnsi="宋体" w:eastAsia="宋体" w:cs="宋体"/>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4A799FB8">
            <w:pPr>
              <w:spacing w:line="240" w:lineRule="exact"/>
              <w:rPr>
                <w:rFonts w:ascii="宋体" w:hAnsi="宋体" w:eastAsia="宋体" w:cs="宋体"/>
                <w:sz w:val="18"/>
                <w:szCs w:val="18"/>
              </w:rPr>
            </w:pPr>
            <w:r>
              <w:rPr>
                <w:rFonts w:ascii="宋体" w:hAnsi="宋体" w:eastAsia="宋体" w:cs="宋体"/>
                <w:sz w:val="18"/>
                <w:szCs w:val="18"/>
              </w:rPr>
              <w:t>按照营业收入与适用税率计算销项税额，抵减进项税额后计缴</w:t>
            </w:r>
          </w:p>
        </w:tc>
        <w:tc>
          <w:tcPr>
            <w:tcW w:w="3213" w:type="dxa"/>
            <w:tcBorders>
              <w:top w:val="single" w:color="auto" w:sz="2" w:space="0"/>
              <w:left w:val="single" w:color="auto" w:sz="2" w:space="0"/>
              <w:bottom w:val="single" w:color="auto" w:sz="2" w:space="0"/>
              <w:right w:val="single" w:color="auto" w:sz="2" w:space="0"/>
            </w:tcBorders>
            <w:vAlign w:val="center"/>
          </w:tcPr>
          <w:p w14:paraId="36F12605">
            <w:pPr>
              <w:spacing w:line="240" w:lineRule="exact"/>
              <w:rPr>
                <w:rFonts w:ascii="宋体" w:hAnsi="宋体" w:eastAsia="宋体" w:cs="宋体"/>
                <w:sz w:val="18"/>
                <w:szCs w:val="18"/>
              </w:rPr>
            </w:pPr>
            <w:r>
              <w:rPr>
                <w:rFonts w:ascii="宋体" w:hAnsi="宋体" w:eastAsia="宋体" w:cs="宋体"/>
                <w:sz w:val="18"/>
                <w:szCs w:val="18"/>
              </w:rPr>
              <w:t>13%</w:t>
            </w:r>
          </w:p>
        </w:tc>
      </w:tr>
      <w:tr w14:paraId="3616C6F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7CD461">
            <w:pPr>
              <w:spacing w:before="40" w:after="40" w:line="240" w:lineRule="exact"/>
              <w:rPr>
                <w:rFonts w:ascii="宋体" w:hAnsi="宋体" w:eastAsia="宋体" w:cs="宋体"/>
                <w:sz w:val="18"/>
                <w:szCs w:val="18"/>
              </w:rPr>
            </w:pPr>
            <w:r>
              <w:rPr>
                <w:rFonts w:ascii="宋体" w:hAnsi="宋体" w:eastAsia="宋体" w:cs="宋体"/>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2DEC77DD">
            <w:pPr>
              <w:spacing w:line="240" w:lineRule="exact"/>
              <w:rPr>
                <w:rFonts w:ascii="宋体" w:hAnsi="宋体" w:eastAsia="宋体" w:cs="宋体"/>
                <w:sz w:val="18"/>
                <w:szCs w:val="18"/>
              </w:rPr>
            </w:pPr>
            <w:r>
              <w:rPr>
                <w:rFonts w:ascii="宋体" w:hAnsi="宋体" w:eastAsia="宋体" w:cs="宋体"/>
                <w:sz w:val="18"/>
                <w:szCs w:val="18"/>
              </w:rPr>
              <w:t>应纳流转税额</w:t>
            </w:r>
          </w:p>
        </w:tc>
        <w:tc>
          <w:tcPr>
            <w:tcW w:w="3213" w:type="dxa"/>
            <w:tcBorders>
              <w:top w:val="single" w:color="auto" w:sz="2" w:space="0"/>
              <w:left w:val="single" w:color="auto" w:sz="2" w:space="0"/>
              <w:bottom w:val="single" w:color="auto" w:sz="2" w:space="0"/>
              <w:right w:val="single" w:color="auto" w:sz="2" w:space="0"/>
            </w:tcBorders>
            <w:vAlign w:val="center"/>
          </w:tcPr>
          <w:p w14:paraId="63BF1F0B">
            <w:pPr>
              <w:spacing w:line="240" w:lineRule="exact"/>
              <w:rPr>
                <w:rFonts w:ascii="宋体" w:hAnsi="宋体" w:eastAsia="宋体" w:cs="宋体"/>
                <w:sz w:val="18"/>
                <w:szCs w:val="18"/>
              </w:rPr>
            </w:pPr>
            <w:r>
              <w:rPr>
                <w:rFonts w:ascii="宋体" w:hAnsi="宋体" w:eastAsia="宋体" w:cs="宋体"/>
                <w:sz w:val="18"/>
                <w:szCs w:val="18"/>
              </w:rPr>
              <w:t>7%</w:t>
            </w:r>
          </w:p>
        </w:tc>
      </w:tr>
      <w:tr w14:paraId="339BBEB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DB764E">
            <w:pPr>
              <w:spacing w:before="40" w:after="40" w:line="240" w:lineRule="exact"/>
              <w:rPr>
                <w:rFonts w:ascii="宋体" w:hAnsi="宋体" w:eastAsia="宋体" w:cs="宋体"/>
                <w:sz w:val="18"/>
                <w:szCs w:val="18"/>
              </w:rPr>
            </w:pPr>
            <w:r>
              <w:rPr>
                <w:rFonts w:ascii="宋体" w:hAnsi="宋体" w:eastAsia="宋体" w:cs="宋体"/>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585644E2">
            <w:pPr>
              <w:spacing w:line="240" w:lineRule="exact"/>
              <w:rPr>
                <w:rFonts w:ascii="宋体" w:hAnsi="宋体" w:eastAsia="宋体" w:cs="宋体"/>
                <w:sz w:val="18"/>
                <w:szCs w:val="18"/>
              </w:rPr>
            </w:pPr>
            <w:r>
              <w:rPr>
                <w:rFonts w:ascii="宋体" w:hAnsi="宋体" w:eastAsia="宋体" w:cs="宋体"/>
                <w:sz w:val="18"/>
                <w:szCs w:val="18"/>
              </w:rPr>
              <w:t>应纳税所得额</w:t>
            </w:r>
          </w:p>
        </w:tc>
        <w:tc>
          <w:tcPr>
            <w:tcW w:w="3213" w:type="dxa"/>
            <w:tcBorders>
              <w:top w:val="single" w:color="auto" w:sz="2" w:space="0"/>
              <w:left w:val="single" w:color="auto" w:sz="2" w:space="0"/>
              <w:bottom w:val="single" w:color="auto" w:sz="2" w:space="0"/>
              <w:right w:val="single" w:color="auto" w:sz="2" w:space="0"/>
            </w:tcBorders>
            <w:vAlign w:val="center"/>
          </w:tcPr>
          <w:p w14:paraId="009D74F0">
            <w:pPr>
              <w:spacing w:line="240" w:lineRule="exact"/>
              <w:rPr>
                <w:rFonts w:ascii="宋体" w:hAnsi="宋体" w:eastAsia="宋体" w:cs="宋体"/>
                <w:sz w:val="18"/>
                <w:szCs w:val="18"/>
              </w:rPr>
            </w:pPr>
            <w:r>
              <w:rPr>
                <w:rFonts w:ascii="宋体" w:hAnsi="宋体" w:eastAsia="宋体" w:cs="宋体"/>
                <w:sz w:val="18"/>
                <w:szCs w:val="18"/>
              </w:rPr>
              <w:t>15%、9%</w:t>
            </w:r>
          </w:p>
        </w:tc>
      </w:tr>
      <w:tr w14:paraId="28552A0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8EFDCF9">
            <w:pPr>
              <w:spacing w:line="240" w:lineRule="exact"/>
              <w:rPr>
                <w:rFonts w:ascii="宋体" w:hAnsi="宋体" w:eastAsia="宋体" w:cs="宋体"/>
                <w:sz w:val="18"/>
                <w:szCs w:val="18"/>
              </w:rPr>
            </w:pPr>
            <w:r>
              <w:rPr>
                <w:rFonts w:ascii="宋体" w:hAnsi="宋体" w:eastAsia="宋体" w:cs="宋体"/>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24FD4325">
            <w:pPr>
              <w:spacing w:line="240" w:lineRule="exact"/>
              <w:rPr>
                <w:rFonts w:ascii="宋体" w:hAnsi="宋体" w:eastAsia="宋体" w:cs="宋体"/>
                <w:sz w:val="18"/>
                <w:szCs w:val="18"/>
              </w:rPr>
            </w:pPr>
            <w:r>
              <w:rPr>
                <w:rFonts w:ascii="宋体" w:hAnsi="宋体" w:eastAsia="宋体" w:cs="宋体"/>
                <w:sz w:val="18"/>
                <w:szCs w:val="18"/>
              </w:rPr>
              <w:t>实缴流转税</w:t>
            </w:r>
          </w:p>
        </w:tc>
        <w:tc>
          <w:tcPr>
            <w:tcW w:w="3213" w:type="dxa"/>
            <w:tcBorders>
              <w:top w:val="single" w:color="auto" w:sz="2" w:space="0"/>
              <w:left w:val="single" w:color="auto" w:sz="2" w:space="0"/>
              <w:bottom w:val="single" w:color="auto" w:sz="2" w:space="0"/>
              <w:right w:val="single" w:color="auto" w:sz="2" w:space="0"/>
            </w:tcBorders>
            <w:vAlign w:val="center"/>
          </w:tcPr>
          <w:p w14:paraId="230595EB">
            <w:pPr>
              <w:spacing w:line="240" w:lineRule="exact"/>
              <w:rPr>
                <w:rFonts w:ascii="宋体" w:hAnsi="宋体" w:eastAsia="宋体" w:cs="宋体"/>
                <w:sz w:val="18"/>
                <w:szCs w:val="18"/>
              </w:rPr>
            </w:pPr>
            <w:r>
              <w:rPr>
                <w:rFonts w:ascii="宋体" w:hAnsi="宋体" w:eastAsia="宋体" w:cs="宋体"/>
                <w:sz w:val="18"/>
                <w:szCs w:val="18"/>
              </w:rPr>
              <w:t>3%</w:t>
            </w:r>
          </w:p>
        </w:tc>
      </w:tr>
      <w:tr w14:paraId="745A53A3">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63AC162">
            <w:pPr>
              <w:spacing w:line="240" w:lineRule="exact"/>
              <w:rPr>
                <w:rFonts w:ascii="宋体" w:hAnsi="宋体" w:eastAsia="宋体" w:cs="宋体"/>
                <w:sz w:val="18"/>
                <w:szCs w:val="18"/>
              </w:rPr>
            </w:pPr>
            <w:r>
              <w:rPr>
                <w:rFonts w:ascii="宋体" w:hAnsi="宋体" w:eastAsia="宋体" w:cs="宋体"/>
                <w:sz w:val="18"/>
                <w:szCs w:val="18"/>
              </w:rPr>
              <w:t>地方教育附加</w:t>
            </w:r>
          </w:p>
        </w:tc>
        <w:tc>
          <w:tcPr>
            <w:tcW w:w="3213" w:type="dxa"/>
            <w:tcBorders>
              <w:top w:val="single" w:color="auto" w:sz="2" w:space="0"/>
              <w:left w:val="single" w:color="auto" w:sz="2" w:space="0"/>
              <w:bottom w:val="single" w:color="auto" w:sz="2" w:space="0"/>
              <w:right w:val="single" w:color="auto" w:sz="2" w:space="0"/>
            </w:tcBorders>
            <w:vAlign w:val="center"/>
          </w:tcPr>
          <w:p w14:paraId="7719C130">
            <w:pPr>
              <w:spacing w:line="240" w:lineRule="exact"/>
              <w:rPr>
                <w:rFonts w:ascii="宋体" w:hAnsi="宋体" w:eastAsia="宋体" w:cs="宋体"/>
                <w:sz w:val="18"/>
                <w:szCs w:val="18"/>
              </w:rPr>
            </w:pPr>
            <w:r>
              <w:rPr>
                <w:rFonts w:ascii="宋体" w:hAnsi="宋体" w:eastAsia="宋体" w:cs="宋体"/>
                <w:sz w:val="18"/>
                <w:szCs w:val="18"/>
              </w:rPr>
              <w:t>实缴流转税</w:t>
            </w:r>
          </w:p>
        </w:tc>
        <w:tc>
          <w:tcPr>
            <w:tcW w:w="3213" w:type="dxa"/>
            <w:tcBorders>
              <w:top w:val="single" w:color="auto" w:sz="2" w:space="0"/>
              <w:left w:val="single" w:color="auto" w:sz="2" w:space="0"/>
              <w:bottom w:val="single" w:color="auto" w:sz="2" w:space="0"/>
              <w:right w:val="single" w:color="auto" w:sz="2" w:space="0"/>
            </w:tcBorders>
            <w:vAlign w:val="center"/>
          </w:tcPr>
          <w:p w14:paraId="3215408E">
            <w:pPr>
              <w:spacing w:line="240" w:lineRule="exact"/>
              <w:rPr>
                <w:rFonts w:ascii="宋体" w:hAnsi="宋体" w:eastAsia="宋体" w:cs="宋体"/>
                <w:sz w:val="18"/>
                <w:szCs w:val="18"/>
              </w:rPr>
            </w:pPr>
            <w:r>
              <w:rPr>
                <w:rFonts w:ascii="宋体" w:hAnsi="宋体" w:eastAsia="宋体" w:cs="宋体"/>
                <w:sz w:val="18"/>
                <w:szCs w:val="18"/>
              </w:rPr>
              <w:t>2%</w:t>
            </w:r>
          </w:p>
        </w:tc>
      </w:tr>
    </w:tbl>
    <w:p w14:paraId="48477C11">
      <w:pPr>
        <w:spacing w:before="100" w:after="100" w:line="240" w:lineRule="exact"/>
        <w:rPr>
          <w:rFonts w:ascii="宋体" w:hAnsi="宋体" w:eastAsia="宋体" w:cs="宋体"/>
          <w:sz w:val="18"/>
          <w:szCs w:val="18"/>
        </w:rPr>
      </w:pPr>
      <w:r>
        <w:rPr>
          <w:rFonts w:ascii="宋体" w:hAnsi="宋体" w:eastAsia="宋体" w:cs="宋体"/>
          <w:sz w:val="18"/>
          <w:szCs w:val="18"/>
        </w:rPr>
        <w:t>存在不同企业所得税税率纳税主体的，披露情况说明</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062BBB9">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96F68B8">
            <w:pPr>
              <w:spacing w:before="40" w:after="40" w:line="240" w:lineRule="exact"/>
              <w:jc w:val="center"/>
              <w:rPr>
                <w:rFonts w:ascii="宋体" w:hAnsi="宋体" w:eastAsia="宋体" w:cs="宋体"/>
                <w:sz w:val="18"/>
                <w:szCs w:val="18"/>
              </w:rPr>
            </w:pPr>
            <w:r>
              <w:rPr>
                <w:rFonts w:ascii="宋体" w:hAnsi="宋体" w:eastAsia="宋体" w:cs="宋体"/>
                <w:sz w:val="18"/>
                <w:szCs w:val="18"/>
              </w:rPr>
              <w:t>纳税主体名称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2116529">
            <w:pPr>
              <w:spacing w:before="40" w:after="40" w:line="240" w:lineRule="exact"/>
              <w:jc w:val="center"/>
              <w:rPr>
                <w:rFonts w:ascii="宋体" w:hAnsi="宋体" w:eastAsia="宋体" w:cs="宋体"/>
                <w:sz w:val="18"/>
                <w:szCs w:val="18"/>
              </w:rPr>
            </w:pPr>
            <w:r>
              <w:rPr>
                <w:rFonts w:ascii="宋体" w:hAnsi="宋体" w:eastAsia="宋体" w:cs="宋体"/>
                <w:sz w:val="18"/>
                <w:szCs w:val="18"/>
              </w:rPr>
              <w:t>所得税税率</w:t>
            </w:r>
          </w:p>
        </w:tc>
      </w:tr>
      <w:tr w14:paraId="190BAAB8">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56C87C47">
            <w:pPr>
              <w:spacing w:line="240" w:lineRule="exact"/>
              <w:rPr>
                <w:rFonts w:ascii="宋体" w:hAnsi="宋体" w:eastAsia="宋体" w:cs="宋体"/>
                <w:sz w:val="18"/>
                <w:szCs w:val="18"/>
              </w:rPr>
            </w:pPr>
            <w:r>
              <w:rPr>
                <w:rFonts w:ascii="宋体" w:hAnsi="宋体" w:eastAsia="宋体" w:cs="宋体"/>
                <w:sz w:val="18"/>
                <w:szCs w:val="18"/>
              </w:rPr>
              <w:t>西藏发展股份有限公司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645481FD">
            <w:pPr>
              <w:spacing w:line="240" w:lineRule="exact"/>
              <w:rPr>
                <w:rFonts w:ascii="宋体" w:hAnsi="宋体" w:eastAsia="宋体" w:cs="宋体"/>
                <w:sz w:val="18"/>
                <w:szCs w:val="18"/>
              </w:rPr>
            </w:pPr>
            <w:r>
              <w:rPr>
                <w:rFonts w:ascii="宋体" w:hAnsi="宋体" w:eastAsia="宋体" w:cs="宋体"/>
                <w:sz w:val="18"/>
                <w:szCs w:val="18"/>
              </w:rPr>
              <w:t>15%</w:t>
            </w:r>
          </w:p>
        </w:tc>
      </w:tr>
      <w:tr w14:paraId="1DE30A78">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FA10638">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0F788716">
            <w:pPr>
              <w:spacing w:line="240" w:lineRule="exact"/>
              <w:rPr>
                <w:rFonts w:ascii="宋体" w:hAnsi="宋体" w:eastAsia="宋体" w:cs="宋体"/>
                <w:sz w:val="18"/>
                <w:szCs w:val="18"/>
              </w:rPr>
            </w:pPr>
            <w:r>
              <w:rPr>
                <w:rFonts w:ascii="宋体" w:hAnsi="宋体" w:eastAsia="宋体" w:cs="宋体"/>
                <w:sz w:val="18"/>
                <w:szCs w:val="18"/>
              </w:rPr>
              <w:t>9%</w:t>
            </w:r>
          </w:p>
        </w:tc>
      </w:tr>
      <w:tr w14:paraId="0CB22FF3">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A156F44">
            <w:pPr>
              <w:spacing w:line="240" w:lineRule="exact"/>
              <w:rPr>
                <w:rFonts w:ascii="宋体" w:hAnsi="宋体" w:eastAsia="宋体" w:cs="宋体"/>
                <w:sz w:val="18"/>
                <w:szCs w:val="18"/>
              </w:rPr>
            </w:pPr>
            <w:r>
              <w:rPr>
                <w:rFonts w:ascii="宋体" w:hAnsi="宋体" w:eastAsia="宋体" w:cs="宋体"/>
                <w:sz w:val="18"/>
                <w:szCs w:val="18"/>
              </w:rPr>
              <w:t>西藏藏红花生物科技开发有限公司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35A5D18">
            <w:pPr>
              <w:spacing w:line="240" w:lineRule="exact"/>
              <w:rPr>
                <w:rFonts w:ascii="宋体" w:hAnsi="宋体" w:eastAsia="宋体" w:cs="宋体"/>
                <w:sz w:val="18"/>
                <w:szCs w:val="18"/>
              </w:rPr>
            </w:pPr>
            <w:r>
              <w:rPr>
                <w:rFonts w:ascii="宋体" w:hAnsi="宋体" w:eastAsia="宋体" w:cs="宋体"/>
                <w:sz w:val="18"/>
                <w:szCs w:val="18"/>
              </w:rPr>
              <w:t>9%</w:t>
            </w:r>
          </w:p>
        </w:tc>
      </w:tr>
      <w:tr w14:paraId="1FD88DF7">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AE622AB">
            <w:pPr>
              <w:spacing w:line="240" w:lineRule="exact"/>
              <w:rPr>
                <w:rFonts w:ascii="宋体" w:hAnsi="宋体" w:eastAsia="宋体" w:cs="宋体"/>
                <w:sz w:val="18"/>
                <w:szCs w:val="18"/>
              </w:rPr>
            </w:pPr>
            <w:r>
              <w:rPr>
                <w:rFonts w:ascii="宋体" w:hAnsi="宋体" w:eastAsia="宋体" w:cs="宋体"/>
                <w:sz w:val="18"/>
                <w:szCs w:val="18"/>
              </w:rPr>
              <w:t>西藏银河商贸有限公司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59CCC619">
            <w:pPr>
              <w:spacing w:line="240" w:lineRule="exact"/>
              <w:rPr>
                <w:rFonts w:ascii="宋体" w:hAnsi="宋体" w:eastAsia="宋体" w:cs="宋体"/>
                <w:sz w:val="18"/>
                <w:szCs w:val="18"/>
              </w:rPr>
            </w:pPr>
            <w:r>
              <w:rPr>
                <w:rFonts w:ascii="宋体" w:hAnsi="宋体" w:eastAsia="宋体" w:cs="宋体"/>
                <w:sz w:val="18"/>
                <w:szCs w:val="18"/>
              </w:rPr>
              <w:t>15%</w:t>
            </w:r>
          </w:p>
        </w:tc>
      </w:tr>
    </w:tbl>
    <w:p w14:paraId="51CB1140">
      <w:pPr>
        <w:pStyle w:val="3"/>
        <w:spacing w:before="100" w:after="100" w:line="280" w:lineRule="exact"/>
        <w:jc w:val="left"/>
        <w:rPr>
          <w:rFonts w:ascii="宋体" w:hAnsi="宋体" w:cs="宋体"/>
          <w:b/>
          <w:bCs/>
        </w:rPr>
      </w:pPr>
      <w:bookmarkStart w:id="162" w:name="_Toc989051"/>
      <w:r>
        <w:rPr>
          <w:rFonts w:ascii="宋体" w:hAnsi="宋体" w:cs="宋体"/>
          <w:b/>
          <w:bCs/>
        </w:rPr>
        <w:t>2、税收优惠</w:t>
      </w:r>
      <w:bookmarkEnd w:id="162"/>
    </w:p>
    <w:p w14:paraId="766199E4">
      <w:pPr>
        <w:pStyle w:val="9"/>
        <w:widowControl w:val="0"/>
        <w:spacing w:before="0" w:beforeAutospacing="0" w:after="0" w:afterAutospacing="0" w:line="20" w:lineRule="atLeast"/>
        <w:ind w:left="-28" w:firstLine="482"/>
        <w:jc w:val="both"/>
      </w:pPr>
      <w:r>
        <w:rPr>
          <w:rFonts w:hint="eastAsia"/>
          <w:sz w:val="18"/>
          <w:szCs w:val="18"/>
        </w:rPr>
        <w:t>根据《西藏自治区人民政府关于印发西藏自治区企业所得税政策实施办法的通知》（藏政发[2014]51号）、《西藏自治区人民政府关于印发西藏自治区招商引资优惠政策若干规定(试行)的通知》（藏政发[2018]25 号），本公司子公司拉萨啤酒、藏红花2024年半年度实际承担企业所得税税率为 9%。</w:t>
      </w:r>
    </w:p>
    <w:p w14:paraId="20F27E35">
      <w:pPr>
        <w:pStyle w:val="3"/>
        <w:keepNext w:val="0"/>
        <w:keepLines w:val="0"/>
        <w:spacing w:before="100" w:line="280" w:lineRule="exact"/>
        <w:jc w:val="left"/>
      </w:pPr>
      <w:bookmarkStart w:id="163" w:name="_Toc989052"/>
      <w:r>
        <w:rPr>
          <w:rFonts w:ascii="宋体" w:hAnsi="宋体" w:cs="宋体"/>
          <w:b/>
          <w:bCs/>
        </w:rPr>
        <w:t>3、其他</w:t>
      </w:r>
      <w:bookmarkEnd w:id="163"/>
    </w:p>
    <w:p w14:paraId="11E07E70">
      <w:pPr>
        <w:pStyle w:val="2"/>
        <w:spacing w:before="300" w:after="300" w:line="320" w:lineRule="exact"/>
        <w:rPr>
          <w:rFonts w:ascii="宋体" w:hAnsi="宋体" w:eastAsia="宋体" w:cs="宋体"/>
          <w:b/>
          <w:bCs/>
          <w:sz w:val="24"/>
          <w:szCs w:val="24"/>
        </w:rPr>
      </w:pPr>
      <w:bookmarkStart w:id="164" w:name="_Toc989053"/>
      <w:r>
        <w:rPr>
          <w:rFonts w:ascii="宋体" w:hAnsi="宋体" w:eastAsia="宋体" w:cs="宋体"/>
          <w:b/>
          <w:bCs/>
          <w:sz w:val="24"/>
          <w:szCs w:val="24"/>
        </w:rPr>
        <w:t>七、合并财务报表项目注释</w:t>
      </w:r>
      <w:bookmarkEnd w:id="164"/>
    </w:p>
    <w:p w14:paraId="6C5F5797">
      <w:pPr>
        <w:pStyle w:val="3"/>
        <w:spacing w:before="100" w:after="100" w:line="280" w:lineRule="exact"/>
        <w:jc w:val="left"/>
        <w:rPr>
          <w:rFonts w:ascii="宋体" w:hAnsi="宋体" w:cs="宋体"/>
          <w:b/>
          <w:bCs/>
        </w:rPr>
      </w:pPr>
      <w:bookmarkStart w:id="165" w:name="_Toc989054"/>
      <w:r>
        <w:rPr>
          <w:rFonts w:ascii="宋体" w:hAnsi="宋体" w:cs="宋体"/>
          <w:b/>
          <w:bCs/>
        </w:rPr>
        <w:t>1、货币资金</w:t>
      </w:r>
      <w:bookmarkEnd w:id="165"/>
    </w:p>
    <w:p w14:paraId="20B031F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AEDCD2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78CE9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99F06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A8D48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8CCC2E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E34A85">
            <w:pPr>
              <w:spacing w:before="40" w:after="40" w:line="240" w:lineRule="exact"/>
              <w:rPr>
                <w:rFonts w:ascii="宋体" w:hAnsi="宋体" w:eastAsia="宋体" w:cs="宋体"/>
                <w:sz w:val="18"/>
                <w:szCs w:val="18"/>
              </w:rPr>
            </w:pPr>
            <w:r>
              <w:rPr>
                <w:rFonts w:ascii="宋体" w:hAnsi="宋体" w:eastAsia="宋体" w:cs="宋体"/>
                <w:sz w:val="18"/>
                <w:szCs w:val="18"/>
              </w:rPr>
              <w:t>库存现金</w:t>
            </w:r>
          </w:p>
        </w:tc>
        <w:tc>
          <w:tcPr>
            <w:tcW w:w="3213" w:type="dxa"/>
            <w:tcBorders>
              <w:top w:val="single" w:color="auto" w:sz="2" w:space="0"/>
              <w:left w:val="single" w:color="auto" w:sz="2" w:space="0"/>
              <w:bottom w:val="single" w:color="auto" w:sz="2" w:space="0"/>
              <w:right w:val="single" w:color="auto" w:sz="2" w:space="0"/>
            </w:tcBorders>
            <w:vAlign w:val="center"/>
          </w:tcPr>
          <w:p w14:paraId="4DAEC0DC">
            <w:pPr>
              <w:spacing w:line="240" w:lineRule="exact"/>
              <w:jc w:val="right"/>
              <w:rPr>
                <w:rFonts w:ascii="宋体" w:hAnsi="宋体" w:eastAsia="宋体" w:cs="宋体"/>
                <w:sz w:val="18"/>
                <w:szCs w:val="18"/>
              </w:rPr>
            </w:pPr>
            <w:r>
              <w:rPr>
                <w:rFonts w:ascii="宋体" w:hAnsi="宋体" w:eastAsia="宋体" w:cs="宋体"/>
                <w:sz w:val="18"/>
                <w:szCs w:val="18"/>
              </w:rPr>
              <w:t>374,975.48</w:t>
            </w:r>
          </w:p>
        </w:tc>
        <w:tc>
          <w:tcPr>
            <w:tcW w:w="3213" w:type="dxa"/>
            <w:tcBorders>
              <w:top w:val="single" w:color="auto" w:sz="2" w:space="0"/>
              <w:left w:val="single" w:color="auto" w:sz="2" w:space="0"/>
              <w:bottom w:val="single" w:color="auto" w:sz="2" w:space="0"/>
              <w:right w:val="single" w:color="auto" w:sz="2" w:space="0"/>
            </w:tcBorders>
            <w:vAlign w:val="center"/>
          </w:tcPr>
          <w:p w14:paraId="44298B2B">
            <w:pPr>
              <w:spacing w:line="240" w:lineRule="exact"/>
              <w:jc w:val="right"/>
              <w:rPr>
                <w:rFonts w:ascii="宋体" w:hAnsi="宋体" w:eastAsia="宋体" w:cs="宋体"/>
                <w:sz w:val="18"/>
                <w:szCs w:val="18"/>
              </w:rPr>
            </w:pPr>
            <w:r>
              <w:rPr>
                <w:rFonts w:ascii="宋体" w:hAnsi="宋体" w:eastAsia="宋体" w:cs="宋体"/>
                <w:sz w:val="18"/>
                <w:szCs w:val="18"/>
              </w:rPr>
              <w:t>621,627.01</w:t>
            </w:r>
          </w:p>
        </w:tc>
      </w:tr>
      <w:tr w14:paraId="31461AC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5D8F9A">
            <w:pPr>
              <w:spacing w:before="40" w:after="40" w:line="240" w:lineRule="exact"/>
              <w:rPr>
                <w:rFonts w:ascii="宋体" w:hAnsi="宋体" w:eastAsia="宋体" w:cs="宋体"/>
                <w:sz w:val="18"/>
                <w:szCs w:val="18"/>
              </w:rPr>
            </w:pPr>
            <w:r>
              <w:rPr>
                <w:rFonts w:ascii="宋体" w:hAnsi="宋体" w:eastAsia="宋体" w:cs="宋体"/>
                <w:sz w:val="18"/>
                <w:szCs w:val="18"/>
              </w:rPr>
              <w:t>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4A5ADA91">
            <w:pPr>
              <w:spacing w:line="240" w:lineRule="exact"/>
              <w:jc w:val="right"/>
              <w:rPr>
                <w:rFonts w:ascii="宋体" w:hAnsi="宋体" w:eastAsia="宋体" w:cs="宋体"/>
                <w:sz w:val="18"/>
                <w:szCs w:val="18"/>
              </w:rPr>
            </w:pPr>
            <w:r>
              <w:rPr>
                <w:rFonts w:ascii="宋体" w:hAnsi="宋体" w:eastAsia="宋体" w:cs="宋体"/>
                <w:sz w:val="18"/>
                <w:szCs w:val="18"/>
              </w:rPr>
              <w:t>575,906,736.48</w:t>
            </w:r>
          </w:p>
        </w:tc>
        <w:tc>
          <w:tcPr>
            <w:tcW w:w="3213" w:type="dxa"/>
            <w:tcBorders>
              <w:top w:val="single" w:color="auto" w:sz="2" w:space="0"/>
              <w:left w:val="single" w:color="auto" w:sz="2" w:space="0"/>
              <w:bottom w:val="single" w:color="auto" w:sz="2" w:space="0"/>
              <w:right w:val="single" w:color="auto" w:sz="2" w:space="0"/>
            </w:tcBorders>
            <w:vAlign w:val="center"/>
          </w:tcPr>
          <w:p w14:paraId="1A7FBB6E">
            <w:pPr>
              <w:spacing w:line="240" w:lineRule="exact"/>
              <w:jc w:val="right"/>
              <w:rPr>
                <w:rFonts w:ascii="宋体" w:hAnsi="宋体" w:eastAsia="宋体" w:cs="宋体"/>
                <w:sz w:val="18"/>
                <w:szCs w:val="18"/>
              </w:rPr>
            </w:pPr>
            <w:r>
              <w:rPr>
                <w:rFonts w:ascii="宋体" w:hAnsi="宋体" w:eastAsia="宋体" w:cs="宋体"/>
                <w:sz w:val="18"/>
                <w:szCs w:val="18"/>
              </w:rPr>
              <w:t>543,803,096.86</w:t>
            </w:r>
          </w:p>
        </w:tc>
      </w:tr>
      <w:tr w14:paraId="5208FF0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7DA6B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470DE2C">
            <w:pPr>
              <w:spacing w:line="240" w:lineRule="exact"/>
              <w:jc w:val="right"/>
              <w:rPr>
                <w:rFonts w:ascii="宋体" w:hAnsi="宋体" w:eastAsia="宋体" w:cs="宋体"/>
                <w:sz w:val="18"/>
                <w:szCs w:val="18"/>
              </w:rPr>
            </w:pPr>
            <w:r>
              <w:rPr>
                <w:rFonts w:ascii="宋体" w:hAnsi="宋体" w:eastAsia="宋体" w:cs="宋体"/>
                <w:sz w:val="18"/>
                <w:szCs w:val="18"/>
              </w:rPr>
              <w:t>576,281,711.96</w:t>
            </w:r>
          </w:p>
        </w:tc>
        <w:tc>
          <w:tcPr>
            <w:tcW w:w="3213" w:type="dxa"/>
            <w:tcBorders>
              <w:top w:val="single" w:color="auto" w:sz="2" w:space="0"/>
              <w:left w:val="single" w:color="auto" w:sz="2" w:space="0"/>
              <w:bottom w:val="single" w:color="auto" w:sz="2" w:space="0"/>
              <w:right w:val="single" w:color="auto" w:sz="2" w:space="0"/>
            </w:tcBorders>
            <w:vAlign w:val="center"/>
          </w:tcPr>
          <w:p w14:paraId="4907F9DA">
            <w:pPr>
              <w:spacing w:line="240" w:lineRule="exact"/>
              <w:jc w:val="right"/>
              <w:rPr>
                <w:rFonts w:ascii="宋体" w:hAnsi="宋体" w:eastAsia="宋体" w:cs="宋体"/>
                <w:sz w:val="18"/>
                <w:szCs w:val="18"/>
              </w:rPr>
            </w:pPr>
            <w:r>
              <w:rPr>
                <w:rFonts w:ascii="宋体" w:hAnsi="宋体" w:eastAsia="宋体" w:cs="宋体"/>
                <w:sz w:val="18"/>
                <w:szCs w:val="18"/>
              </w:rPr>
              <w:t>544,424,723.87</w:t>
            </w:r>
          </w:p>
        </w:tc>
      </w:tr>
    </w:tbl>
    <w:p w14:paraId="3E2D9447">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759E399D">
      <w:pPr>
        <w:pStyle w:val="9"/>
        <w:spacing w:beforeAutospacing="0" w:afterAutospacing="0"/>
        <w:rPr>
          <w:sz w:val="18"/>
          <w:szCs w:val="18"/>
        </w:rPr>
      </w:pPr>
      <w:r>
        <w:rPr>
          <w:rFonts w:hint="eastAsia" w:ascii="等线" w:hAnsi="等线" w:eastAsia="等线"/>
          <w:sz w:val="18"/>
          <w:szCs w:val="18"/>
        </w:rPr>
        <w:t>本报告期期末，本公司因诉讼事项被冻结的银行存款为4.17 元。</w:t>
      </w:r>
    </w:p>
    <w:p w14:paraId="5215235C">
      <w:pPr>
        <w:spacing w:before="100" w:after="100" w:line="240" w:lineRule="exact"/>
        <w:rPr>
          <w:rFonts w:ascii="宋体" w:hAnsi="宋体" w:eastAsia="宋体" w:cs="宋体"/>
          <w:sz w:val="18"/>
          <w:szCs w:val="18"/>
        </w:rPr>
      </w:pPr>
      <w:r>
        <w:rPr>
          <w:rFonts w:ascii="宋体" w:hAnsi="宋体" w:eastAsia="宋体" w:cs="宋体"/>
          <w:sz w:val="18"/>
          <w:szCs w:val="18"/>
        </w:rPr>
        <w:t>酒制造企业应详细披露是否存在与相关方建立资金共管账户等特殊利益安排的情形</w:t>
      </w:r>
    </w:p>
    <w:p w14:paraId="0FFA6CD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52E6DF1">
      <w:pPr>
        <w:pStyle w:val="3"/>
        <w:spacing w:before="100" w:after="100" w:line="280" w:lineRule="exact"/>
        <w:jc w:val="left"/>
        <w:rPr>
          <w:rFonts w:ascii="宋体" w:hAnsi="宋体" w:cs="宋体"/>
          <w:b/>
          <w:bCs/>
        </w:rPr>
      </w:pPr>
      <w:bookmarkStart w:id="166" w:name="_Toc989055"/>
      <w:r>
        <w:rPr>
          <w:rFonts w:ascii="宋体" w:hAnsi="宋体" w:cs="宋体"/>
          <w:b/>
          <w:bCs/>
        </w:rPr>
        <w:t>2、交易性金融资产</w:t>
      </w:r>
      <w:bookmarkEnd w:id="166"/>
    </w:p>
    <w:p w14:paraId="313C775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9884EF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BC093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B997E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0589E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B60420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4A30B9">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3C15A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169508"/>
        </w:tc>
      </w:tr>
      <w:tr w14:paraId="1FE57DA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D2C704">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29933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013F47"/>
        </w:tc>
      </w:tr>
    </w:tbl>
    <w:p w14:paraId="309519C2">
      <w:pPr>
        <w:spacing w:before="100" w:after="100" w:line="240" w:lineRule="exact"/>
      </w:pPr>
      <w:r>
        <w:rPr>
          <w:rFonts w:ascii="宋体" w:hAnsi="宋体" w:eastAsia="宋体" w:cs="宋体"/>
          <w:sz w:val="18"/>
          <w:szCs w:val="18"/>
        </w:rPr>
        <w:t>其他说明</w:t>
      </w:r>
    </w:p>
    <w:p w14:paraId="6309ED3C">
      <w:pPr>
        <w:pStyle w:val="3"/>
        <w:spacing w:before="100" w:after="100" w:line="280" w:lineRule="exact"/>
        <w:jc w:val="left"/>
        <w:rPr>
          <w:rFonts w:ascii="宋体" w:hAnsi="宋体" w:cs="宋体"/>
          <w:b/>
          <w:bCs/>
        </w:rPr>
      </w:pPr>
      <w:bookmarkStart w:id="167" w:name="_Toc989056"/>
      <w:r>
        <w:rPr>
          <w:rFonts w:ascii="宋体" w:hAnsi="宋体" w:cs="宋体"/>
          <w:b/>
          <w:bCs/>
        </w:rPr>
        <w:t>3、衍生金融资产</w:t>
      </w:r>
      <w:bookmarkEnd w:id="167"/>
    </w:p>
    <w:p w14:paraId="0EDEF4C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1969E1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6087C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4593D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4581E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1D470067">
      <w:pPr>
        <w:spacing w:before="100" w:after="100" w:line="240" w:lineRule="exact"/>
      </w:pPr>
      <w:r>
        <w:rPr>
          <w:rFonts w:ascii="宋体" w:hAnsi="宋体" w:eastAsia="宋体" w:cs="宋体"/>
          <w:sz w:val="18"/>
          <w:szCs w:val="18"/>
        </w:rPr>
        <w:t>其他说明</w:t>
      </w:r>
    </w:p>
    <w:p w14:paraId="47E73254">
      <w:pPr>
        <w:pStyle w:val="3"/>
        <w:spacing w:before="100" w:after="100" w:line="280" w:lineRule="exact"/>
        <w:jc w:val="left"/>
        <w:rPr>
          <w:rFonts w:ascii="宋体" w:hAnsi="宋体" w:cs="宋体"/>
          <w:b/>
          <w:bCs/>
        </w:rPr>
      </w:pPr>
      <w:bookmarkStart w:id="168" w:name="_Toc989057"/>
      <w:r>
        <w:rPr>
          <w:rFonts w:ascii="宋体" w:hAnsi="宋体" w:cs="宋体"/>
          <w:b/>
          <w:bCs/>
        </w:rPr>
        <w:t>4、应收票据</w:t>
      </w:r>
      <w:bookmarkEnd w:id="168"/>
    </w:p>
    <w:p w14:paraId="0B82A23A">
      <w:pPr>
        <w:keepNext/>
        <w:keepLines/>
        <w:spacing w:before="100" w:after="100" w:line="280" w:lineRule="exact"/>
        <w:outlineLvl w:val="3"/>
        <w:rPr>
          <w:rFonts w:ascii="宋体" w:hAnsi="宋体" w:eastAsia="宋体" w:cs="宋体"/>
          <w:b/>
          <w:bCs/>
          <w:szCs w:val="21"/>
        </w:rPr>
      </w:pPr>
      <w:bookmarkStart w:id="169" w:name="_Toc989058"/>
      <w:r>
        <w:rPr>
          <w:rFonts w:ascii="宋体" w:hAnsi="宋体" w:eastAsia="宋体" w:cs="宋体"/>
          <w:b/>
          <w:bCs/>
          <w:szCs w:val="21"/>
        </w:rPr>
        <w:t>（1） 应收票据分类列示</w:t>
      </w:r>
      <w:bookmarkEnd w:id="169"/>
    </w:p>
    <w:p w14:paraId="2D96392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56E006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1B5BD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9F3CA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E745C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811251E">
      <w:pPr>
        <w:keepNext/>
        <w:keepLines/>
        <w:spacing w:before="300" w:after="300" w:line="280" w:lineRule="exact"/>
        <w:outlineLvl w:val="3"/>
        <w:rPr>
          <w:rFonts w:ascii="宋体" w:hAnsi="宋体" w:eastAsia="宋体" w:cs="宋体"/>
          <w:b/>
          <w:bCs/>
          <w:szCs w:val="21"/>
        </w:rPr>
      </w:pPr>
      <w:bookmarkStart w:id="170" w:name="_Toc989059"/>
      <w:r>
        <w:rPr>
          <w:rFonts w:ascii="宋体" w:hAnsi="宋体" w:eastAsia="宋体" w:cs="宋体"/>
          <w:b/>
          <w:bCs/>
          <w:szCs w:val="21"/>
        </w:rPr>
        <w:t>（2） 按坏账计提方法分类披露</w:t>
      </w:r>
      <w:bookmarkEnd w:id="170"/>
    </w:p>
    <w:p w14:paraId="14C992E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23753AE5">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150800">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5E0B34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84B7FD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1906DD4">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613576"/>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34CDAA4">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6C993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3E084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9D061F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A4AEFD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E0AE6D">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303D4FC6">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D23CE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763590">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F1CD7F">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C656876">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9656336">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9C01A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F776B8">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926D00">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46C721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61B512">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6C4FC7"/>
        </w:tc>
      </w:tr>
      <w:tr w14:paraId="1328C7DB">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B2A278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3B8CF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9C6DB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A2930D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426BA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42912E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C6FFF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B56444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7853AD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D2E4F8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4AD9B3B"/>
        </w:tc>
      </w:tr>
      <w:tr w14:paraId="0BAA3807">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87D07C">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55FA2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C6B044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9034F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74DD14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61BAC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47358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DCDEE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5FDE2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1D9FB1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82B6C4"/>
        </w:tc>
      </w:tr>
    </w:tbl>
    <w:p w14:paraId="1C341F37">
      <w:pPr>
        <w:spacing w:before="100" w:after="100" w:line="240" w:lineRule="exact"/>
        <w:rPr>
          <w:rFonts w:ascii="宋体" w:hAnsi="宋体" w:eastAsia="宋体" w:cs="宋体"/>
          <w:sz w:val="18"/>
          <w:szCs w:val="18"/>
        </w:rPr>
      </w:pPr>
      <w:r>
        <w:rPr>
          <w:rFonts w:ascii="宋体" w:hAnsi="宋体" w:eastAsia="宋体" w:cs="宋体"/>
          <w:sz w:val="18"/>
          <w:szCs w:val="18"/>
        </w:rPr>
        <w:t>如是按照预期信用损失一般模型计提应收票据坏账准备：</w:t>
      </w:r>
    </w:p>
    <w:p w14:paraId="169E3D13">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F99CF4D">
      <w:pPr>
        <w:keepNext/>
        <w:keepLines/>
        <w:spacing w:before="100" w:after="100" w:line="280" w:lineRule="exact"/>
        <w:outlineLvl w:val="3"/>
        <w:rPr>
          <w:rFonts w:ascii="宋体" w:hAnsi="宋体" w:eastAsia="宋体" w:cs="宋体"/>
          <w:b/>
          <w:bCs/>
          <w:szCs w:val="21"/>
        </w:rPr>
      </w:pPr>
      <w:bookmarkStart w:id="171" w:name="_Toc989060"/>
      <w:r>
        <w:rPr>
          <w:rFonts w:ascii="宋体" w:hAnsi="宋体" w:eastAsia="宋体" w:cs="宋体"/>
          <w:b/>
          <w:bCs/>
          <w:szCs w:val="21"/>
        </w:rPr>
        <w:t>（3） 本期计提、收回或转回的坏账准备情况</w:t>
      </w:r>
      <w:bookmarkEnd w:id="171"/>
    </w:p>
    <w:p w14:paraId="5AB2AF29">
      <w:pPr>
        <w:spacing w:before="100" w:after="100" w:line="240" w:lineRule="exact"/>
        <w:rPr>
          <w:rFonts w:ascii="宋体" w:hAnsi="宋体" w:eastAsia="宋体" w:cs="宋体"/>
          <w:sz w:val="18"/>
          <w:szCs w:val="18"/>
        </w:rPr>
      </w:pPr>
      <w:r>
        <w:rPr>
          <w:rFonts w:ascii="宋体" w:hAnsi="宋体" w:eastAsia="宋体" w:cs="宋体"/>
          <w:sz w:val="18"/>
          <w:szCs w:val="18"/>
        </w:rPr>
        <w:t>本期计提坏账准备情况：</w:t>
      </w:r>
    </w:p>
    <w:p w14:paraId="13F6B135">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B7B1EA5">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F8F4A6">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CE7F8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300898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A8240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02F8F4F">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5394AD"/>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A7BB10D"/>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441178">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C5F08F3">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E742BF">
            <w:pPr>
              <w:spacing w:before="40" w:after="40" w:line="240" w:lineRule="exact"/>
              <w:jc w:val="center"/>
              <w:rPr>
                <w:rFonts w:ascii="宋体" w:hAnsi="宋体" w:eastAsia="宋体" w:cs="宋体"/>
                <w:sz w:val="18"/>
                <w:szCs w:val="18"/>
              </w:rPr>
            </w:pPr>
            <w:r>
              <w:rPr>
                <w:rFonts w:ascii="宋体" w:hAnsi="宋体" w:eastAsia="宋体" w:cs="宋体"/>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F8659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5E2149"/>
        </w:tc>
      </w:tr>
    </w:tbl>
    <w:p w14:paraId="6B99C6D4">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056DB0F9">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C2B00F8">
      <w:pPr>
        <w:keepNext/>
        <w:keepLines/>
        <w:spacing w:before="100" w:after="100" w:line="280" w:lineRule="exact"/>
        <w:outlineLvl w:val="3"/>
        <w:rPr>
          <w:rFonts w:ascii="宋体" w:hAnsi="宋体" w:eastAsia="宋体" w:cs="宋体"/>
          <w:b/>
          <w:bCs/>
          <w:szCs w:val="21"/>
        </w:rPr>
      </w:pPr>
      <w:bookmarkStart w:id="172" w:name="_Toc989061"/>
      <w:r>
        <w:rPr>
          <w:rFonts w:ascii="宋体" w:hAnsi="宋体" w:eastAsia="宋体" w:cs="宋体"/>
          <w:b/>
          <w:bCs/>
          <w:szCs w:val="21"/>
        </w:rPr>
        <w:t>（4） 期末公司已质押的应收票据</w:t>
      </w:r>
      <w:bookmarkEnd w:id="172"/>
    </w:p>
    <w:p w14:paraId="78D112FD">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063FDFE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7D27F81">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1723AA0">
            <w:pPr>
              <w:spacing w:before="100" w:after="100" w:line="240" w:lineRule="exact"/>
              <w:jc w:val="center"/>
              <w:rPr>
                <w:rFonts w:ascii="宋体" w:hAnsi="宋体" w:eastAsia="宋体" w:cs="宋体"/>
                <w:sz w:val="18"/>
                <w:szCs w:val="18"/>
              </w:rPr>
            </w:pPr>
            <w:r>
              <w:rPr>
                <w:rFonts w:ascii="宋体" w:hAnsi="宋体" w:eastAsia="宋体" w:cs="宋体"/>
                <w:sz w:val="18"/>
                <w:szCs w:val="18"/>
              </w:rPr>
              <w:t>期末已质押金额</w:t>
            </w:r>
          </w:p>
        </w:tc>
      </w:tr>
    </w:tbl>
    <w:p w14:paraId="5B7D30E0">
      <w:pPr>
        <w:keepNext/>
        <w:keepLines/>
        <w:spacing w:before="100" w:after="100" w:line="280" w:lineRule="exact"/>
        <w:outlineLvl w:val="3"/>
        <w:rPr>
          <w:rFonts w:ascii="宋体" w:hAnsi="宋体" w:eastAsia="宋体" w:cs="宋体"/>
          <w:b/>
          <w:bCs/>
          <w:szCs w:val="21"/>
        </w:rPr>
      </w:pPr>
      <w:bookmarkStart w:id="173" w:name="_Toc989062"/>
      <w:r>
        <w:rPr>
          <w:rFonts w:ascii="宋体" w:hAnsi="宋体" w:eastAsia="宋体" w:cs="宋体"/>
          <w:b/>
          <w:bCs/>
          <w:szCs w:val="21"/>
        </w:rPr>
        <w:t>（5） 期末公司已背书或贴现且在资产负债表日尚未到期的应收票据</w:t>
      </w:r>
      <w:bookmarkEnd w:id="173"/>
    </w:p>
    <w:p w14:paraId="6CC8F5A9">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CF4AA9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8550FF">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81498A">
            <w:pPr>
              <w:spacing w:before="100" w:after="100" w:line="240" w:lineRule="exact"/>
              <w:jc w:val="center"/>
              <w:rPr>
                <w:rFonts w:ascii="宋体" w:hAnsi="宋体" w:eastAsia="宋体" w:cs="宋体"/>
                <w:sz w:val="18"/>
                <w:szCs w:val="18"/>
              </w:rPr>
            </w:pPr>
            <w:r>
              <w:rPr>
                <w:rFonts w:ascii="宋体" w:hAnsi="宋体" w:eastAsia="宋体" w:cs="宋体"/>
                <w:sz w:val="18"/>
                <w:szCs w:val="18"/>
              </w:rPr>
              <w:t>期末终止确认金额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EEF333">
            <w:pPr>
              <w:spacing w:before="100" w:after="100" w:line="240" w:lineRule="exact"/>
              <w:jc w:val="center"/>
              <w:rPr>
                <w:rFonts w:ascii="宋体" w:hAnsi="宋体" w:eastAsia="宋体" w:cs="宋体"/>
                <w:sz w:val="18"/>
                <w:szCs w:val="18"/>
              </w:rPr>
            </w:pPr>
            <w:r>
              <w:rPr>
                <w:rFonts w:ascii="宋体" w:hAnsi="宋体" w:eastAsia="宋体" w:cs="宋体"/>
                <w:sz w:val="18"/>
                <w:szCs w:val="18"/>
              </w:rPr>
              <w:t>期末未终止确认金额</w:t>
            </w:r>
          </w:p>
        </w:tc>
      </w:tr>
    </w:tbl>
    <w:p w14:paraId="514246FD">
      <w:pPr>
        <w:keepNext/>
        <w:keepLines/>
        <w:spacing w:before="100" w:after="100" w:line="280" w:lineRule="exact"/>
        <w:outlineLvl w:val="3"/>
        <w:rPr>
          <w:rFonts w:ascii="宋体" w:hAnsi="宋体" w:eastAsia="宋体" w:cs="宋体"/>
          <w:b/>
          <w:bCs/>
          <w:szCs w:val="21"/>
        </w:rPr>
      </w:pPr>
      <w:bookmarkStart w:id="174" w:name="_Toc989063"/>
      <w:r>
        <w:rPr>
          <w:rFonts w:ascii="宋体" w:hAnsi="宋体" w:eastAsia="宋体" w:cs="宋体"/>
          <w:b/>
          <w:bCs/>
          <w:szCs w:val="21"/>
        </w:rPr>
        <w:t>（6） 本期实际核销的应收票据情况</w:t>
      </w:r>
      <w:bookmarkEnd w:id="174"/>
    </w:p>
    <w:p w14:paraId="76AA3EC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D7CB7B4">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C378DE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4C5599">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14A06E9A">
      <w:pPr>
        <w:spacing w:before="100" w:after="100" w:line="240" w:lineRule="exact"/>
        <w:rPr>
          <w:rFonts w:ascii="宋体" w:hAnsi="宋体" w:eastAsia="宋体" w:cs="宋体"/>
          <w:sz w:val="18"/>
          <w:szCs w:val="18"/>
        </w:rPr>
      </w:pPr>
      <w:r>
        <w:rPr>
          <w:rFonts w:ascii="宋体" w:hAnsi="宋体" w:eastAsia="宋体" w:cs="宋体"/>
          <w:sz w:val="18"/>
          <w:szCs w:val="18"/>
        </w:rPr>
        <w:t>其中重要的应收票据核销情况：</w:t>
      </w:r>
    </w:p>
    <w:p w14:paraId="69BFC73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1D249F3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4B38F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9D53259">
            <w:pPr>
              <w:spacing w:before="40" w:after="40" w:line="240" w:lineRule="exact"/>
              <w:jc w:val="center"/>
              <w:rPr>
                <w:rFonts w:ascii="宋体" w:hAnsi="宋体" w:eastAsia="宋体" w:cs="宋体"/>
                <w:sz w:val="18"/>
                <w:szCs w:val="18"/>
              </w:rPr>
            </w:pPr>
            <w:r>
              <w:rPr>
                <w:rFonts w:ascii="宋体" w:hAnsi="宋体" w:eastAsia="宋体" w:cs="宋体"/>
                <w:sz w:val="18"/>
                <w:szCs w:val="18"/>
              </w:rPr>
              <w:t>应收票据性质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F95946">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2E29D36">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AB5DEBB">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E2E9C07">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01C49120">
      <w:pPr>
        <w:spacing w:before="100" w:after="100" w:line="240" w:lineRule="exact"/>
      </w:pPr>
      <w:r>
        <w:rPr>
          <w:rFonts w:ascii="宋体" w:hAnsi="宋体" w:eastAsia="宋体" w:cs="宋体"/>
          <w:sz w:val="18"/>
          <w:szCs w:val="18"/>
        </w:rPr>
        <w:t>应收票据核销说明：</w:t>
      </w:r>
    </w:p>
    <w:p w14:paraId="6D003A2F">
      <w:pPr>
        <w:pStyle w:val="3"/>
        <w:spacing w:before="100" w:after="100" w:line="280" w:lineRule="exact"/>
        <w:jc w:val="left"/>
        <w:rPr>
          <w:rFonts w:ascii="宋体" w:hAnsi="宋体" w:cs="宋体"/>
          <w:b/>
          <w:bCs/>
        </w:rPr>
      </w:pPr>
      <w:bookmarkStart w:id="175" w:name="_Toc989064"/>
      <w:r>
        <w:rPr>
          <w:rFonts w:ascii="宋体" w:hAnsi="宋体" w:cs="宋体"/>
          <w:b/>
          <w:bCs/>
        </w:rPr>
        <w:t>5、应收账款</w:t>
      </w:r>
      <w:bookmarkEnd w:id="175"/>
    </w:p>
    <w:p w14:paraId="3CC51ACF">
      <w:pPr>
        <w:keepNext/>
        <w:keepLines/>
        <w:spacing w:before="100" w:after="100" w:line="280" w:lineRule="exact"/>
        <w:outlineLvl w:val="3"/>
        <w:rPr>
          <w:rFonts w:ascii="宋体" w:hAnsi="宋体" w:eastAsia="宋体" w:cs="宋体"/>
          <w:b/>
          <w:bCs/>
          <w:szCs w:val="21"/>
        </w:rPr>
      </w:pPr>
      <w:bookmarkStart w:id="176" w:name="_Toc989065"/>
      <w:r>
        <w:rPr>
          <w:rFonts w:ascii="宋体" w:hAnsi="宋体" w:eastAsia="宋体" w:cs="宋体"/>
          <w:b/>
          <w:bCs/>
          <w:szCs w:val="21"/>
        </w:rPr>
        <w:t>（1） 按账龄披露</w:t>
      </w:r>
      <w:bookmarkEnd w:id="176"/>
    </w:p>
    <w:p w14:paraId="70A239C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2EEB17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90A666">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4C559F">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7D81F1">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1A7BE6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1B4E44">
            <w:pPr>
              <w:spacing w:before="40" w:after="40" w:line="240" w:lineRule="exac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14966258">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3213" w:type="dxa"/>
            <w:tcBorders>
              <w:top w:val="single" w:color="auto" w:sz="2" w:space="0"/>
              <w:left w:val="single" w:color="auto" w:sz="2" w:space="0"/>
              <w:bottom w:val="single" w:color="auto" w:sz="2" w:space="0"/>
              <w:right w:val="single" w:color="auto" w:sz="2" w:space="0"/>
            </w:tcBorders>
            <w:vAlign w:val="center"/>
          </w:tcPr>
          <w:p w14:paraId="68478310">
            <w:pPr>
              <w:spacing w:line="240" w:lineRule="exact"/>
              <w:jc w:val="right"/>
              <w:rPr>
                <w:rFonts w:ascii="宋体" w:hAnsi="宋体" w:eastAsia="宋体" w:cs="宋体"/>
                <w:sz w:val="18"/>
                <w:szCs w:val="18"/>
              </w:rPr>
            </w:pPr>
            <w:r>
              <w:rPr>
                <w:rFonts w:ascii="宋体" w:hAnsi="宋体" w:eastAsia="宋体" w:cs="宋体"/>
                <w:sz w:val="18"/>
                <w:szCs w:val="18"/>
              </w:rPr>
              <w:t>84,361.13</w:t>
            </w:r>
          </w:p>
        </w:tc>
      </w:tr>
      <w:tr w14:paraId="531C69A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423B2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6DE53E08">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3213" w:type="dxa"/>
            <w:tcBorders>
              <w:top w:val="single" w:color="auto" w:sz="2" w:space="0"/>
              <w:left w:val="single" w:color="auto" w:sz="2" w:space="0"/>
              <w:bottom w:val="single" w:color="auto" w:sz="2" w:space="0"/>
              <w:right w:val="single" w:color="auto" w:sz="2" w:space="0"/>
            </w:tcBorders>
            <w:vAlign w:val="center"/>
          </w:tcPr>
          <w:p w14:paraId="0E89AF72">
            <w:pPr>
              <w:spacing w:line="240" w:lineRule="exact"/>
              <w:jc w:val="right"/>
              <w:rPr>
                <w:rFonts w:ascii="宋体" w:hAnsi="宋体" w:eastAsia="宋体" w:cs="宋体"/>
                <w:sz w:val="18"/>
                <w:szCs w:val="18"/>
              </w:rPr>
            </w:pPr>
            <w:r>
              <w:rPr>
                <w:rFonts w:ascii="宋体" w:hAnsi="宋体" w:eastAsia="宋体" w:cs="宋体"/>
                <w:sz w:val="18"/>
                <w:szCs w:val="18"/>
              </w:rPr>
              <w:t>84,361.13</w:t>
            </w:r>
          </w:p>
        </w:tc>
      </w:tr>
      <w:tr w14:paraId="758EDBB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0EF3B5">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CA822C5">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3213" w:type="dxa"/>
            <w:tcBorders>
              <w:top w:val="single" w:color="auto" w:sz="2" w:space="0"/>
              <w:left w:val="single" w:color="auto" w:sz="2" w:space="0"/>
              <w:bottom w:val="single" w:color="auto" w:sz="2" w:space="0"/>
              <w:right w:val="single" w:color="auto" w:sz="2" w:space="0"/>
            </w:tcBorders>
            <w:vAlign w:val="center"/>
          </w:tcPr>
          <w:p w14:paraId="694ACC5C">
            <w:pPr>
              <w:spacing w:line="240" w:lineRule="exact"/>
              <w:jc w:val="right"/>
              <w:rPr>
                <w:rFonts w:ascii="宋体" w:hAnsi="宋体" w:eastAsia="宋体" w:cs="宋体"/>
                <w:sz w:val="18"/>
                <w:szCs w:val="18"/>
              </w:rPr>
            </w:pPr>
            <w:r>
              <w:rPr>
                <w:rFonts w:ascii="宋体" w:hAnsi="宋体" w:eastAsia="宋体" w:cs="宋体"/>
                <w:sz w:val="18"/>
                <w:szCs w:val="18"/>
              </w:rPr>
              <w:t>84,361.13</w:t>
            </w:r>
          </w:p>
        </w:tc>
      </w:tr>
    </w:tbl>
    <w:p w14:paraId="04908DDF">
      <w:pPr>
        <w:keepNext/>
        <w:keepLines/>
        <w:spacing w:before="300" w:after="100" w:line="280" w:lineRule="exact"/>
        <w:outlineLvl w:val="3"/>
        <w:rPr>
          <w:rFonts w:ascii="宋体" w:hAnsi="宋体" w:eastAsia="宋体" w:cs="宋体"/>
          <w:b/>
          <w:bCs/>
          <w:szCs w:val="21"/>
        </w:rPr>
      </w:pPr>
      <w:bookmarkStart w:id="177" w:name="_Toc989066"/>
      <w:r>
        <w:rPr>
          <w:rFonts w:ascii="宋体" w:hAnsi="宋体" w:eastAsia="宋体" w:cs="宋体"/>
          <w:b/>
          <w:bCs/>
          <w:szCs w:val="21"/>
        </w:rPr>
        <w:t>（2） 按坏账计提方法分类披露</w:t>
      </w:r>
      <w:bookmarkEnd w:id="177"/>
    </w:p>
    <w:p w14:paraId="389F5E1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1110"/>
        <w:gridCol w:w="643"/>
        <w:gridCol w:w="876"/>
        <w:gridCol w:w="877"/>
        <w:gridCol w:w="876"/>
        <w:gridCol w:w="876"/>
        <w:gridCol w:w="877"/>
        <w:gridCol w:w="876"/>
        <w:gridCol w:w="877"/>
        <w:gridCol w:w="876"/>
      </w:tblGrid>
      <w:tr w14:paraId="24080F39">
        <w:trPr>
          <w:trHeight w:val="240" w:hRule="atLeast"/>
        </w:trPr>
        <w:tc>
          <w:tcPr>
            <w:tcW w:w="87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E91CB3">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2"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DFEED6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2"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7E62AE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6CCD1B71">
        <w:trPr>
          <w:trHeight w:val="240" w:hRule="atLeast"/>
        </w:trPr>
        <w:tc>
          <w:tcPr>
            <w:tcW w:w="87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43CBF7E"/>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98B310C">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E55EE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76403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88B8E8B">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CE86CA6">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9CE36A">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0F630560">
        <w:trPr>
          <w:trHeight w:val="240" w:hRule="atLeast"/>
        </w:trPr>
        <w:tc>
          <w:tcPr>
            <w:tcW w:w="87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A2B843"/>
        </w:tc>
        <w:tc>
          <w:tcPr>
            <w:tcW w:w="1110" w:type="dxa"/>
            <w:tcBorders>
              <w:top w:val="single" w:color="auto" w:sz="2" w:space="0"/>
              <w:left w:val="single" w:color="auto" w:sz="2" w:space="0"/>
              <w:bottom w:val="single" w:color="auto" w:sz="2" w:space="0"/>
              <w:right w:val="single" w:color="auto" w:sz="2" w:space="0"/>
            </w:tcBorders>
            <w:shd w:val="clear" w:color="auto" w:fill="D3D3D3"/>
            <w:vAlign w:val="center"/>
          </w:tcPr>
          <w:p w14:paraId="64839FB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892B387">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FE148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1466CB73">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97C20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6FBA325">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3EAE8E0B">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98C2066">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1FC3D22E">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63027B"/>
        </w:tc>
      </w:tr>
      <w:tr w14:paraId="1FBFBEA7">
        <w:trPr>
          <w:trHeight w:val="240" w:hRule="atLeast"/>
        </w:trPr>
        <w:tc>
          <w:tcPr>
            <w:tcW w:w="875" w:type="dxa"/>
            <w:tcBorders>
              <w:top w:val="single" w:color="auto" w:sz="2" w:space="0"/>
              <w:left w:val="single" w:color="auto" w:sz="2" w:space="0"/>
              <w:bottom w:val="single" w:color="auto" w:sz="2" w:space="0"/>
              <w:right w:val="single" w:color="auto" w:sz="2" w:space="0"/>
            </w:tcBorders>
            <w:shd w:val="clear" w:color="auto" w:fill="D3D3D3"/>
            <w:vAlign w:val="center"/>
          </w:tcPr>
          <w:p w14:paraId="64D1DB6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1110" w:type="dxa"/>
            <w:tcBorders>
              <w:top w:val="single" w:color="auto" w:sz="2" w:space="0"/>
              <w:left w:val="single" w:color="auto" w:sz="2" w:space="0"/>
              <w:bottom w:val="single" w:color="auto" w:sz="2" w:space="0"/>
              <w:right w:val="single" w:color="auto" w:sz="2" w:space="0"/>
            </w:tcBorders>
            <w:shd w:val="clear" w:color="auto" w:fill="D3D3D3"/>
            <w:vAlign w:val="center"/>
          </w:tcPr>
          <w:p w14:paraId="61DC2DEE"/>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56DADFE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CD401F"/>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4E21A18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B3DAD3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82A677B"/>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5DD0872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DE39EA"/>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1F608FD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79F52E"/>
        </w:tc>
      </w:tr>
      <w:tr w14:paraId="732DE192">
        <w:trPr>
          <w:trHeight w:val="240" w:hRule="atLeast"/>
        </w:trPr>
        <w:tc>
          <w:tcPr>
            <w:tcW w:w="875" w:type="dxa"/>
            <w:tcBorders>
              <w:top w:val="single" w:color="auto" w:sz="2" w:space="0"/>
              <w:left w:val="single" w:color="auto" w:sz="2" w:space="0"/>
              <w:bottom w:val="single" w:color="auto" w:sz="2" w:space="0"/>
              <w:right w:val="single" w:color="auto" w:sz="2" w:space="0"/>
            </w:tcBorders>
            <w:shd w:val="clear" w:color="auto" w:fill="D3D3D3"/>
            <w:vAlign w:val="center"/>
          </w:tcPr>
          <w:p w14:paraId="1A01D773">
            <w:pPr>
              <w:spacing w:before="40" w:after="40" w:line="240" w:lineRule="exact"/>
              <w:rPr>
                <w:rFonts w:ascii="宋体" w:hAnsi="宋体" w:eastAsia="宋体" w:cs="宋体"/>
                <w:sz w:val="18"/>
                <w:szCs w:val="18"/>
              </w:rPr>
            </w:pPr>
            <w:r>
              <w:rPr>
                <w:rFonts w:ascii="宋体" w:hAnsi="宋体" w:eastAsia="宋体" w:cs="宋体"/>
                <w:sz w:val="18"/>
                <w:szCs w:val="18"/>
              </w:rPr>
              <w:t>按组合计提坏账准备的应收账款</w:t>
            </w:r>
          </w:p>
        </w:tc>
        <w:tc>
          <w:tcPr>
            <w:tcW w:w="1110" w:type="dxa"/>
            <w:tcBorders>
              <w:top w:val="single" w:color="auto" w:sz="2" w:space="0"/>
              <w:left w:val="single" w:color="auto" w:sz="2" w:space="0"/>
              <w:bottom w:val="single" w:color="auto" w:sz="2" w:space="0"/>
              <w:right w:val="single" w:color="auto" w:sz="2" w:space="0"/>
            </w:tcBorders>
            <w:vAlign w:val="center"/>
          </w:tcPr>
          <w:p w14:paraId="53B314E4">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643" w:type="dxa"/>
            <w:tcBorders>
              <w:top w:val="single" w:color="auto" w:sz="2" w:space="0"/>
              <w:left w:val="single" w:color="auto" w:sz="2" w:space="0"/>
              <w:bottom w:val="single" w:color="auto" w:sz="2" w:space="0"/>
              <w:right w:val="single" w:color="auto" w:sz="2" w:space="0"/>
            </w:tcBorders>
            <w:vAlign w:val="center"/>
          </w:tcPr>
          <w:p w14:paraId="18355EEC">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2875362">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877" w:type="dxa"/>
            <w:tcBorders>
              <w:top w:val="single" w:color="auto" w:sz="2" w:space="0"/>
              <w:left w:val="single" w:color="auto" w:sz="2" w:space="0"/>
              <w:bottom w:val="single" w:color="auto" w:sz="2" w:space="0"/>
              <w:right w:val="single" w:color="auto" w:sz="2" w:space="0"/>
            </w:tcBorders>
            <w:vAlign w:val="center"/>
          </w:tcPr>
          <w:p w14:paraId="2C96B3AA">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C774B2A">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778B4BE4">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877" w:type="dxa"/>
            <w:tcBorders>
              <w:top w:val="single" w:color="auto" w:sz="2" w:space="0"/>
              <w:left w:val="single" w:color="auto" w:sz="2" w:space="0"/>
              <w:bottom w:val="single" w:color="auto" w:sz="2" w:space="0"/>
              <w:right w:val="single" w:color="auto" w:sz="2" w:space="0"/>
            </w:tcBorders>
            <w:vAlign w:val="center"/>
          </w:tcPr>
          <w:p w14:paraId="35EB6E87">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3FBFEE5">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877" w:type="dxa"/>
            <w:tcBorders>
              <w:top w:val="single" w:color="auto" w:sz="2" w:space="0"/>
              <w:left w:val="single" w:color="auto" w:sz="2" w:space="0"/>
              <w:bottom w:val="single" w:color="auto" w:sz="2" w:space="0"/>
              <w:right w:val="single" w:color="auto" w:sz="2" w:space="0"/>
            </w:tcBorders>
            <w:vAlign w:val="center"/>
          </w:tcPr>
          <w:p w14:paraId="156E6678">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75DC3D0">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5E2AE9A5">
        <w:trPr>
          <w:trHeight w:val="240" w:hRule="atLeast"/>
        </w:trPr>
        <w:tc>
          <w:tcPr>
            <w:tcW w:w="875" w:type="dxa"/>
            <w:tcBorders>
              <w:top w:val="single" w:color="auto" w:sz="2" w:space="0"/>
              <w:left w:val="single" w:color="auto" w:sz="2" w:space="0"/>
              <w:bottom w:val="single" w:color="auto" w:sz="2" w:space="0"/>
              <w:right w:val="single" w:color="auto" w:sz="2" w:space="0"/>
            </w:tcBorders>
            <w:shd w:val="clear" w:color="auto" w:fill="D3D3D3"/>
            <w:vAlign w:val="center"/>
          </w:tcPr>
          <w:p w14:paraId="4233842B">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1110" w:type="dxa"/>
            <w:tcBorders>
              <w:top w:val="single" w:color="auto" w:sz="2" w:space="0"/>
              <w:left w:val="single" w:color="auto" w:sz="2" w:space="0"/>
              <w:bottom w:val="single" w:color="auto" w:sz="2" w:space="0"/>
              <w:right w:val="single" w:color="auto" w:sz="2" w:space="0"/>
            </w:tcBorders>
            <w:shd w:val="clear" w:color="auto" w:fill="D3D3D3"/>
            <w:vAlign w:val="center"/>
          </w:tcPr>
          <w:p w14:paraId="4D622F46"/>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4ABC7F7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C732624"/>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288AFD1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71CE05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D6E975"/>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34C6F98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60A470"/>
        </w:tc>
        <w:tc>
          <w:tcPr>
            <w:tcW w:w="877" w:type="dxa"/>
            <w:tcBorders>
              <w:top w:val="single" w:color="auto" w:sz="2" w:space="0"/>
              <w:left w:val="single" w:color="auto" w:sz="2" w:space="0"/>
              <w:bottom w:val="single" w:color="auto" w:sz="2" w:space="0"/>
              <w:right w:val="single" w:color="auto" w:sz="2" w:space="0"/>
            </w:tcBorders>
            <w:shd w:val="clear" w:color="auto" w:fill="D3D3D3"/>
            <w:vAlign w:val="center"/>
          </w:tcPr>
          <w:p w14:paraId="26912D1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A7B7B03"/>
        </w:tc>
      </w:tr>
      <w:tr w14:paraId="2EBE6A8E">
        <w:trPr>
          <w:trHeight w:val="240" w:hRule="atLeast"/>
        </w:trPr>
        <w:tc>
          <w:tcPr>
            <w:tcW w:w="875" w:type="dxa"/>
            <w:tcBorders>
              <w:top w:val="single" w:color="auto" w:sz="2" w:space="0"/>
              <w:left w:val="single" w:color="auto" w:sz="2" w:space="0"/>
              <w:bottom w:val="single" w:color="auto" w:sz="2" w:space="0"/>
              <w:right w:val="single" w:color="auto" w:sz="2" w:space="0"/>
            </w:tcBorders>
            <w:shd w:val="clear" w:color="auto" w:fill="D3D3D3"/>
            <w:vAlign w:val="center"/>
          </w:tcPr>
          <w:p w14:paraId="2F524AB1">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110" w:type="dxa"/>
            <w:tcBorders>
              <w:top w:val="single" w:color="auto" w:sz="2" w:space="0"/>
              <w:left w:val="single" w:color="auto" w:sz="2" w:space="0"/>
              <w:bottom w:val="single" w:color="auto" w:sz="2" w:space="0"/>
              <w:right w:val="single" w:color="auto" w:sz="2" w:space="0"/>
            </w:tcBorders>
            <w:vAlign w:val="center"/>
          </w:tcPr>
          <w:p w14:paraId="0308236C">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643" w:type="dxa"/>
            <w:tcBorders>
              <w:top w:val="single" w:color="auto" w:sz="2" w:space="0"/>
              <w:left w:val="single" w:color="auto" w:sz="2" w:space="0"/>
              <w:bottom w:val="single" w:color="auto" w:sz="2" w:space="0"/>
              <w:right w:val="single" w:color="auto" w:sz="2" w:space="0"/>
            </w:tcBorders>
            <w:vAlign w:val="center"/>
          </w:tcPr>
          <w:p w14:paraId="6A43A5C5">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03B77F8">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877" w:type="dxa"/>
            <w:tcBorders>
              <w:top w:val="single" w:color="auto" w:sz="2" w:space="0"/>
              <w:left w:val="single" w:color="auto" w:sz="2" w:space="0"/>
              <w:bottom w:val="single" w:color="auto" w:sz="2" w:space="0"/>
              <w:right w:val="single" w:color="auto" w:sz="2" w:space="0"/>
            </w:tcBorders>
            <w:vAlign w:val="center"/>
          </w:tcPr>
          <w:p w14:paraId="44764A2C">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908551A">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1FB57521">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877" w:type="dxa"/>
            <w:tcBorders>
              <w:top w:val="single" w:color="auto" w:sz="2" w:space="0"/>
              <w:left w:val="single" w:color="auto" w:sz="2" w:space="0"/>
              <w:bottom w:val="single" w:color="auto" w:sz="2" w:space="0"/>
              <w:right w:val="single" w:color="auto" w:sz="2" w:space="0"/>
            </w:tcBorders>
            <w:vAlign w:val="center"/>
          </w:tcPr>
          <w:p w14:paraId="0F5B2CB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7CE0A2B">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877" w:type="dxa"/>
            <w:tcBorders>
              <w:top w:val="single" w:color="auto" w:sz="2" w:space="0"/>
              <w:left w:val="single" w:color="auto" w:sz="2" w:space="0"/>
              <w:bottom w:val="single" w:color="auto" w:sz="2" w:space="0"/>
              <w:right w:val="single" w:color="auto" w:sz="2" w:space="0"/>
            </w:tcBorders>
            <w:vAlign w:val="center"/>
          </w:tcPr>
          <w:p w14:paraId="7668F03B">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2D4F4C1">
            <w:pPr>
              <w:spacing w:line="240" w:lineRule="exact"/>
              <w:jc w:val="right"/>
              <w:rPr>
                <w:rFonts w:ascii="宋体" w:hAnsi="宋体" w:eastAsia="宋体" w:cs="宋体"/>
                <w:sz w:val="18"/>
                <w:szCs w:val="18"/>
              </w:rPr>
            </w:pPr>
            <w:r>
              <w:rPr>
                <w:rFonts w:ascii="宋体" w:hAnsi="宋体" w:eastAsia="宋体" w:cs="宋体"/>
                <w:sz w:val="18"/>
                <w:szCs w:val="18"/>
              </w:rPr>
              <w:t>0.00</w:t>
            </w:r>
          </w:p>
        </w:tc>
      </w:tr>
    </w:tbl>
    <w:p w14:paraId="5A0A8647">
      <w:pPr>
        <w:spacing w:before="100" w:after="100" w:line="240" w:lineRule="exact"/>
        <w:rPr>
          <w:rFonts w:ascii="宋体" w:hAnsi="宋体" w:eastAsia="宋体" w:cs="宋体"/>
          <w:sz w:val="18"/>
          <w:szCs w:val="18"/>
        </w:rPr>
      </w:pPr>
      <w:r>
        <w:rPr>
          <w:rFonts w:ascii="宋体" w:hAnsi="宋体" w:eastAsia="宋体" w:cs="宋体"/>
          <w:sz w:val="18"/>
          <w:szCs w:val="18"/>
        </w:rPr>
        <w:t>按组合计提坏账准备类别名称：账龄组合</w:t>
      </w:r>
    </w:p>
    <w:p w14:paraId="60CE3093">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47D5326">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12A6EFC">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3F0B5D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5CA23F6">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EBA24F"/>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8BE91CE">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1EC754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5B54A0">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1DF1679B">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6D28A28">
            <w:pPr>
              <w:spacing w:line="240" w:lineRule="exac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160AE8B1">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2410" w:type="dxa"/>
            <w:tcBorders>
              <w:top w:val="single" w:color="auto" w:sz="2" w:space="0"/>
              <w:left w:val="single" w:color="auto" w:sz="2" w:space="0"/>
              <w:bottom w:val="single" w:color="auto" w:sz="2" w:space="0"/>
              <w:right w:val="single" w:color="auto" w:sz="2" w:space="0"/>
            </w:tcBorders>
            <w:vAlign w:val="center"/>
          </w:tcPr>
          <w:p w14:paraId="3B8D7EB4">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2410" w:type="dxa"/>
            <w:tcBorders>
              <w:top w:val="single" w:color="auto" w:sz="2" w:space="0"/>
              <w:left w:val="single" w:color="auto" w:sz="2" w:space="0"/>
              <w:bottom w:val="single" w:color="auto" w:sz="2" w:space="0"/>
              <w:right w:val="single" w:color="auto" w:sz="2" w:space="0"/>
            </w:tcBorders>
            <w:vAlign w:val="center"/>
          </w:tcPr>
          <w:p w14:paraId="3E42A645">
            <w:pPr>
              <w:spacing w:line="240" w:lineRule="exact"/>
              <w:jc w:val="right"/>
              <w:rPr>
                <w:rFonts w:ascii="宋体" w:hAnsi="宋体" w:eastAsia="宋体" w:cs="宋体"/>
                <w:sz w:val="18"/>
                <w:szCs w:val="18"/>
              </w:rPr>
            </w:pPr>
            <w:r>
              <w:rPr>
                <w:rFonts w:ascii="宋体" w:hAnsi="宋体" w:eastAsia="宋体" w:cs="宋体"/>
                <w:sz w:val="18"/>
                <w:szCs w:val="18"/>
              </w:rPr>
              <w:t>100.00%</w:t>
            </w:r>
          </w:p>
        </w:tc>
      </w:tr>
      <w:tr w14:paraId="249589E3">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120642C">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2AFD508">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2410" w:type="dxa"/>
            <w:tcBorders>
              <w:top w:val="single" w:color="auto" w:sz="2" w:space="0"/>
              <w:left w:val="single" w:color="auto" w:sz="2" w:space="0"/>
              <w:bottom w:val="single" w:color="auto" w:sz="2" w:space="0"/>
              <w:right w:val="single" w:color="auto" w:sz="2" w:space="0"/>
            </w:tcBorders>
            <w:vAlign w:val="center"/>
          </w:tcPr>
          <w:p w14:paraId="0E8C8713">
            <w:pPr>
              <w:spacing w:line="240" w:lineRule="exact"/>
              <w:jc w:val="right"/>
              <w:rPr>
                <w:rFonts w:ascii="宋体" w:hAnsi="宋体" w:eastAsia="宋体" w:cs="宋体"/>
                <w:sz w:val="18"/>
                <w:szCs w:val="18"/>
              </w:rPr>
            </w:pPr>
            <w:r>
              <w:rPr>
                <w:rFonts w:ascii="宋体" w:hAnsi="宋体" w:eastAsia="宋体" w:cs="宋体"/>
                <w:sz w:val="18"/>
                <w:szCs w:val="18"/>
              </w:rPr>
              <w:t>84,361.13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0269E59"/>
        </w:tc>
      </w:tr>
    </w:tbl>
    <w:p w14:paraId="763E2FC5">
      <w:pPr>
        <w:spacing w:before="100" w:after="100" w:line="240" w:lineRule="exact"/>
      </w:pPr>
      <w:r>
        <w:rPr>
          <w:rFonts w:ascii="宋体" w:hAnsi="宋体" w:eastAsia="宋体" w:cs="宋体"/>
          <w:sz w:val="18"/>
          <w:szCs w:val="18"/>
        </w:rPr>
        <w:t>确定该组合依据的说明：</w:t>
      </w:r>
    </w:p>
    <w:p w14:paraId="23CC2935">
      <w:pPr>
        <w:spacing w:before="100" w:after="100" w:line="240" w:lineRule="exact"/>
        <w:rPr>
          <w:rFonts w:ascii="宋体" w:hAnsi="宋体" w:eastAsia="宋体" w:cs="宋体"/>
          <w:sz w:val="18"/>
          <w:szCs w:val="18"/>
        </w:rPr>
      </w:pPr>
      <w:r>
        <w:rPr>
          <w:rFonts w:ascii="宋体" w:hAnsi="宋体" w:eastAsia="宋体" w:cs="宋体"/>
          <w:sz w:val="18"/>
          <w:szCs w:val="18"/>
        </w:rPr>
        <w:t>如是按照预期信用损失一般模型计提应收账款坏账准备：</w:t>
      </w:r>
    </w:p>
    <w:p w14:paraId="6A55A41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2856F14">
      <w:pPr>
        <w:keepNext/>
        <w:keepLines/>
        <w:spacing w:before="100" w:after="100" w:line="280" w:lineRule="exact"/>
        <w:outlineLvl w:val="3"/>
        <w:rPr>
          <w:rFonts w:ascii="宋体" w:hAnsi="宋体" w:eastAsia="宋体" w:cs="宋体"/>
          <w:b/>
          <w:bCs/>
          <w:szCs w:val="21"/>
        </w:rPr>
      </w:pPr>
      <w:bookmarkStart w:id="178" w:name="_Toc989067"/>
      <w:r>
        <w:rPr>
          <w:rFonts w:ascii="宋体" w:hAnsi="宋体" w:eastAsia="宋体" w:cs="宋体"/>
          <w:b/>
          <w:bCs/>
          <w:szCs w:val="21"/>
        </w:rPr>
        <w:t>（3） 本期计提、收回或转回的坏账准备情况</w:t>
      </w:r>
      <w:bookmarkEnd w:id="178"/>
    </w:p>
    <w:p w14:paraId="04035937">
      <w:pPr>
        <w:spacing w:before="100" w:after="100" w:line="240" w:lineRule="exact"/>
        <w:rPr>
          <w:rFonts w:ascii="宋体" w:hAnsi="宋体" w:eastAsia="宋体" w:cs="宋体"/>
          <w:sz w:val="18"/>
          <w:szCs w:val="18"/>
        </w:rPr>
      </w:pPr>
      <w:r>
        <w:rPr>
          <w:rFonts w:ascii="宋体" w:hAnsi="宋体" w:eastAsia="宋体" w:cs="宋体"/>
          <w:sz w:val="18"/>
          <w:szCs w:val="18"/>
        </w:rPr>
        <w:t>本期计提坏账准备情况：</w:t>
      </w:r>
    </w:p>
    <w:p w14:paraId="0F824BB4">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93166C6">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9EFF20">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2AE341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010F214">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23CB0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ED84B40">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740847D"/>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27589F"/>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7FA1DA">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711D15">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759642">
            <w:pPr>
              <w:spacing w:before="40" w:after="40" w:line="240" w:lineRule="exact"/>
              <w:jc w:val="center"/>
              <w:rPr>
                <w:rFonts w:ascii="宋体" w:hAnsi="宋体" w:eastAsia="宋体" w:cs="宋体"/>
                <w:sz w:val="18"/>
                <w:szCs w:val="18"/>
              </w:rPr>
            </w:pPr>
            <w:r>
              <w:rPr>
                <w:rFonts w:ascii="宋体" w:hAnsi="宋体" w:eastAsia="宋体" w:cs="宋体"/>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121D7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0166FA"/>
        </w:tc>
      </w:tr>
    </w:tbl>
    <w:p w14:paraId="4ACBCC90">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077382F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A68E15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73D841">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3C1AFD">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E452F9">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4FE610">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39B1DB">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07057CA4"/>
    <w:p w14:paraId="788B4723">
      <w:pPr>
        <w:keepNext/>
        <w:keepLines/>
        <w:spacing w:before="100" w:after="100" w:line="280" w:lineRule="exact"/>
        <w:outlineLvl w:val="3"/>
        <w:rPr>
          <w:rFonts w:ascii="宋体" w:hAnsi="宋体" w:eastAsia="宋体" w:cs="宋体"/>
          <w:b/>
          <w:bCs/>
          <w:szCs w:val="21"/>
        </w:rPr>
      </w:pPr>
      <w:bookmarkStart w:id="179" w:name="_Toc989068"/>
      <w:r>
        <w:rPr>
          <w:rFonts w:ascii="宋体" w:hAnsi="宋体" w:eastAsia="宋体" w:cs="宋体"/>
          <w:b/>
          <w:bCs/>
          <w:szCs w:val="21"/>
        </w:rPr>
        <w:t>（4） 本期实际核销的应收账款情况</w:t>
      </w:r>
      <w:bookmarkEnd w:id="179"/>
    </w:p>
    <w:p w14:paraId="1235065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219E655A">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740545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9EFDA82">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54A2E30B">
      <w:pPr>
        <w:spacing w:before="100" w:after="100" w:line="240" w:lineRule="exact"/>
        <w:rPr>
          <w:rFonts w:ascii="宋体" w:hAnsi="宋体" w:eastAsia="宋体" w:cs="宋体"/>
          <w:sz w:val="18"/>
          <w:szCs w:val="18"/>
        </w:rPr>
      </w:pPr>
      <w:r>
        <w:rPr>
          <w:rFonts w:ascii="宋体" w:hAnsi="宋体" w:eastAsia="宋体" w:cs="宋体"/>
          <w:sz w:val="18"/>
          <w:szCs w:val="18"/>
        </w:rPr>
        <w:t>其中重要的应收账款核销情况：</w:t>
      </w:r>
    </w:p>
    <w:p w14:paraId="07ED036D">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13D5F20B">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A92BB0">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FDD688">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31BDFD8">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F674367">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918967">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511D19">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29521B0A">
      <w:pPr>
        <w:spacing w:before="100" w:after="100" w:line="240" w:lineRule="exact"/>
      </w:pPr>
      <w:r>
        <w:rPr>
          <w:rFonts w:ascii="宋体" w:hAnsi="宋体" w:eastAsia="宋体" w:cs="宋体"/>
          <w:sz w:val="18"/>
          <w:szCs w:val="18"/>
        </w:rPr>
        <w:t>应收账款核销说明：</w:t>
      </w:r>
    </w:p>
    <w:p w14:paraId="4DE413A4">
      <w:pPr>
        <w:keepNext/>
        <w:keepLines/>
        <w:spacing w:before="100" w:after="100" w:line="280" w:lineRule="exact"/>
        <w:outlineLvl w:val="3"/>
        <w:rPr>
          <w:rFonts w:ascii="宋体" w:hAnsi="宋体" w:eastAsia="宋体" w:cs="宋体"/>
          <w:b/>
          <w:bCs/>
          <w:szCs w:val="21"/>
        </w:rPr>
      </w:pPr>
      <w:bookmarkStart w:id="180" w:name="_Toc989069"/>
      <w:r>
        <w:rPr>
          <w:rFonts w:ascii="宋体" w:hAnsi="宋体" w:eastAsia="宋体" w:cs="宋体"/>
          <w:b/>
          <w:bCs/>
          <w:szCs w:val="21"/>
        </w:rPr>
        <w:t>（5） 按欠款方归集的期末余额前五名的应收账款和合同资产情况</w:t>
      </w:r>
      <w:bookmarkEnd w:id="180"/>
    </w:p>
    <w:p w14:paraId="41D25F9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30DDC4E0">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EA9AB4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1C7599">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4D827E6">
            <w:pPr>
              <w:spacing w:before="40" w:after="40" w:line="240" w:lineRule="exact"/>
              <w:jc w:val="center"/>
              <w:rPr>
                <w:rFonts w:ascii="宋体" w:hAnsi="宋体" w:eastAsia="宋体" w:cs="宋体"/>
                <w:sz w:val="18"/>
                <w:szCs w:val="18"/>
              </w:rPr>
            </w:pPr>
            <w:r>
              <w:rPr>
                <w:rFonts w:ascii="宋体" w:hAnsi="宋体" w:eastAsia="宋体" w:cs="宋体"/>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37FA109">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51A11F">
            <w:pPr>
              <w:spacing w:before="40" w:after="40" w:line="240" w:lineRule="exact"/>
              <w:jc w:val="center"/>
              <w:rPr>
                <w:rFonts w:ascii="宋体" w:hAnsi="宋体" w:eastAsia="宋体" w:cs="宋体"/>
                <w:sz w:val="18"/>
                <w:szCs w:val="18"/>
              </w:rPr>
            </w:pPr>
            <w:r>
              <w:rPr>
                <w:rFonts w:ascii="宋体" w:hAnsi="宋体" w:eastAsia="宋体" w:cs="宋体"/>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09F0DB6">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应收账款坏账准备和合同资产减值准备期末余额</w:t>
            </w:r>
          </w:p>
        </w:tc>
      </w:tr>
      <w:tr w14:paraId="6373F700">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6D6A356">
            <w:pPr>
              <w:spacing w:line="240" w:lineRule="exact"/>
              <w:rPr>
                <w:rFonts w:ascii="宋体" w:hAnsi="宋体" w:eastAsia="宋体" w:cs="宋体"/>
                <w:sz w:val="18"/>
                <w:szCs w:val="18"/>
              </w:rPr>
            </w:pPr>
            <w:r>
              <w:rPr>
                <w:rFonts w:ascii="宋体" w:hAnsi="宋体" w:eastAsia="宋体" w:cs="宋体"/>
                <w:sz w:val="18"/>
                <w:szCs w:val="18"/>
              </w:rPr>
              <w:t>黄世云</w:t>
            </w:r>
          </w:p>
        </w:tc>
        <w:tc>
          <w:tcPr>
            <w:tcW w:w="1606" w:type="dxa"/>
            <w:tcBorders>
              <w:top w:val="single" w:color="auto" w:sz="2" w:space="0"/>
              <w:left w:val="single" w:color="auto" w:sz="2" w:space="0"/>
              <w:bottom w:val="single" w:color="auto" w:sz="2" w:space="0"/>
              <w:right w:val="single" w:color="auto" w:sz="2" w:space="0"/>
            </w:tcBorders>
            <w:vAlign w:val="center"/>
          </w:tcPr>
          <w:p w14:paraId="3344EB8A">
            <w:pPr>
              <w:spacing w:line="240" w:lineRule="exact"/>
              <w:jc w:val="right"/>
              <w:rPr>
                <w:rFonts w:ascii="宋体" w:hAnsi="宋体" w:eastAsia="宋体" w:cs="宋体"/>
                <w:sz w:val="18"/>
                <w:szCs w:val="18"/>
              </w:rPr>
            </w:pPr>
            <w:r>
              <w:rPr>
                <w:rFonts w:ascii="宋体" w:hAnsi="宋体" w:eastAsia="宋体" w:cs="宋体"/>
                <w:sz w:val="18"/>
                <w:szCs w:val="18"/>
              </w:rPr>
              <w:t>29,200.00</w:t>
            </w:r>
          </w:p>
        </w:tc>
        <w:tc>
          <w:tcPr>
            <w:tcW w:w="1606" w:type="dxa"/>
            <w:tcBorders>
              <w:top w:val="single" w:color="auto" w:sz="2" w:space="0"/>
              <w:left w:val="single" w:color="auto" w:sz="2" w:space="0"/>
              <w:bottom w:val="single" w:color="auto" w:sz="2" w:space="0"/>
              <w:right w:val="single" w:color="auto" w:sz="2" w:space="0"/>
            </w:tcBorders>
            <w:vAlign w:val="center"/>
          </w:tcPr>
          <w:p w14:paraId="760CEA0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87B8AD3">
            <w:pPr>
              <w:spacing w:line="240" w:lineRule="exact"/>
              <w:jc w:val="right"/>
              <w:rPr>
                <w:rFonts w:ascii="宋体" w:hAnsi="宋体" w:eastAsia="宋体" w:cs="宋体"/>
                <w:sz w:val="18"/>
                <w:szCs w:val="18"/>
              </w:rPr>
            </w:pPr>
            <w:r>
              <w:rPr>
                <w:rFonts w:ascii="宋体" w:hAnsi="宋体" w:eastAsia="宋体" w:cs="宋体"/>
                <w:sz w:val="18"/>
                <w:szCs w:val="18"/>
              </w:rPr>
              <w:t>29,200.00</w:t>
            </w:r>
          </w:p>
        </w:tc>
        <w:tc>
          <w:tcPr>
            <w:tcW w:w="1606" w:type="dxa"/>
            <w:tcBorders>
              <w:top w:val="single" w:color="auto" w:sz="2" w:space="0"/>
              <w:left w:val="single" w:color="auto" w:sz="2" w:space="0"/>
              <w:bottom w:val="single" w:color="auto" w:sz="2" w:space="0"/>
              <w:right w:val="single" w:color="auto" w:sz="2" w:space="0"/>
            </w:tcBorders>
            <w:vAlign w:val="center"/>
          </w:tcPr>
          <w:p w14:paraId="6689B0F8">
            <w:pPr>
              <w:spacing w:line="240" w:lineRule="exact"/>
              <w:jc w:val="right"/>
              <w:rPr>
                <w:rFonts w:ascii="宋体" w:hAnsi="宋体" w:eastAsia="宋体" w:cs="宋体"/>
                <w:sz w:val="18"/>
                <w:szCs w:val="18"/>
              </w:rPr>
            </w:pPr>
            <w:r>
              <w:rPr>
                <w:rFonts w:ascii="宋体" w:hAnsi="宋体" w:eastAsia="宋体" w:cs="宋体"/>
                <w:sz w:val="18"/>
                <w:szCs w:val="18"/>
              </w:rPr>
              <w:t>34.60%</w:t>
            </w:r>
          </w:p>
        </w:tc>
        <w:tc>
          <w:tcPr>
            <w:tcW w:w="1606" w:type="dxa"/>
            <w:tcBorders>
              <w:top w:val="single" w:color="auto" w:sz="2" w:space="0"/>
              <w:left w:val="single" w:color="auto" w:sz="2" w:space="0"/>
              <w:bottom w:val="single" w:color="auto" w:sz="2" w:space="0"/>
              <w:right w:val="single" w:color="auto" w:sz="2" w:space="0"/>
            </w:tcBorders>
            <w:vAlign w:val="center"/>
          </w:tcPr>
          <w:p w14:paraId="4B56FEA6">
            <w:pPr>
              <w:spacing w:line="240" w:lineRule="exact"/>
              <w:jc w:val="right"/>
              <w:rPr>
                <w:rFonts w:ascii="宋体" w:hAnsi="宋体" w:eastAsia="宋体" w:cs="宋体"/>
                <w:sz w:val="18"/>
                <w:szCs w:val="18"/>
              </w:rPr>
            </w:pPr>
            <w:r>
              <w:rPr>
                <w:rFonts w:ascii="宋体" w:hAnsi="宋体" w:eastAsia="宋体" w:cs="宋体"/>
                <w:sz w:val="18"/>
                <w:szCs w:val="18"/>
              </w:rPr>
              <w:t>29,200.00</w:t>
            </w:r>
          </w:p>
        </w:tc>
      </w:tr>
      <w:tr w14:paraId="0F280A32">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2D7ACE3">
            <w:pPr>
              <w:spacing w:line="240" w:lineRule="exact"/>
              <w:rPr>
                <w:rFonts w:ascii="宋体" w:hAnsi="宋体" w:eastAsia="宋体" w:cs="宋体"/>
                <w:sz w:val="18"/>
                <w:szCs w:val="18"/>
              </w:rPr>
            </w:pPr>
            <w:r>
              <w:rPr>
                <w:rFonts w:ascii="宋体" w:hAnsi="宋体" w:eastAsia="宋体" w:cs="宋体"/>
                <w:sz w:val="18"/>
                <w:szCs w:val="18"/>
              </w:rPr>
              <w:t>四川图坤投资有限公司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7108443">
            <w:pPr>
              <w:spacing w:line="240" w:lineRule="exact"/>
              <w:jc w:val="right"/>
              <w:rPr>
                <w:rFonts w:ascii="宋体" w:hAnsi="宋体" w:eastAsia="宋体" w:cs="宋体"/>
                <w:sz w:val="18"/>
                <w:szCs w:val="18"/>
              </w:rPr>
            </w:pPr>
            <w:r>
              <w:rPr>
                <w:rFonts w:ascii="宋体" w:hAnsi="宋体" w:eastAsia="宋体" w:cs="宋体"/>
                <w:sz w:val="18"/>
                <w:szCs w:val="18"/>
              </w:rPr>
              <w:t>22,000.00</w:t>
            </w:r>
          </w:p>
        </w:tc>
        <w:tc>
          <w:tcPr>
            <w:tcW w:w="1606" w:type="dxa"/>
            <w:tcBorders>
              <w:top w:val="single" w:color="auto" w:sz="2" w:space="0"/>
              <w:left w:val="single" w:color="auto" w:sz="2" w:space="0"/>
              <w:bottom w:val="single" w:color="auto" w:sz="2" w:space="0"/>
              <w:right w:val="single" w:color="auto" w:sz="2" w:space="0"/>
            </w:tcBorders>
            <w:vAlign w:val="center"/>
          </w:tcPr>
          <w:p w14:paraId="2FAEEBA9">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4938CC2">
            <w:pPr>
              <w:spacing w:line="240" w:lineRule="exact"/>
              <w:jc w:val="right"/>
              <w:rPr>
                <w:rFonts w:ascii="宋体" w:hAnsi="宋体" w:eastAsia="宋体" w:cs="宋体"/>
                <w:sz w:val="18"/>
                <w:szCs w:val="18"/>
              </w:rPr>
            </w:pPr>
            <w:r>
              <w:rPr>
                <w:rFonts w:ascii="宋体" w:hAnsi="宋体" w:eastAsia="宋体" w:cs="宋体"/>
                <w:sz w:val="18"/>
                <w:szCs w:val="18"/>
              </w:rPr>
              <w:t>22,000.00</w:t>
            </w:r>
          </w:p>
        </w:tc>
        <w:tc>
          <w:tcPr>
            <w:tcW w:w="1606" w:type="dxa"/>
            <w:tcBorders>
              <w:top w:val="single" w:color="auto" w:sz="2" w:space="0"/>
              <w:left w:val="single" w:color="auto" w:sz="2" w:space="0"/>
              <w:bottom w:val="single" w:color="auto" w:sz="2" w:space="0"/>
              <w:right w:val="single" w:color="auto" w:sz="2" w:space="0"/>
            </w:tcBorders>
            <w:vAlign w:val="center"/>
          </w:tcPr>
          <w:p w14:paraId="0B8BCA91">
            <w:pPr>
              <w:spacing w:line="240" w:lineRule="exact"/>
              <w:jc w:val="right"/>
              <w:rPr>
                <w:rFonts w:ascii="宋体" w:hAnsi="宋体" w:eastAsia="宋体" w:cs="宋体"/>
                <w:sz w:val="18"/>
                <w:szCs w:val="18"/>
              </w:rPr>
            </w:pPr>
            <w:r>
              <w:rPr>
                <w:rFonts w:ascii="宋体" w:hAnsi="宋体" w:eastAsia="宋体" w:cs="宋体"/>
                <w:sz w:val="18"/>
                <w:szCs w:val="18"/>
              </w:rPr>
              <w:t>26.07%</w:t>
            </w:r>
          </w:p>
        </w:tc>
        <w:tc>
          <w:tcPr>
            <w:tcW w:w="1606" w:type="dxa"/>
            <w:tcBorders>
              <w:top w:val="single" w:color="auto" w:sz="2" w:space="0"/>
              <w:left w:val="single" w:color="auto" w:sz="2" w:space="0"/>
              <w:bottom w:val="single" w:color="auto" w:sz="2" w:space="0"/>
              <w:right w:val="single" w:color="auto" w:sz="2" w:space="0"/>
            </w:tcBorders>
            <w:vAlign w:val="center"/>
          </w:tcPr>
          <w:p w14:paraId="0CE6D939">
            <w:pPr>
              <w:spacing w:line="240" w:lineRule="exact"/>
              <w:jc w:val="right"/>
              <w:rPr>
                <w:rFonts w:ascii="宋体" w:hAnsi="宋体" w:eastAsia="宋体" w:cs="宋体"/>
                <w:sz w:val="18"/>
                <w:szCs w:val="18"/>
              </w:rPr>
            </w:pPr>
            <w:r>
              <w:rPr>
                <w:rFonts w:ascii="宋体" w:hAnsi="宋体" w:eastAsia="宋体" w:cs="宋体"/>
                <w:sz w:val="18"/>
                <w:szCs w:val="18"/>
              </w:rPr>
              <w:t>22,000.00</w:t>
            </w:r>
          </w:p>
        </w:tc>
      </w:tr>
      <w:tr w14:paraId="654C327D">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E1BD345">
            <w:pPr>
              <w:spacing w:line="240" w:lineRule="exact"/>
              <w:rPr>
                <w:rFonts w:ascii="宋体" w:hAnsi="宋体" w:eastAsia="宋体" w:cs="宋体"/>
                <w:sz w:val="18"/>
                <w:szCs w:val="18"/>
              </w:rPr>
            </w:pPr>
            <w:r>
              <w:rPr>
                <w:rFonts w:ascii="宋体" w:hAnsi="宋体" w:eastAsia="宋体" w:cs="宋体"/>
                <w:sz w:val="18"/>
                <w:szCs w:val="18"/>
              </w:rPr>
              <w:t>上海星河置业有限公司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C84ACE5">
            <w:pPr>
              <w:spacing w:line="240" w:lineRule="exact"/>
              <w:jc w:val="right"/>
              <w:rPr>
                <w:rFonts w:ascii="宋体" w:hAnsi="宋体" w:eastAsia="宋体" w:cs="宋体"/>
                <w:sz w:val="18"/>
                <w:szCs w:val="18"/>
              </w:rPr>
            </w:pPr>
            <w:r>
              <w:rPr>
                <w:rFonts w:ascii="宋体" w:hAnsi="宋体" w:eastAsia="宋体" w:cs="宋体"/>
                <w:sz w:val="18"/>
                <w:szCs w:val="18"/>
              </w:rPr>
              <w:t>19,350.00</w:t>
            </w:r>
          </w:p>
        </w:tc>
        <w:tc>
          <w:tcPr>
            <w:tcW w:w="1606" w:type="dxa"/>
            <w:tcBorders>
              <w:top w:val="single" w:color="auto" w:sz="2" w:space="0"/>
              <w:left w:val="single" w:color="auto" w:sz="2" w:space="0"/>
              <w:bottom w:val="single" w:color="auto" w:sz="2" w:space="0"/>
              <w:right w:val="single" w:color="auto" w:sz="2" w:space="0"/>
            </w:tcBorders>
            <w:vAlign w:val="center"/>
          </w:tcPr>
          <w:p w14:paraId="68E9BB2F">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BEECCA">
            <w:pPr>
              <w:spacing w:line="240" w:lineRule="exact"/>
              <w:jc w:val="right"/>
              <w:rPr>
                <w:rFonts w:ascii="宋体" w:hAnsi="宋体" w:eastAsia="宋体" w:cs="宋体"/>
                <w:sz w:val="18"/>
                <w:szCs w:val="18"/>
              </w:rPr>
            </w:pPr>
            <w:r>
              <w:rPr>
                <w:rFonts w:ascii="宋体" w:hAnsi="宋体" w:eastAsia="宋体" w:cs="宋体"/>
                <w:sz w:val="18"/>
                <w:szCs w:val="18"/>
              </w:rPr>
              <w:t>19,350.00</w:t>
            </w:r>
          </w:p>
        </w:tc>
        <w:tc>
          <w:tcPr>
            <w:tcW w:w="1606" w:type="dxa"/>
            <w:tcBorders>
              <w:top w:val="single" w:color="auto" w:sz="2" w:space="0"/>
              <w:left w:val="single" w:color="auto" w:sz="2" w:space="0"/>
              <w:bottom w:val="single" w:color="auto" w:sz="2" w:space="0"/>
              <w:right w:val="single" w:color="auto" w:sz="2" w:space="0"/>
            </w:tcBorders>
            <w:vAlign w:val="center"/>
          </w:tcPr>
          <w:p w14:paraId="5C8EDEBE">
            <w:pPr>
              <w:spacing w:line="240" w:lineRule="exact"/>
              <w:jc w:val="right"/>
              <w:rPr>
                <w:rFonts w:ascii="宋体" w:hAnsi="宋体" w:eastAsia="宋体" w:cs="宋体"/>
                <w:sz w:val="18"/>
                <w:szCs w:val="18"/>
              </w:rPr>
            </w:pPr>
            <w:r>
              <w:rPr>
                <w:rFonts w:ascii="宋体" w:hAnsi="宋体" w:eastAsia="宋体" w:cs="宋体"/>
                <w:sz w:val="18"/>
                <w:szCs w:val="18"/>
              </w:rPr>
              <w:t>22.97%</w:t>
            </w:r>
          </w:p>
        </w:tc>
        <w:tc>
          <w:tcPr>
            <w:tcW w:w="1606" w:type="dxa"/>
            <w:tcBorders>
              <w:top w:val="single" w:color="auto" w:sz="2" w:space="0"/>
              <w:left w:val="single" w:color="auto" w:sz="2" w:space="0"/>
              <w:bottom w:val="single" w:color="auto" w:sz="2" w:space="0"/>
              <w:right w:val="single" w:color="auto" w:sz="2" w:space="0"/>
            </w:tcBorders>
            <w:vAlign w:val="center"/>
          </w:tcPr>
          <w:p w14:paraId="7004054C">
            <w:pPr>
              <w:spacing w:line="240" w:lineRule="exact"/>
              <w:jc w:val="right"/>
              <w:rPr>
                <w:rFonts w:ascii="宋体" w:hAnsi="宋体" w:eastAsia="宋体" w:cs="宋体"/>
                <w:sz w:val="18"/>
                <w:szCs w:val="18"/>
              </w:rPr>
            </w:pPr>
            <w:r>
              <w:rPr>
                <w:rFonts w:ascii="宋体" w:hAnsi="宋体" w:eastAsia="宋体" w:cs="宋体"/>
                <w:sz w:val="18"/>
                <w:szCs w:val="18"/>
              </w:rPr>
              <w:t>19,350.00</w:t>
            </w:r>
          </w:p>
        </w:tc>
      </w:tr>
      <w:tr w14:paraId="4E96C1DA">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739C53F">
            <w:pPr>
              <w:spacing w:line="240" w:lineRule="exact"/>
              <w:rPr>
                <w:rFonts w:ascii="宋体" w:hAnsi="宋体" w:eastAsia="宋体" w:cs="宋体"/>
                <w:sz w:val="18"/>
                <w:szCs w:val="18"/>
              </w:rPr>
            </w:pPr>
            <w:r>
              <w:rPr>
                <w:rFonts w:ascii="宋体" w:hAnsi="宋体" w:eastAsia="宋体" w:cs="宋体"/>
                <w:sz w:val="18"/>
                <w:szCs w:val="18"/>
              </w:rPr>
              <w:t>兴全</w:t>
            </w:r>
          </w:p>
        </w:tc>
        <w:tc>
          <w:tcPr>
            <w:tcW w:w="1606" w:type="dxa"/>
            <w:tcBorders>
              <w:top w:val="single" w:color="auto" w:sz="2" w:space="0"/>
              <w:left w:val="single" w:color="auto" w:sz="2" w:space="0"/>
              <w:bottom w:val="single" w:color="auto" w:sz="2" w:space="0"/>
              <w:right w:val="single" w:color="auto" w:sz="2" w:space="0"/>
            </w:tcBorders>
            <w:vAlign w:val="center"/>
          </w:tcPr>
          <w:p w14:paraId="3E50C194">
            <w:pPr>
              <w:spacing w:line="240" w:lineRule="exact"/>
              <w:jc w:val="right"/>
              <w:rPr>
                <w:rFonts w:ascii="宋体" w:hAnsi="宋体" w:eastAsia="宋体" w:cs="宋体"/>
                <w:sz w:val="18"/>
                <w:szCs w:val="18"/>
              </w:rPr>
            </w:pPr>
            <w:r>
              <w:rPr>
                <w:rFonts w:ascii="宋体" w:hAnsi="宋体" w:eastAsia="宋体" w:cs="宋体"/>
                <w:sz w:val="18"/>
                <w:szCs w:val="18"/>
              </w:rPr>
              <w:t>5,000.00</w:t>
            </w:r>
          </w:p>
        </w:tc>
        <w:tc>
          <w:tcPr>
            <w:tcW w:w="1606" w:type="dxa"/>
            <w:tcBorders>
              <w:top w:val="single" w:color="auto" w:sz="2" w:space="0"/>
              <w:left w:val="single" w:color="auto" w:sz="2" w:space="0"/>
              <w:bottom w:val="single" w:color="auto" w:sz="2" w:space="0"/>
              <w:right w:val="single" w:color="auto" w:sz="2" w:space="0"/>
            </w:tcBorders>
            <w:vAlign w:val="center"/>
          </w:tcPr>
          <w:p w14:paraId="3B1F0D61">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1510813">
            <w:pPr>
              <w:spacing w:line="240" w:lineRule="exact"/>
              <w:jc w:val="right"/>
              <w:rPr>
                <w:rFonts w:ascii="宋体" w:hAnsi="宋体" w:eastAsia="宋体" w:cs="宋体"/>
                <w:sz w:val="18"/>
                <w:szCs w:val="18"/>
              </w:rPr>
            </w:pPr>
            <w:r>
              <w:rPr>
                <w:rFonts w:ascii="宋体" w:hAnsi="宋体" w:eastAsia="宋体" w:cs="宋体"/>
                <w:sz w:val="18"/>
                <w:szCs w:val="18"/>
              </w:rPr>
              <w:t>5,000.00</w:t>
            </w:r>
          </w:p>
        </w:tc>
        <w:tc>
          <w:tcPr>
            <w:tcW w:w="1606" w:type="dxa"/>
            <w:tcBorders>
              <w:top w:val="single" w:color="auto" w:sz="2" w:space="0"/>
              <w:left w:val="single" w:color="auto" w:sz="2" w:space="0"/>
              <w:bottom w:val="single" w:color="auto" w:sz="2" w:space="0"/>
              <w:right w:val="single" w:color="auto" w:sz="2" w:space="0"/>
            </w:tcBorders>
            <w:vAlign w:val="center"/>
          </w:tcPr>
          <w:p w14:paraId="0CAF7F79">
            <w:pPr>
              <w:spacing w:line="240" w:lineRule="exact"/>
              <w:jc w:val="right"/>
              <w:rPr>
                <w:rFonts w:ascii="宋体" w:hAnsi="宋体" w:eastAsia="宋体" w:cs="宋体"/>
                <w:sz w:val="18"/>
                <w:szCs w:val="18"/>
              </w:rPr>
            </w:pPr>
            <w:r>
              <w:rPr>
                <w:rFonts w:ascii="宋体" w:hAnsi="宋体" w:eastAsia="宋体" w:cs="宋体"/>
                <w:sz w:val="18"/>
                <w:szCs w:val="18"/>
              </w:rPr>
              <w:t>5.92%</w:t>
            </w:r>
          </w:p>
        </w:tc>
        <w:tc>
          <w:tcPr>
            <w:tcW w:w="1606" w:type="dxa"/>
            <w:tcBorders>
              <w:top w:val="single" w:color="auto" w:sz="2" w:space="0"/>
              <w:left w:val="single" w:color="auto" w:sz="2" w:space="0"/>
              <w:bottom w:val="single" w:color="auto" w:sz="2" w:space="0"/>
              <w:right w:val="single" w:color="auto" w:sz="2" w:space="0"/>
            </w:tcBorders>
            <w:vAlign w:val="center"/>
          </w:tcPr>
          <w:p w14:paraId="43B9EBC5">
            <w:pPr>
              <w:spacing w:line="240" w:lineRule="exact"/>
              <w:jc w:val="right"/>
              <w:rPr>
                <w:rFonts w:ascii="宋体" w:hAnsi="宋体" w:eastAsia="宋体" w:cs="宋体"/>
                <w:sz w:val="18"/>
                <w:szCs w:val="18"/>
              </w:rPr>
            </w:pPr>
            <w:r>
              <w:rPr>
                <w:rFonts w:ascii="宋体" w:hAnsi="宋体" w:eastAsia="宋体" w:cs="宋体"/>
                <w:sz w:val="18"/>
                <w:szCs w:val="18"/>
              </w:rPr>
              <w:t>5,000.00</w:t>
            </w:r>
          </w:p>
        </w:tc>
      </w:tr>
      <w:tr w14:paraId="29E0F667">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897A782">
            <w:pPr>
              <w:spacing w:line="240" w:lineRule="exact"/>
              <w:rPr>
                <w:rFonts w:ascii="宋体" w:hAnsi="宋体" w:eastAsia="宋体" w:cs="宋体"/>
                <w:sz w:val="18"/>
                <w:szCs w:val="18"/>
              </w:rPr>
            </w:pPr>
            <w:r>
              <w:rPr>
                <w:rFonts w:ascii="宋体" w:hAnsi="宋体" w:eastAsia="宋体" w:cs="宋体"/>
                <w:sz w:val="18"/>
                <w:szCs w:val="18"/>
              </w:rPr>
              <w:t>台湾客户</w:t>
            </w:r>
          </w:p>
        </w:tc>
        <w:tc>
          <w:tcPr>
            <w:tcW w:w="1606" w:type="dxa"/>
            <w:tcBorders>
              <w:top w:val="single" w:color="auto" w:sz="2" w:space="0"/>
              <w:left w:val="single" w:color="auto" w:sz="2" w:space="0"/>
              <w:bottom w:val="single" w:color="auto" w:sz="2" w:space="0"/>
              <w:right w:val="single" w:color="auto" w:sz="2" w:space="0"/>
            </w:tcBorders>
            <w:vAlign w:val="center"/>
          </w:tcPr>
          <w:p w14:paraId="3D01DB80">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1606" w:type="dxa"/>
            <w:tcBorders>
              <w:top w:val="single" w:color="auto" w:sz="2" w:space="0"/>
              <w:left w:val="single" w:color="auto" w:sz="2" w:space="0"/>
              <w:bottom w:val="single" w:color="auto" w:sz="2" w:space="0"/>
              <w:right w:val="single" w:color="auto" w:sz="2" w:space="0"/>
            </w:tcBorders>
            <w:vAlign w:val="center"/>
          </w:tcPr>
          <w:p w14:paraId="0B4E9CF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1E84C93">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1606" w:type="dxa"/>
            <w:tcBorders>
              <w:top w:val="single" w:color="auto" w:sz="2" w:space="0"/>
              <w:left w:val="single" w:color="auto" w:sz="2" w:space="0"/>
              <w:bottom w:val="single" w:color="auto" w:sz="2" w:space="0"/>
              <w:right w:val="single" w:color="auto" w:sz="2" w:space="0"/>
            </w:tcBorders>
            <w:vAlign w:val="center"/>
          </w:tcPr>
          <w:p w14:paraId="27CEA0FC">
            <w:pPr>
              <w:spacing w:line="240" w:lineRule="exact"/>
              <w:jc w:val="right"/>
              <w:rPr>
                <w:rFonts w:ascii="宋体" w:hAnsi="宋体" w:eastAsia="宋体" w:cs="宋体"/>
                <w:sz w:val="18"/>
                <w:szCs w:val="18"/>
              </w:rPr>
            </w:pPr>
            <w:r>
              <w:rPr>
                <w:rFonts w:ascii="宋体" w:hAnsi="宋体" w:eastAsia="宋体" w:cs="宋体"/>
                <w:sz w:val="18"/>
                <w:szCs w:val="18"/>
              </w:rPr>
              <w:t>5.10%</w:t>
            </w:r>
          </w:p>
        </w:tc>
        <w:tc>
          <w:tcPr>
            <w:tcW w:w="1606" w:type="dxa"/>
            <w:tcBorders>
              <w:top w:val="single" w:color="auto" w:sz="2" w:space="0"/>
              <w:left w:val="single" w:color="auto" w:sz="2" w:space="0"/>
              <w:bottom w:val="single" w:color="auto" w:sz="2" w:space="0"/>
              <w:right w:val="single" w:color="auto" w:sz="2" w:space="0"/>
            </w:tcBorders>
            <w:vAlign w:val="center"/>
          </w:tcPr>
          <w:p w14:paraId="3D02A782">
            <w:pPr>
              <w:spacing w:line="240" w:lineRule="exact"/>
              <w:jc w:val="right"/>
              <w:rPr>
                <w:rFonts w:ascii="宋体" w:hAnsi="宋体" w:eastAsia="宋体" w:cs="宋体"/>
                <w:sz w:val="18"/>
                <w:szCs w:val="18"/>
              </w:rPr>
            </w:pPr>
            <w:r>
              <w:rPr>
                <w:rFonts w:ascii="宋体" w:hAnsi="宋体" w:eastAsia="宋体" w:cs="宋体"/>
                <w:sz w:val="18"/>
                <w:szCs w:val="18"/>
              </w:rPr>
              <w:t>4,309.83</w:t>
            </w:r>
          </w:p>
        </w:tc>
      </w:tr>
      <w:tr w14:paraId="27044AB9">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598E88">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24BDCB54">
            <w:pPr>
              <w:spacing w:line="240" w:lineRule="exact"/>
              <w:jc w:val="right"/>
              <w:rPr>
                <w:rFonts w:ascii="宋体" w:hAnsi="宋体" w:eastAsia="宋体" w:cs="宋体"/>
                <w:sz w:val="18"/>
                <w:szCs w:val="18"/>
              </w:rPr>
            </w:pPr>
            <w:r>
              <w:rPr>
                <w:rFonts w:ascii="宋体" w:hAnsi="宋体" w:eastAsia="宋体" w:cs="宋体"/>
                <w:sz w:val="18"/>
                <w:szCs w:val="18"/>
              </w:rPr>
              <w:t>79,859.83</w:t>
            </w:r>
          </w:p>
        </w:tc>
        <w:tc>
          <w:tcPr>
            <w:tcW w:w="1606" w:type="dxa"/>
            <w:tcBorders>
              <w:top w:val="single" w:color="auto" w:sz="2" w:space="0"/>
              <w:left w:val="single" w:color="auto" w:sz="2" w:space="0"/>
              <w:bottom w:val="single" w:color="auto" w:sz="2" w:space="0"/>
              <w:right w:val="single" w:color="auto" w:sz="2" w:space="0"/>
            </w:tcBorders>
            <w:vAlign w:val="center"/>
          </w:tcPr>
          <w:p w14:paraId="202E19C7">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39FACFA">
            <w:pPr>
              <w:spacing w:line="240" w:lineRule="exact"/>
              <w:jc w:val="right"/>
              <w:rPr>
                <w:rFonts w:ascii="宋体" w:hAnsi="宋体" w:eastAsia="宋体" w:cs="宋体"/>
                <w:sz w:val="18"/>
                <w:szCs w:val="18"/>
              </w:rPr>
            </w:pPr>
            <w:r>
              <w:rPr>
                <w:rFonts w:ascii="宋体" w:hAnsi="宋体" w:eastAsia="宋体" w:cs="宋体"/>
                <w:sz w:val="18"/>
                <w:szCs w:val="18"/>
              </w:rPr>
              <w:t>79,859.83</w:t>
            </w:r>
          </w:p>
        </w:tc>
        <w:tc>
          <w:tcPr>
            <w:tcW w:w="1606" w:type="dxa"/>
            <w:tcBorders>
              <w:top w:val="single" w:color="auto" w:sz="2" w:space="0"/>
              <w:left w:val="single" w:color="auto" w:sz="2" w:space="0"/>
              <w:bottom w:val="single" w:color="auto" w:sz="2" w:space="0"/>
              <w:right w:val="single" w:color="auto" w:sz="2" w:space="0"/>
            </w:tcBorders>
            <w:vAlign w:val="center"/>
          </w:tcPr>
          <w:p w14:paraId="3FBBC9D0">
            <w:pPr>
              <w:spacing w:line="240" w:lineRule="exact"/>
              <w:jc w:val="right"/>
              <w:rPr>
                <w:rFonts w:ascii="宋体" w:hAnsi="宋体" w:eastAsia="宋体" w:cs="宋体"/>
                <w:sz w:val="18"/>
                <w:szCs w:val="18"/>
              </w:rPr>
            </w:pPr>
            <w:r>
              <w:rPr>
                <w:rFonts w:ascii="宋体" w:hAnsi="宋体" w:eastAsia="宋体" w:cs="宋体"/>
                <w:sz w:val="18"/>
                <w:szCs w:val="18"/>
              </w:rPr>
              <w:t>94.66%</w:t>
            </w:r>
          </w:p>
        </w:tc>
        <w:tc>
          <w:tcPr>
            <w:tcW w:w="1606" w:type="dxa"/>
            <w:tcBorders>
              <w:top w:val="single" w:color="auto" w:sz="2" w:space="0"/>
              <w:left w:val="single" w:color="auto" w:sz="2" w:space="0"/>
              <w:bottom w:val="single" w:color="auto" w:sz="2" w:space="0"/>
              <w:right w:val="single" w:color="auto" w:sz="2" w:space="0"/>
            </w:tcBorders>
            <w:vAlign w:val="center"/>
          </w:tcPr>
          <w:p w14:paraId="223A05FC">
            <w:pPr>
              <w:spacing w:line="240" w:lineRule="exact"/>
              <w:jc w:val="right"/>
              <w:rPr>
                <w:rFonts w:ascii="宋体" w:hAnsi="宋体" w:eastAsia="宋体" w:cs="宋体"/>
                <w:sz w:val="18"/>
                <w:szCs w:val="18"/>
              </w:rPr>
            </w:pPr>
            <w:r>
              <w:rPr>
                <w:rFonts w:ascii="宋体" w:hAnsi="宋体" w:eastAsia="宋体" w:cs="宋体"/>
                <w:sz w:val="18"/>
                <w:szCs w:val="18"/>
              </w:rPr>
              <w:t>79,859.83</w:t>
            </w:r>
          </w:p>
        </w:tc>
      </w:tr>
    </w:tbl>
    <w:p w14:paraId="6AB35B32">
      <w:pPr>
        <w:pStyle w:val="3"/>
        <w:spacing w:before="100" w:after="100" w:line="280" w:lineRule="exact"/>
        <w:jc w:val="left"/>
        <w:rPr>
          <w:rFonts w:ascii="宋体" w:hAnsi="宋体" w:cs="宋体"/>
          <w:b/>
          <w:bCs/>
        </w:rPr>
      </w:pPr>
      <w:bookmarkStart w:id="181" w:name="_Toc989070"/>
      <w:r>
        <w:rPr>
          <w:rFonts w:ascii="宋体" w:hAnsi="宋体" w:cs="宋体"/>
          <w:b/>
          <w:bCs/>
        </w:rPr>
        <w:t>6、合同资产</w:t>
      </w:r>
      <w:bookmarkEnd w:id="181"/>
    </w:p>
    <w:p w14:paraId="7DBE6BA5">
      <w:pPr>
        <w:keepNext/>
        <w:keepLines/>
        <w:spacing w:before="100" w:after="100" w:line="280" w:lineRule="exact"/>
        <w:outlineLvl w:val="3"/>
        <w:rPr>
          <w:rFonts w:ascii="宋体" w:hAnsi="宋体" w:eastAsia="宋体" w:cs="宋体"/>
          <w:b/>
          <w:bCs/>
          <w:szCs w:val="21"/>
        </w:rPr>
      </w:pPr>
      <w:bookmarkStart w:id="182" w:name="_Toc989071"/>
      <w:r>
        <w:rPr>
          <w:rFonts w:ascii="宋体" w:hAnsi="宋体" w:eastAsia="宋体" w:cs="宋体"/>
          <w:b/>
          <w:bCs/>
          <w:szCs w:val="21"/>
        </w:rPr>
        <w:t>（1） 合同资产情况</w:t>
      </w:r>
      <w:bookmarkEnd w:id="182"/>
    </w:p>
    <w:p w14:paraId="0D349B05">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6B84121">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2BCEE2">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9AC7331">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7CBF664">
            <w:pPr>
              <w:spacing w:before="10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2A2267E">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45A770EB">
            <w:pPr>
              <w:spacing w:before="100" w:after="100"/>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A3D0B8">
            <w:pPr>
              <w:spacing w:before="100" w:after="10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8B0B84">
            <w:pPr>
              <w:spacing w:before="100" w:after="10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745BDA4">
            <w:pPr>
              <w:spacing w:before="100" w:after="10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890BA2">
            <w:pPr>
              <w:spacing w:before="100" w:after="10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8FEB2A">
            <w:pPr>
              <w:spacing w:before="100" w:after="10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3D95A1">
            <w:pPr>
              <w:spacing w:before="100" w:after="10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61AB83EB">
      <w:pPr>
        <w:keepNext/>
        <w:keepLines/>
        <w:spacing w:before="100" w:after="100" w:line="280" w:lineRule="exact"/>
        <w:outlineLvl w:val="3"/>
        <w:rPr>
          <w:rFonts w:ascii="宋体" w:hAnsi="宋体" w:eastAsia="宋体" w:cs="宋体"/>
          <w:b/>
          <w:bCs/>
          <w:szCs w:val="21"/>
        </w:rPr>
      </w:pPr>
      <w:bookmarkStart w:id="183" w:name="_Toc989072"/>
      <w:r>
        <w:rPr>
          <w:rFonts w:ascii="宋体" w:hAnsi="宋体" w:eastAsia="宋体" w:cs="宋体"/>
          <w:b/>
          <w:bCs/>
          <w:szCs w:val="21"/>
        </w:rPr>
        <w:t>（2） 报告期内账面价值发生的重大变动金额和原因</w:t>
      </w:r>
      <w:bookmarkEnd w:id="183"/>
    </w:p>
    <w:p w14:paraId="0BF0A78A">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993CA7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581274">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C8C442">
            <w:pPr>
              <w:spacing w:before="100" w:after="100" w:line="240" w:lineRule="exact"/>
              <w:jc w:val="center"/>
              <w:rPr>
                <w:rFonts w:ascii="宋体" w:hAnsi="宋体" w:eastAsia="宋体" w:cs="宋体"/>
                <w:sz w:val="18"/>
                <w:szCs w:val="18"/>
              </w:rPr>
            </w:pPr>
            <w:r>
              <w:rPr>
                <w:rFonts w:ascii="宋体" w:hAnsi="宋体" w:eastAsia="宋体" w:cs="宋体"/>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1DE2D5">
            <w:pPr>
              <w:spacing w:before="100" w:after="100" w:line="240" w:lineRule="exact"/>
              <w:jc w:val="center"/>
              <w:rPr>
                <w:rFonts w:ascii="宋体" w:hAnsi="宋体" w:eastAsia="宋体" w:cs="宋体"/>
                <w:sz w:val="18"/>
                <w:szCs w:val="18"/>
              </w:rPr>
            </w:pPr>
            <w:r>
              <w:rPr>
                <w:rFonts w:ascii="宋体" w:hAnsi="宋体" w:eastAsia="宋体" w:cs="宋体"/>
                <w:sz w:val="18"/>
                <w:szCs w:val="18"/>
              </w:rPr>
              <w:t>变动原因</w:t>
            </w:r>
          </w:p>
        </w:tc>
      </w:tr>
    </w:tbl>
    <w:p w14:paraId="25CAFCD7">
      <w:pPr>
        <w:keepNext/>
        <w:keepLines/>
        <w:spacing w:before="100" w:after="100" w:line="280" w:lineRule="exact"/>
        <w:outlineLvl w:val="3"/>
        <w:rPr>
          <w:rFonts w:ascii="宋体" w:hAnsi="宋体" w:eastAsia="宋体" w:cs="宋体"/>
          <w:b/>
          <w:bCs/>
          <w:szCs w:val="21"/>
        </w:rPr>
      </w:pPr>
      <w:bookmarkStart w:id="184" w:name="_Toc989073"/>
      <w:r>
        <w:rPr>
          <w:rFonts w:ascii="宋体" w:hAnsi="宋体" w:eastAsia="宋体" w:cs="宋体"/>
          <w:b/>
          <w:bCs/>
          <w:szCs w:val="21"/>
        </w:rPr>
        <w:t>（3） 按坏账计提方法分类披露</w:t>
      </w:r>
      <w:bookmarkEnd w:id="184"/>
    </w:p>
    <w:p w14:paraId="77529420">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398BD3D2">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098F87">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7D40A4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C9B36A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8B12CBB">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49F981"/>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4F59803">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CD5963D">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F1724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1B92E7D">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8392317">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03ED3E">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33647B84">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0DC72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B9E902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0D8967">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B5D0EB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C0A0ADF">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4FF40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E51F42F">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9116CAA">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C829B70">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91DDE6">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BFA7B99"/>
        </w:tc>
      </w:tr>
      <w:tr w14:paraId="1C6B643D">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30E3561D">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r w14:paraId="6737A5F6">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EF1397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bl>
    <w:p w14:paraId="5CE6ACA0">
      <w:pPr>
        <w:spacing w:before="100" w:after="100" w:line="240" w:lineRule="exact"/>
        <w:rPr>
          <w:rFonts w:ascii="宋体" w:hAnsi="宋体" w:eastAsia="宋体" w:cs="宋体"/>
          <w:sz w:val="18"/>
          <w:szCs w:val="18"/>
        </w:rPr>
      </w:pPr>
      <w:r>
        <w:rPr>
          <w:rFonts w:ascii="宋体" w:hAnsi="宋体" w:eastAsia="宋体" w:cs="宋体"/>
          <w:sz w:val="18"/>
          <w:szCs w:val="18"/>
        </w:rPr>
        <w:t>按预期信用损失一般模型计提坏账准备</w:t>
      </w:r>
    </w:p>
    <w:p w14:paraId="1879634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3E3270A">
      <w:pPr>
        <w:keepNext/>
        <w:keepLines/>
        <w:spacing w:before="100" w:after="100" w:line="280" w:lineRule="exact"/>
        <w:outlineLvl w:val="3"/>
        <w:rPr>
          <w:rFonts w:ascii="宋体" w:hAnsi="宋体" w:eastAsia="宋体" w:cs="宋体"/>
          <w:b/>
          <w:bCs/>
          <w:szCs w:val="21"/>
        </w:rPr>
      </w:pPr>
      <w:bookmarkStart w:id="185" w:name="_Toc989074"/>
      <w:r>
        <w:rPr>
          <w:rFonts w:ascii="宋体" w:hAnsi="宋体" w:eastAsia="宋体" w:cs="宋体"/>
          <w:b/>
          <w:bCs/>
          <w:szCs w:val="21"/>
        </w:rPr>
        <w:t>（4） 本期计提、收回或转回的坏账准备情况</w:t>
      </w:r>
      <w:bookmarkEnd w:id="185"/>
    </w:p>
    <w:p w14:paraId="3C5D6899">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714D0E9A">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8297BC">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04058D">
            <w:pPr>
              <w:spacing w:before="100" w:after="100" w:line="240" w:lineRule="exact"/>
              <w:jc w:val="center"/>
              <w:rPr>
                <w:rFonts w:ascii="宋体" w:hAnsi="宋体" w:eastAsia="宋体" w:cs="宋体"/>
                <w:sz w:val="18"/>
                <w:szCs w:val="18"/>
              </w:rPr>
            </w:pPr>
            <w:r>
              <w:rPr>
                <w:rFonts w:ascii="宋体" w:hAnsi="宋体" w:eastAsia="宋体" w:cs="宋体"/>
                <w:sz w:val="18"/>
                <w:szCs w:val="18"/>
              </w:rPr>
              <w:t>本期计提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55CE89">
            <w:pPr>
              <w:spacing w:before="100" w:after="100" w:line="240" w:lineRule="exact"/>
              <w:jc w:val="center"/>
              <w:rPr>
                <w:rFonts w:ascii="宋体" w:hAnsi="宋体" w:eastAsia="宋体" w:cs="宋体"/>
                <w:sz w:val="18"/>
                <w:szCs w:val="18"/>
              </w:rPr>
            </w:pPr>
            <w:r>
              <w:rPr>
                <w:rFonts w:ascii="宋体" w:hAnsi="宋体" w:eastAsia="宋体" w:cs="宋体"/>
                <w:sz w:val="18"/>
                <w:szCs w:val="18"/>
              </w:rPr>
              <w:t>本期收回或转回</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AE12F38">
            <w:pPr>
              <w:spacing w:before="100" w:after="100" w:line="240" w:lineRule="exact"/>
              <w:jc w:val="center"/>
              <w:rPr>
                <w:rFonts w:ascii="宋体" w:hAnsi="宋体" w:eastAsia="宋体" w:cs="宋体"/>
                <w:sz w:val="18"/>
                <w:szCs w:val="18"/>
              </w:rPr>
            </w:pPr>
            <w:r>
              <w:rPr>
                <w:rFonts w:ascii="宋体" w:hAnsi="宋体" w:eastAsia="宋体" w:cs="宋体"/>
                <w:sz w:val="18"/>
                <w:szCs w:val="18"/>
              </w:rPr>
              <w:t>本期转销/核销</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DD3BD3">
            <w:pPr>
              <w:spacing w:before="100" w:after="100" w:line="240" w:lineRule="exact"/>
              <w:jc w:val="center"/>
              <w:rPr>
                <w:rFonts w:ascii="宋体" w:hAnsi="宋体" w:eastAsia="宋体" w:cs="宋体"/>
                <w:sz w:val="18"/>
                <w:szCs w:val="18"/>
              </w:rPr>
            </w:pPr>
            <w:r>
              <w:rPr>
                <w:rFonts w:ascii="宋体" w:hAnsi="宋体" w:eastAsia="宋体" w:cs="宋体"/>
                <w:sz w:val="18"/>
                <w:szCs w:val="18"/>
              </w:rPr>
              <w:t>原因</w:t>
            </w:r>
          </w:p>
        </w:tc>
      </w:tr>
    </w:tbl>
    <w:p w14:paraId="34361B03">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1AB71FAE">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665FA6A">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4704AA">
            <w:pPr>
              <w:spacing w:before="100" w:after="10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8ADF47">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A46176">
            <w:pPr>
              <w:spacing w:before="100" w:after="10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3BCE53">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67138F">
            <w:pPr>
              <w:spacing w:before="100" w:after="10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51448774">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4D0D49E7">
      <w:pPr>
        <w:spacing w:before="100" w:after="100"/>
      </w:pPr>
    </w:p>
    <w:p w14:paraId="11D8F7D1">
      <w:pPr>
        <w:keepNext/>
        <w:keepLines/>
        <w:spacing w:before="100" w:after="100" w:line="280" w:lineRule="exact"/>
        <w:outlineLvl w:val="3"/>
        <w:rPr>
          <w:rFonts w:ascii="宋体" w:hAnsi="宋体" w:eastAsia="宋体" w:cs="宋体"/>
          <w:b/>
          <w:bCs/>
          <w:szCs w:val="21"/>
        </w:rPr>
      </w:pPr>
      <w:bookmarkStart w:id="186" w:name="_Toc989075"/>
      <w:r>
        <w:rPr>
          <w:rFonts w:ascii="宋体" w:hAnsi="宋体" w:eastAsia="宋体" w:cs="宋体"/>
          <w:b/>
          <w:bCs/>
          <w:szCs w:val="21"/>
        </w:rPr>
        <w:t>（5） 本期实际核销的合同资产情况</w:t>
      </w:r>
      <w:bookmarkEnd w:id="186"/>
    </w:p>
    <w:p w14:paraId="4BA7B8A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73F530E0">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C64EE6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71B0E02">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2060EC86">
      <w:pPr>
        <w:spacing w:line="240" w:lineRule="exact"/>
        <w:rPr>
          <w:rFonts w:ascii="宋体" w:hAnsi="宋体" w:eastAsia="宋体" w:cs="宋体"/>
          <w:sz w:val="18"/>
          <w:szCs w:val="18"/>
        </w:rPr>
      </w:pPr>
      <w:r>
        <w:rPr>
          <w:rFonts w:ascii="宋体" w:hAnsi="宋体" w:eastAsia="宋体" w:cs="宋体"/>
          <w:sz w:val="18"/>
          <w:szCs w:val="18"/>
        </w:rPr>
        <w:t>其中重要的合同资产核销情况</w:t>
      </w:r>
    </w:p>
    <w:p w14:paraId="415EA0E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74FCBF2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50928A">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12AE4C">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B55E3F">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FED590C">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7E0A1C">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56AB78">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35275E61">
      <w:pPr>
        <w:spacing w:before="100" w:after="100" w:line="240" w:lineRule="exact"/>
      </w:pPr>
      <w:r>
        <w:rPr>
          <w:rFonts w:ascii="宋体" w:hAnsi="宋体" w:eastAsia="宋体" w:cs="宋体"/>
          <w:sz w:val="18"/>
          <w:szCs w:val="18"/>
        </w:rPr>
        <w:t>合同资产核销说明：</w:t>
      </w:r>
    </w:p>
    <w:p w14:paraId="727C7C03">
      <w:pPr>
        <w:spacing w:before="100" w:after="100" w:line="240" w:lineRule="exact"/>
      </w:pPr>
      <w:r>
        <w:rPr>
          <w:rFonts w:ascii="宋体" w:hAnsi="宋体" w:eastAsia="宋体" w:cs="宋体"/>
          <w:sz w:val="18"/>
          <w:szCs w:val="18"/>
        </w:rPr>
        <w:t>其他说明：</w:t>
      </w:r>
    </w:p>
    <w:p w14:paraId="2CAE80B8">
      <w:pPr>
        <w:pStyle w:val="3"/>
        <w:spacing w:before="100" w:after="100" w:line="280" w:lineRule="exact"/>
        <w:jc w:val="left"/>
        <w:rPr>
          <w:rFonts w:ascii="宋体" w:hAnsi="宋体" w:cs="宋体"/>
          <w:b/>
          <w:bCs/>
        </w:rPr>
      </w:pPr>
      <w:bookmarkStart w:id="187" w:name="_Toc989076"/>
      <w:r>
        <w:rPr>
          <w:rFonts w:ascii="宋体" w:hAnsi="宋体" w:cs="宋体"/>
          <w:b/>
          <w:bCs/>
        </w:rPr>
        <w:t>7、应收款项融资</w:t>
      </w:r>
      <w:bookmarkEnd w:id="187"/>
    </w:p>
    <w:p w14:paraId="3D8CCF9C">
      <w:pPr>
        <w:keepNext/>
        <w:keepLines/>
        <w:spacing w:before="100" w:after="100" w:line="280" w:lineRule="exact"/>
        <w:outlineLvl w:val="3"/>
        <w:rPr>
          <w:rFonts w:ascii="宋体" w:hAnsi="宋体" w:eastAsia="宋体" w:cs="宋体"/>
          <w:b/>
          <w:bCs/>
          <w:szCs w:val="21"/>
        </w:rPr>
      </w:pPr>
      <w:bookmarkStart w:id="188" w:name="_Toc989077"/>
      <w:r>
        <w:rPr>
          <w:rFonts w:ascii="宋体" w:hAnsi="宋体" w:eastAsia="宋体" w:cs="宋体"/>
          <w:b/>
          <w:bCs/>
          <w:szCs w:val="21"/>
        </w:rPr>
        <w:t>（1） 应收款项融资分类列示</w:t>
      </w:r>
      <w:bookmarkEnd w:id="188"/>
    </w:p>
    <w:p w14:paraId="5E05796C">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9982F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1017B4">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6A0458">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358766">
            <w:pPr>
              <w:spacing w:before="10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E5EF948">
      <w:pPr>
        <w:keepNext/>
        <w:keepLines/>
        <w:spacing w:before="100" w:after="100" w:line="280" w:lineRule="exact"/>
        <w:outlineLvl w:val="3"/>
        <w:rPr>
          <w:rFonts w:ascii="宋体" w:hAnsi="宋体" w:eastAsia="宋体" w:cs="宋体"/>
          <w:b/>
          <w:bCs/>
          <w:szCs w:val="21"/>
        </w:rPr>
      </w:pPr>
      <w:bookmarkStart w:id="189" w:name="_Toc989078"/>
      <w:r>
        <w:rPr>
          <w:rFonts w:ascii="宋体" w:hAnsi="宋体" w:eastAsia="宋体" w:cs="宋体"/>
          <w:b/>
          <w:bCs/>
          <w:szCs w:val="21"/>
        </w:rPr>
        <w:t>（2） 按坏账计提方法分类披露</w:t>
      </w:r>
      <w:bookmarkEnd w:id="189"/>
    </w:p>
    <w:p w14:paraId="6C8DEC7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129196B3">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B64D21">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BB9BD0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F95D82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7145C21">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4F1EA6"/>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457CD6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76FAF1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29C50C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1D2E8AF">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33562FA">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23161E">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7BE16A6C">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1F590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4A6F88C">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99E3A2">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EBE9059">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B47FA5">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A91CA9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614C630">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03EB0A">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F5CC309">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B31965">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E20B88"/>
        </w:tc>
      </w:tr>
      <w:tr w14:paraId="0C8E82DB">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11BCA18E">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r w14:paraId="4BE031B1">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23EBCDC">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bl>
    <w:p w14:paraId="72DF311C">
      <w:pPr>
        <w:spacing w:line="240" w:lineRule="exact"/>
        <w:rPr>
          <w:rFonts w:ascii="宋体" w:hAnsi="宋体" w:eastAsia="宋体" w:cs="宋体"/>
          <w:sz w:val="18"/>
          <w:szCs w:val="18"/>
        </w:rPr>
      </w:pPr>
      <w:r>
        <w:rPr>
          <w:rFonts w:ascii="宋体" w:hAnsi="宋体" w:eastAsia="宋体" w:cs="宋体"/>
          <w:sz w:val="18"/>
          <w:szCs w:val="18"/>
        </w:rPr>
        <w:t>按预期信用损失一般模型计提坏账准备</w:t>
      </w:r>
    </w:p>
    <w:p w14:paraId="776BE8E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BFFA85A">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D27E6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48B800">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C78569">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55DA77">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AAEAD4">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345DBD3B">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9EA364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31E4E3">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A26CC27">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72DF63">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F0D664"/>
        </w:tc>
      </w:tr>
      <w:tr w14:paraId="3EC871E3">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B314080">
            <w:pPr>
              <w:spacing w:before="40" w:after="40" w:line="240" w:lineRule="exac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842D96"/>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D5D173"/>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D0E94A"/>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92A4C9"/>
        </w:tc>
      </w:tr>
    </w:tbl>
    <w:p w14:paraId="0268A8F9">
      <w:pPr>
        <w:spacing w:before="100" w:after="100" w:line="240" w:lineRule="exact"/>
      </w:pPr>
      <w:r>
        <w:rPr>
          <w:rFonts w:ascii="宋体" w:hAnsi="宋体" w:eastAsia="宋体" w:cs="宋体"/>
          <w:sz w:val="18"/>
          <w:szCs w:val="18"/>
        </w:rPr>
        <w:t>各阶段划分依据和坏账准备计提比例</w:t>
      </w:r>
    </w:p>
    <w:p w14:paraId="6A0CF578">
      <w:pPr>
        <w:spacing w:before="100" w:after="100" w:line="240" w:lineRule="exact"/>
      </w:pPr>
      <w:r>
        <w:rPr>
          <w:rFonts w:ascii="宋体" w:hAnsi="宋体" w:eastAsia="宋体" w:cs="宋体"/>
          <w:sz w:val="18"/>
          <w:szCs w:val="18"/>
        </w:rPr>
        <w:t>对本期发生损失准备变动的应收款项融资账面余额显著变动的情况说明：</w:t>
      </w:r>
    </w:p>
    <w:p w14:paraId="0E31ED5B">
      <w:pPr>
        <w:keepNext/>
        <w:keepLines/>
        <w:spacing w:before="100" w:after="100" w:line="280" w:lineRule="exact"/>
        <w:outlineLvl w:val="3"/>
        <w:rPr>
          <w:rFonts w:ascii="宋体" w:hAnsi="宋体" w:eastAsia="宋体" w:cs="宋体"/>
          <w:b/>
          <w:bCs/>
          <w:szCs w:val="21"/>
        </w:rPr>
      </w:pPr>
      <w:bookmarkStart w:id="190" w:name="_Toc989079"/>
      <w:r>
        <w:rPr>
          <w:rFonts w:ascii="宋体" w:hAnsi="宋体" w:eastAsia="宋体" w:cs="宋体"/>
          <w:b/>
          <w:bCs/>
          <w:szCs w:val="21"/>
        </w:rPr>
        <w:t>（3） 本期计提、收回或转回的坏账准备的情况</w:t>
      </w:r>
      <w:bookmarkEnd w:id="190"/>
    </w:p>
    <w:p w14:paraId="2C6B6E69">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CDDC71C">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0778E62">
            <w:pPr>
              <w:spacing w:before="100" w:after="10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9E1014">
            <w:pPr>
              <w:spacing w:before="10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BDBBE3C">
            <w:pPr>
              <w:spacing w:before="100" w:after="10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1DDE16">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CA147B1">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2C6433">
            <w:pPr>
              <w:spacing w:before="100" w:after="100"/>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0CC8FF">
            <w:pPr>
              <w:spacing w:before="100" w:after="100"/>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87E1FC">
            <w:pPr>
              <w:spacing w:before="100" w:after="10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F56A6C">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7007E09">
            <w:pPr>
              <w:spacing w:before="100" w:after="10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8F00014">
            <w:pPr>
              <w:spacing w:before="100" w:after="10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3FCCD1">
            <w:pPr>
              <w:spacing w:before="100" w:after="100"/>
            </w:pPr>
          </w:p>
        </w:tc>
      </w:tr>
    </w:tbl>
    <w:p w14:paraId="22481C02">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43672FE0">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ACD60F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A47239">
            <w:pPr>
              <w:spacing w:before="100" w:after="10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BEEA59">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231128D">
            <w:pPr>
              <w:spacing w:before="100" w:after="10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A18A3B">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40DF90">
            <w:pPr>
              <w:spacing w:before="100" w:after="10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215BD71D">
      <w:pPr>
        <w:spacing w:before="100" w:after="100" w:line="240" w:lineRule="exact"/>
      </w:pPr>
      <w:r>
        <w:rPr>
          <w:rFonts w:ascii="宋体" w:hAnsi="宋体" w:eastAsia="宋体" w:cs="宋体"/>
          <w:sz w:val="18"/>
          <w:szCs w:val="18"/>
        </w:rPr>
        <w:t>其他说明：</w:t>
      </w:r>
    </w:p>
    <w:p w14:paraId="5B583D90">
      <w:pPr>
        <w:keepNext/>
        <w:keepLines/>
        <w:spacing w:before="100" w:after="100" w:line="280" w:lineRule="exact"/>
        <w:outlineLvl w:val="3"/>
        <w:rPr>
          <w:rFonts w:ascii="宋体" w:hAnsi="宋体" w:eastAsia="宋体" w:cs="宋体"/>
          <w:b/>
          <w:bCs/>
          <w:szCs w:val="21"/>
        </w:rPr>
      </w:pPr>
      <w:bookmarkStart w:id="191" w:name="_Toc989080"/>
      <w:r>
        <w:rPr>
          <w:rFonts w:ascii="宋体" w:hAnsi="宋体" w:eastAsia="宋体" w:cs="宋体"/>
          <w:b/>
          <w:bCs/>
          <w:szCs w:val="21"/>
        </w:rPr>
        <w:t>（4） 期末公司已质押的应收款项融资</w:t>
      </w:r>
      <w:bookmarkEnd w:id="191"/>
    </w:p>
    <w:p w14:paraId="633EA8D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1FFB974B">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5DFE65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993A3B1">
            <w:pPr>
              <w:spacing w:before="40" w:after="40" w:line="240" w:lineRule="exact"/>
              <w:jc w:val="center"/>
              <w:rPr>
                <w:rFonts w:ascii="宋体" w:hAnsi="宋体" w:eastAsia="宋体" w:cs="宋体"/>
                <w:sz w:val="18"/>
                <w:szCs w:val="18"/>
              </w:rPr>
            </w:pPr>
            <w:r>
              <w:rPr>
                <w:rFonts w:ascii="宋体" w:hAnsi="宋体" w:eastAsia="宋体" w:cs="宋体"/>
                <w:sz w:val="18"/>
                <w:szCs w:val="18"/>
              </w:rPr>
              <w:t>期末已质押金额</w:t>
            </w:r>
          </w:p>
        </w:tc>
      </w:tr>
    </w:tbl>
    <w:p w14:paraId="11E7D17F">
      <w:pPr>
        <w:keepNext/>
        <w:keepLines/>
        <w:spacing w:before="100" w:after="100" w:line="280" w:lineRule="exact"/>
        <w:outlineLvl w:val="3"/>
        <w:rPr>
          <w:rFonts w:ascii="宋体" w:hAnsi="宋体" w:eastAsia="宋体" w:cs="宋体"/>
          <w:b/>
          <w:bCs/>
          <w:szCs w:val="21"/>
        </w:rPr>
      </w:pPr>
      <w:bookmarkStart w:id="192" w:name="_Toc989081"/>
      <w:r>
        <w:rPr>
          <w:rFonts w:ascii="宋体" w:hAnsi="宋体" w:eastAsia="宋体" w:cs="宋体"/>
          <w:b/>
          <w:bCs/>
          <w:szCs w:val="21"/>
        </w:rPr>
        <w:t>（5） 期末公司已背书或贴现且在资产负债表日尚未到期的应收款项融资</w:t>
      </w:r>
      <w:bookmarkEnd w:id="192"/>
    </w:p>
    <w:p w14:paraId="055C9FED">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20F8B1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6FEFB5">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4BDDD3">
            <w:pPr>
              <w:spacing w:before="100" w:after="100" w:line="240" w:lineRule="exact"/>
              <w:jc w:val="center"/>
              <w:rPr>
                <w:rFonts w:ascii="宋体" w:hAnsi="宋体" w:eastAsia="宋体" w:cs="宋体"/>
                <w:sz w:val="18"/>
                <w:szCs w:val="18"/>
              </w:rPr>
            </w:pPr>
            <w:r>
              <w:rPr>
                <w:rFonts w:ascii="宋体" w:hAnsi="宋体" w:eastAsia="宋体" w:cs="宋体"/>
                <w:sz w:val="18"/>
                <w:szCs w:val="18"/>
              </w:rPr>
              <w:t>期末终止确认金额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89D726">
            <w:pPr>
              <w:spacing w:before="100" w:after="100" w:line="240" w:lineRule="exact"/>
              <w:jc w:val="center"/>
              <w:rPr>
                <w:rFonts w:ascii="宋体" w:hAnsi="宋体" w:eastAsia="宋体" w:cs="宋体"/>
                <w:sz w:val="18"/>
                <w:szCs w:val="18"/>
              </w:rPr>
            </w:pPr>
            <w:r>
              <w:rPr>
                <w:rFonts w:ascii="宋体" w:hAnsi="宋体" w:eastAsia="宋体" w:cs="宋体"/>
                <w:sz w:val="18"/>
                <w:szCs w:val="18"/>
              </w:rPr>
              <w:t>期末未终止确认金额</w:t>
            </w:r>
          </w:p>
        </w:tc>
      </w:tr>
    </w:tbl>
    <w:p w14:paraId="09570935">
      <w:pPr>
        <w:keepNext/>
        <w:keepLines/>
        <w:spacing w:before="100" w:after="100" w:line="280" w:lineRule="exact"/>
        <w:outlineLvl w:val="3"/>
        <w:rPr>
          <w:rFonts w:ascii="宋体" w:hAnsi="宋体" w:eastAsia="宋体" w:cs="宋体"/>
          <w:b/>
          <w:bCs/>
          <w:szCs w:val="21"/>
        </w:rPr>
      </w:pPr>
      <w:bookmarkStart w:id="193" w:name="_Toc989082"/>
      <w:r>
        <w:rPr>
          <w:rFonts w:ascii="宋体" w:hAnsi="宋体" w:eastAsia="宋体" w:cs="宋体"/>
          <w:b/>
          <w:bCs/>
          <w:szCs w:val="21"/>
        </w:rPr>
        <w:t>（6） 本期实际核销的应收款项融资情况</w:t>
      </w:r>
      <w:bookmarkEnd w:id="193"/>
    </w:p>
    <w:p w14:paraId="6B08FDA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A603A30">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2F81A3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312269E">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18A52585">
      <w:pPr>
        <w:spacing w:line="0" w:lineRule="atLeast"/>
      </w:pPr>
    </w:p>
    <w:p w14:paraId="129D303E">
      <w:pPr>
        <w:spacing w:line="240" w:lineRule="exact"/>
        <w:rPr>
          <w:rFonts w:ascii="宋体" w:hAnsi="宋体" w:eastAsia="宋体" w:cs="宋体"/>
          <w:sz w:val="18"/>
          <w:szCs w:val="18"/>
        </w:rPr>
      </w:pPr>
      <w:r>
        <w:rPr>
          <w:rFonts w:ascii="宋体" w:hAnsi="宋体" w:eastAsia="宋体" w:cs="宋体"/>
          <w:sz w:val="18"/>
          <w:szCs w:val="18"/>
        </w:rPr>
        <w:t>其中重要的应收款项融资核销情况</w:t>
      </w:r>
    </w:p>
    <w:p w14:paraId="3350749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1D250E8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095BC4B">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655140">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EAF371">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8A252B">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C0CAD9">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32B3B4">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11E60BC1">
      <w:pPr>
        <w:spacing w:before="100" w:after="100" w:line="240" w:lineRule="exact"/>
      </w:pPr>
      <w:r>
        <w:rPr>
          <w:rFonts w:ascii="宋体" w:hAnsi="宋体" w:eastAsia="宋体" w:cs="宋体"/>
          <w:sz w:val="18"/>
          <w:szCs w:val="18"/>
        </w:rPr>
        <w:t>核销说明：</w:t>
      </w:r>
    </w:p>
    <w:p w14:paraId="41EFBDA1">
      <w:pPr>
        <w:keepNext/>
        <w:keepLines/>
        <w:spacing w:before="100" w:after="100" w:line="280" w:lineRule="exact"/>
        <w:outlineLvl w:val="3"/>
      </w:pPr>
      <w:bookmarkStart w:id="194" w:name="_Toc989083"/>
      <w:r>
        <w:rPr>
          <w:rFonts w:ascii="宋体" w:hAnsi="宋体" w:eastAsia="宋体" w:cs="宋体"/>
          <w:b/>
          <w:bCs/>
          <w:szCs w:val="21"/>
        </w:rPr>
        <w:t>（7） 应收款项融资本期增减变动及公允价值变动情况</w:t>
      </w:r>
      <w:bookmarkEnd w:id="194"/>
    </w:p>
    <w:p w14:paraId="395D76BA">
      <w:pPr>
        <w:keepNext/>
        <w:keepLines/>
        <w:spacing w:before="100" w:after="100" w:line="280" w:lineRule="exact"/>
        <w:outlineLvl w:val="3"/>
      </w:pPr>
      <w:bookmarkStart w:id="195" w:name="_Toc989084"/>
      <w:r>
        <w:rPr>
          <w:rFonts w:ascii="宋体" w:hAnsi="宋体" w:eastAsia="宋体" w:cs="宋体"/>
          <w:b/>
          <w:bCs/>
          <w:szCs w:val="21"/>
        </w:rPr>
        <w:t>（8） 其他说明</w:t>
      </w:r>
      <w:bookmarkEnd w:id="195"/>
    </w:p>
    <w:p w14:paraId="51A085BA">
      <w:pPr>
        <w:pStyle w:val="3"/>
        <w:spacing w:before="100" w:after="100" w:line="280" w:lineRule="exact"/>
        <w:jc w:val="left"/>
        <w:rPr>
          <w:rFonts w:ascii="宋体" w:hAnsi="宋体" w:cs="宋体"/>
          <w:b/>
          <w:bCs/>
        </w:rPr>
      </w:pPr>
      <w:bookmarkStart w:id="196" w:name="_Toc989085"/>
      <w:r>
        <w:rPr>
          <w:rFonts w:ascii="宋体" w:hAnsi="宋体" w:cs="宋体"/>
          <w:b/>
          <w:bCs/>
        </w:rPr>
        <w:t>8、其他应收款</w:t>
      </w:r>
      <w:bookmarkEnd w:id="196"/>
    </w:p>
    <w:p w14:paraId="16370757">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2518F4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21551E">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CB48CD">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B49F57">
            <w:pPr>
              <w:spacing w:before="10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6111AD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F2FD0B">
            <w:pPr>
              <w:spacing w:before="100" w:after="100" w:line="240" w:lineRule="exac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6DE2962A">
            <w:pPr>
              <w:spacing w:before="100" w:after="100" w:line="240" w:lineRule="exact"/>
              <w:jc w:val="right"/>
              <w:rPr>
                <w:rFonts w:ascii="宋体" w:hAnsi="宋体" w:eastAsia="宋体" w:cs="宋体"/>
                <w:sz w:val="18"/>
                <w:szCs w:val="18"/>
              </w:rPr>
            </w:pPr>
            <w:r>
              <w:rPr>
                <w:rFonts w:ascii="宋体" w:hAnsi="宋体" w:eastAsia="宋体" w:cs="宋体"/>
                <w:sz w:val="18"/>
                <w:szCs w:val="18"/>
              </w:rPr>
              <w:t>518,392.54</w:t>
            </w:r>
          </w:p>
        </w:tc>
        <w:tc>
          <w:tcPr>
            <w:tcW w:w="3213" w:type="dxa"/>
            <w:tcBorders>
              <w:top w:val="single" w:color="auto" w:sz="2" w:space="0"/>
              <w:left w:val="single" w:color="auto" w:sz="2" w:space="0"/>
              <w:bottom w:val="single" w:color="auto" w:sz="2" w:space="0"/>
              <w:right w:val="single" w:color="auto" w:sz="2" w:space="0"/>
            </w:tcBorders>
            <w:vAlign w:val="center"/>
          </w:tcPr>
          <w:p w14:paraId="28A7BD2C">
            <w:pPr>
              <w:spacing w:before="100" w:after="100" w:line="240" w:lineRule="exact"/>
              <w:jc w:val="right"/>
              <w:rPr>
                <w:rFonts w:ascii="宋体" w:hAnsi="宋体" w:eastAsia="宋体" w:cs="宋体"/>
                <w:sz w:val="18"/>
                <w:szCs w:val="18"/>
              </w:rPr>
            </w:pPr>
            <w:r>
              <w:rPr>
                <w:rFonts w:ascii="宋体" w:hAnsi="宋体" w:eastAsia="宋体" w:cs="宋体"/>
                <w:sz w:val="18"/>
                <w:szCs w:val="18"/>
              </w:rPr>
              <w:t>329,993.87</w:t>
            </w:r>
          </w:p>
        </w:tc>
      </w:tr>
      <w:tr w14:paraId="41F619F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3EE254">
            <w:pPr>
              <w:spacing w:before="100" w:after="10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C7D638B">
            <w:pPr>
              <w:spacing w:before="100" w:after="100" w:line="240" w:lineRule="exact"/>
              <w:jc w:val="right"/>
              <w:rPr>
                <w:rFonts w:ascii="宋体" w:hAnsi="宋体" w:eastAsia="宋体" w:cs="宋体"/>
                <w:sz w:val="18"/>
                <w:szCs w:val="18"/>
              </w:rPr>
            </w:pPr>
            <w:r>
              <w:rPr>
                <w:rFonts w:ascii="宋体" w:hAnsi="宋体" w:eastAsia="宋体" w:cs="宋体"/>
                <w:sz w:val="18"/>
                <w:szCs w:val="18"/>
              </w:rPr>
              <w:t>518,392.54</w:t>
            </w:r>
          </w:p>
        </w:tc>
        <w:tc>
          <w:tcPr>
            <w:tcW w:w="3213" w:type="dxa"/>
            <w:tcBorders>
              <w:top w:val="single" w:color="auto" w:sz="2" w:space="0"/>
              <w:left w:val="single" w:color="auto" w:sz="2" w:space="0"/>
              <w:bottom w:val="single" w:color="auto" w:sz="2" w:space="0"/>
              <w:right w:val="single" w:color="auto" w:sz="2" w:space="0"/>
            </w:tcBorders>
            <w:vAlign w:val="center"/>
          </w:tcPr>
          <w:p w14:paraId="116099B9">
            <w:pPr>
              <w:spacing w:before="100" w:after="100" w:line="240" w:lineRule="exact"/>
              <w:jc w:val="right"/>
              <w:rPr>
                <w:rFonts w:ascii="宋体" w:hAnsi="宋体" w:eastAsia="宋体" w:cs="宋体"/>
                <w:sz w:val="18"/>
                <w:szCs w:val="18"/>
              </w:rPr>
            </w:pPr>
            <w:r>
              <w:rPr>
                <w:rFonts w:ascii="宋体" w:hAnsi="宋体" w:eastAsia="宋体" w:cs="宋体"/>
                <w:sz w:val="18"/>
                <w:szCs w:val="18"/>
              </w:rPr>
              <w:t>329,993.87</w:t>
            </w:r>
          </w:p>
        </w:tc>
      </w:tr>
    </w:tbl>
    <w:p w14:paraId="194EBE59">
      <w:pPr>
        <w:keepNext/>
        <w:keepLines/>
        <w:spacing w:before="100" w:after="100" w:line="280" w:lineRule="exact"/>
        <w:outlineLvl w:val="3"/>
        <w:rPr>
          <w:rFonts w:ascii="宋体" w:hAnsi="宋体" w:eastAsia="宋体" w:cs="宋体"/>
          <w:b/>
          <w:bCs/>
          <w:szCs w:val="21"/>
        </w:rPr>
      </w:pPr>
      <w:bookmarkStart w:id="197" w:name="_Toc989086"/>
      <w:r>
        <w:rPr>
          <w:rFonts w:ascii="宋体" w:hAnsi="宋体" w:eastAsia="宋体" w:cs="宋体"/>
          <w:b/>
          <w:bCs/>
          <w:szCs w:val="21"/>
        </w:rPr>
        <w:t>（1） 应收利息</w:t>
      </w:r>
      <w:bookmarkEnd w:id="197"/>
    </w:p>
    <w:p w14:paraId="7CE916D9">
      <w:pPr>
        <w:keepNext/>
        <w:keepLines/>
        <w:spacing w:before="100" w:after="100" w:line="280" w:lineRule="exact"/>
        <w:outlineLvl w:val="4"/>
        <w:rPr>
          <w:rFonts w:ascii="宋体" w:hAnsi="宋体" w:eastAsia="宋体" w:cs="宋体"/>
          <w:b/>
          <w:bCs/>
          <w:szCs w:val="21"/>
        </w:rPr>
      </w:pPr>
      <w:bookmarkStart w:id="198" w:name="_Toc989087"/>
      <w:r>
        <w:rPr>
          <w:rFonts w:ascii="宋体" w:hAnsi="宋体" w:eastAsia="宋体" w:cs="宋体"/>
          <w:b/>
          <w:bCs/>
          <w:szCs w:val="21"/>
        </w:rPr>
        <w:t>1） 应收利息分类</w:t>
      </w:r>
      <w:bookmarkEnd w:id="198"/>
    </w:p>
    <w:p w14:paraId="151E7DB8">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BFA2CD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C9AB1F">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B6B5B4">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659462">
            <w:pPr>
              <w:spacing w:before="10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179751FB">
      <w:pPr>
        <w:keepNext/>
        <w:keepLines/>
        <w:spacing w:before="100" w:after="100" w:line="280" w:lineRule="exact"/>
        <w:outlineLvl w:val="4"/>
        <w:rPr>
          <w:rFonts w:ascii="宋体" w:hAnsi="宋体" w:eastAsia="宋体" w:cs="宋体"/>
          <w:b/>
          <w:bCs/>
          <w:szCs w:val="21"/>
        </w:rPr>
      </w:pPr>
      <w:bookmarkStart w:id="199" w:name="_Toc989088"/>
      <w:r>
        <w:rPr>
          <w:rFonts w:ascii="宋体" w:hAnsi="宋体" w:eastAsia="宋体" w:cs="宋体"/>
          <w:b/>
          <w:bCs/>
          <w:szCs w:val="21"/>
        </w:rPr>
        <w:t>2） 重要逾期利息</w:t>
      </w:r>
      <w:bookmarkEnd w:id="199"/>
    </w:p>
    <w:p w14:paraId="2330D929">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D3B566F">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07BE9B">
            <w:pPr>
              <w:spacing w:before="100" w:after="10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280970">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FEF252">
            <w:pPr>
              <w:spacing w:before="100" w:after="100" w:line="240" w:lineRule="exact"/>
              <w:jc w:val="center"/>
              <w:rPr>
                <w:rFonts w:ascii="宋体" w:hAnsi="宋体" w:eastAsia="宋体" w:cs="宋体"/>
                <w:sz w:val="18"/>
                <w:szCs w:val="18"/>
              </w:rPr>
            </w:pPr>
            <w:r>
              <w:rPr>
                <w:rFonts w:ascii="宋体" w:hAnsi="宋体" w:eastAsia="宋体" w:cs="宋体"/>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A2E517">
            <w:pPr>
              <w:spacing w:before="100" w:after="100" w:line="240" w:lineRule="exact"/>
              <w:jc w:val="center"/>
              <w:rPr>
                <w:rFonts w:ascii="宋体" w:hAnsi="宋体" w:eastAsia="宋体" w:cs="宋体"/>
                <w:sz w:val="18"/>
                <w:szCs w:val="18"/>
              </w:rPr>
            </w:pPr>
            <w:r>
              <w:rPr>
                <w:rFonts w:ascii="宋体" w:hAnsi="宋体" w:eastAsia="宋体" w:cs="宋体"/>
                <w:sz w:val="18"/>
                <w:szCs w:val="18"/>
              </w:rPr>
              <w:t>逾期原因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3B9120">
            <w:pPr>
              <w:spacing w:before="100" w:after="10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03A71384">
      <w:pPr>
        <w:spacing w:before="100" w:after="100" w:line="240" w:lineRule="exact"/>
      </w:pPr>
      <w:r>
        <w:rPr>
          <w:rFonts w:ascii="宋体" w:hAnsi="宋体" w:eastAsia="宋体" w:cs="宋体"/>
          <w:sz w:val="18"/>
          <w:szCs w:val="18"/>
        </w:rPr>
        <w:t>其他说明：</w:t>
      </w:r>
    </w:p>
    <w:p w14:paraId="3BA46AAC">
      <w:pPr>
        <w:keepNext/>
        <w:keepLines/>
        <w:spacing w:before="100" w:after="100" w:line="280" w:lineRule="exact"/>
        <w:outlineLvl w:val="4"/>
        <w:rPr>
          <w:rFonts w:ascii="宋体" w:hAnsi="宋体" w:eastAsia="宋体" w:cs="宋体"/>
          <w:b/>
          <w:bCs/>
          <w:szCs w:val="21"/>
        </w:rPr>
      </w:pPr>
      <w:bookmarkStart w:id="200" w:name="_Toc989089"/>
      <w:r>
        <w:rPr>
          <w:rFonts w:ascii="宋体" w:hAnsi="宋体" w:eastAsia="宋体" w:cs="宋体"/>
          <w:b/>
          <w:bCs/>
          <w:szCs w:val="21"/>
        </w:rPr>
        <w:t>3） 按坏账计提方法分类披露</w:t>
      </w:r>
      <w:bookmarkEnd w:id="200"/>
    </w:p>
    <w:p w14:paraId="2D9D196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EE48B36">
      <w:pPr>
        <w:keepNext/>
        <w:keepLines/>
        <w:spacing w:before="100" w:after="100" w:line="280" w:lineRule="exact"/>
        <w:outlineLvl w:val="4"/>
        <w:rPr>
          <w:rFonts w:ascii="宋体" w:hAnsi="宋体" w:eastAsia="宋体" w:cs="宋体"/>
          <w:b/>
          <w:bCs/>
          <w:sz w:val="18"/>
          <w:szCs w:val="18"/>
        </w:rPr>
      </w:pPr>
      <w:bookmarkStart w:id="201" w:name="_Toc989090"/>
      <w:r>
        <w:rPr>
          <w:rFonts w:ascii="宋体" w:hAnsi="宋体" w:eastAsia="宋体" w:cs="宋体"/>
          <w:b/>
          <w:bCs/>
          <w:sz w:val="18"/>
          <w:szCs w:val="18"/>
        </w:rPr>
        <w:t>4） 本期计提、收回或转回的坏账准备的情况</w:t>
      </w:r>
      <w:bookmarkEnd w:id="201"/>
    </w:p>
    <w:p w14:paraId="20BD8E0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2E3E81B">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2FF773E">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8E5C4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97769C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21206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5C0AFB1">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4C167E"/>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E07D2F0"/>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342212">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0BE10E">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C5D218">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19ADCC">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2D451A"/>
        </w:tc>
      </w:tr>
    </w:tbl>
    <w:p w14:paraId="5C20EA72">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75CF0CC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D35978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290CD3">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DDC3DB">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AF9427">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D39613">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314520">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3C029A51">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4AE6D68A"/>
    <w:p w14:paraId="14C1400E">
      <w:pPr>
        <w:keepNext/>
        <w:keepLines/>
        <w:spacing w:before="100" w:after="100" w:line="280" w:lineRule="exact"/>
        <w:outlineLvl w:val="4"/>
        <w:rPr>
          <w:rFonts w:ascii="宋体" w:hAnsi="宋体" w:eastAsia="宋体" w:cs="宋体"/>
          <w:b/>
          <w:bCs/>
          <w:sz w:val="18"/>
          <w:szCs w:val="18"/>
        </w:rPr>
      </w:pPr>
      <w:bookmarkStart w:id="202" w:name="_Toc989091"/>
      <w:r>
        <w:rPr>
          <w:rFonts w:ascii="宋体" w:hAnsi="宋体" w:eastAsia="宋体" w:cs="宋体"/>
          <w:b/>
          <w:bCs/>
          <w:sz w:val="18"/>
          <w:szCs w:val="18"/>
        </w:rPr>
        <w:t>5） 本期实际核销的应收利息情况</w:t>
      </w:r>
      <w:bookmarkEnd w:id="202"/>
    </w:p>
    <w:p w14:paraId="54C31D58">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D4327D5">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C49A504">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04C6173">
            <w:pPr>
              <w:spacing w:before="100" w:after="10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745BF2EA">
      <w:pPr>
        <w:spacing w:before="100" w:after="100" w:line="240" w:lineRule="exact"/>
        <w:rPr>
          <w:rFonts w:ascii="宋体" w:hAnsi="宋体" w:eastAsia="宋体" w:cs="宋体"/>
          <w:sz w:val="18"/>
          <w:szCs w:val="18"/>
        </w:rPr>
      </w:pPr>
      <w:r>
        <w:rPr>
          <w:rFonts w:ascii="宋体" w:hAnsi="宋体" w:eastAsia="宋体" w:cs="宋体"/>
          <w:sz w:val="18"/>
          <w:szCs w:val="18"/>
        </w:rPr>
        <w:t>其中重要的应收利息核销情况</w:t>
      </w:r>
    </w:p>
    <w:p w14:paraId="0682E15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5D3DE8AC">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0C650E">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48DB3BD">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B35117B">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DEC81E3">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3FB204">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9D010B">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3893297E">
      <w:pPr>
        <w:spacing w:before="100" w:after="100" w:line="240" w:lineRule="exact"/>
      </w:pPr>
      <w:r>
        <w:rPr>
          <w:rFonts w:ascii="宋体" w:hAnsi="宋体" w:eastAsia="宋体" w:cs="宋体"/>
          <w:sz w:val="18"/>
          <w:szCs w:val="18"/>
        </w:rPr>
        <w:t>核销说明：</w:t>
      </w:r>
    </w:p>
    <w:p w14:paraId="5400EFE9">
      <w:pPr>
        <w:spacing w:before="100" w:after="100" w:line="240" w:lineRule="exact"/>
      </w:pPr>
      <w:r>
        <w:rPr>
          <w:rFonts w:ascii="宋体" w:hAnsi="宋体" w:eastAsia="宋体" w:cs="宋体"/>
          <w:sz w:val="18"/>
          <w:szCs w:val="18"/>
        </w:rPr>
        <w:t>其他说明：</w:t>
      </w:r>
    </w:p>
    <w:p w14:paraId="4300B1B6">
      <w:pPr>
        <w:keepNext/>
        <w:keepLines/>
        <w:spacing w:before="100" w:after="100" w:line="280" w:lineRule="exact"/>
        <w:outlineLvl w:val="3"/>
        <w:rPr>
          <w:rFonts w:ascii="宋体" w:hAnsi="宋体" w:eastAsia="宋体" w:cs="宋体"/>
          <w:b/>
          <w:bCs/>
          <w:szCs w:val="21"/>
        </w:rPr>
      </w:pPr>
      <w:bookmarkStart w:id="203" w:name="_Toc989092"/>
      <w:r>
        <w:rPr>
          <w:rFonts w:ascii="宋体" w:hAnsi="宋体" w:eastAsia="宋体" w:cs="宋体"/>
          <w:b/>
          <w:bCs/>
          <w:szCs w:val="21"/>
        </w:rPr>
        <w:t>（2） 应收股利</w:t>
      </w:r>
      <w:bookmarkEnd w:id="203"/>
    </w:p>
    <w:p w14:paraId="0CAE5FEC">
      <w:pPr>
        <w:keepNext/>
        <w:keepLines/>
        <w:spacing w:before="100" w:after="100" w:line="280" w:lineRule="exact"/>
        <w:outlineLvl w:val="4"/>
        <w:rPr>
          <w:rFonts w:ascii="宋体" w:hAnsi="宋体" w:eastAsia="宋体" w:cs="宋体"/>
          <w:b/>
          <w:bCs/>
          <w:sz w:val="18"/>
          <w:szCs w:val="18"/>
        </w:rPr>
      </w:pPr>
      <w:bookmarkStart w:id="204" w:name="_Toc989093"/>
      <w:r>
        <w:rPr>
          <w:rFonts w:ascii="宋体" w:hAnsi="宋体" w:eastAsia="宋体" w:cs="宋体"/>
          <w:b/>
          <w:bCs/>
          <w:sz w:val="18"/>
          <w:szCs w:val="18"/>
        </w:rPr>
        <w:t>1） 应收股利分类</w:t>
      </w:r>
      <w:bookmarkEnd w:id="204"/>
    </w:p>
    <w:p w14:paraId="18A29B2E">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0DF461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280143">
            <w:pPr>
              <w:spacing w:before="100" w:after="10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C5411A">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5F7383">
            <w:pPr>
              <w:spacing w:before="10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5091214C">
      <w:pPr>
        <w:keepNext/>
        <w:keepLines/>
        <w:spacing w:before="100" w:after="100" w:line="280" w:lineRule="exact"/>
        <w:outlineLvl w:val="4"/>
        <w:rPr>
          <w:rFonts w:ascii="宋体" w:hAnsi="宋体" w:eastAsia="宋体" w:cs="宋体"/>
          <w:b/>
          <w:bCs/>
          <w:sz w:val="18"/>
          <w:szCs w:val="18"/>
        </w:rPr>
      </w:pPr>
      <w:bookmarkStart w:id="205" w:name="_Toc989094"/>
      <w:r>
        <w:rPr>
          <w:rFonts w:ascii="宋体" w:hAnsi="宋体" w:eastAsia="宋体" w:cs="宋体"/>
          <w:b/>
          <w:bCs/>
          <w:sz w:val="18"/>
          <w:szCs w:val="18"/>
        </w:rPr>
        <w:t>2） 重要的账龄超过1年的应收股利</w:t>
      </w:r>
      <w:bookmarkEnd w:id="205"/>
    </w:p>
    <w:p w14:paraId="6AB72FE2">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E8657B3">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0B4D1B0">
            <w:pPr>
              <w:spacing w:before="100" w:after="10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DD0596">
            <w:pPr>
              <w:spacing w:before="10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2C0B41">
            <w:pPr>
              <w:spacing w:before="100" w:after="100" w:line="240" w:lineRule="exact"/>
              <w:jc w:val="center"/>
              <w:rPr>
                <w:rFonts w:ascii="宋体" w:hAnsi="宋体" w:eastAsia="宋体" w:cs="宋体"/>
                <w:sz w:val="18"/>
                <w:szCs w:val="18"/>
              </w:rPr>
            </w:pPr>
            <w:r>
              <w:rPr>
                <w:rFonts w:ascii="宋体" w:hAnsi="宋体" w:eastAsia="宋体" w:cs="宋体"/>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1B8AC8F">
            <w:pPr>
              <w:spacing w:before="100" w:after="100" w:line="240" w:lineRule="exact"/>
              <w:jc w:val="center"/>
              <w:rPr>
                <w:rFonts w:ascii="宋体" w:hAnsi="宋体" w:eastAsia="宋体" w:cs="宋体"/>
                <w:sz w:val="18"/>
                <w:szCs w:val="18"/>
              </w:rPr>
            </w:pPr>
            <w:r>
              <w:rPr>
                <w:rFonts w:ascii="宋体" w:hAnsi="宋体" w:eastAsia="宋体" w:cs="宋体"/>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C0ABA9">
            <w:pPr>
              <w:spacing w:before="100" w:after="10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72DF37AE">
      <w:pPr>
        <w:keepNext/>
        <w:keepLines/>
        <w:spacing w:before="100" w:after="100" w:line="280" w:lineRule="exact"/>
        <w:outlineLvl w:val="4"/>
        <w:rPr>
          <w:rFonts w:ascii="宋体" w:hAnsi="宋体" w:eastAsia="宋体" w:cs="宋体"/>
          <w:b/>
          <w:bCs/>
          <w:sz w:val="18"/>
          <w:szCs w:val="18"/>
        </w:rPr>
      </w:pPr>
      <w:bookmarkStart w:id="206" w:name="_Toc989095"/>
      <w:r>
        <w:rPr>
          <w:rFonts w:ascii="宋体" w:hAnsi="宋体" w:eastAsia="宋体" w:cs="宋体"/>
          <w:b/>
          <w:bCs/>
          <w:sz w:val="18"/>
          <w:szCs w:val="18"/>
        </w:rPr>
        <w:t>3） 按坏账计提方法分类披露</w:t>
      </w:r>
      <w:bookmarkEnd w:id="206"/>
    </w:p>
    <w:p w14:paraId="7867FD40">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86B87F2">
      <w:pPr>
        <w:keepNext/>
        <w:keepLines/>
        <w:spacing w:before="100" w:after="100" w:line="280" w:lineRule="exact"/>
        <w:outlineLvl w:val="4"/>
        <w:rPr>
          <w:rFonts w:ascii="宋体" w:hAnsi="宋体" w:eastAsia="宋体" w:cs="宋体"/>
          <w:b/>
          <w:bCs/>
          <w:sz w:val="18"/>
          <w:szCs w:val="18"/>
        </w:rPr>
      </w:pPr>
      <w:bookmarkStart w:id="207" w:name="_Toc989096"/>
      <w:r>
        <w:rPr>
          <w:rFonts w:ascii="宋体" w:hAnsi="宋体" w:eastAsia="宋体" w:cs="宋体"/>
          <w:b/>
          <w:bCs/>
          <w:sz w:val="18"/>
          <w:szCs w:val="18"/>
        </w:rPr>
        <w:t>4） 本期计提、收回或转回的坏账准备的情况</w:t>
      </w:r>
      <w:bookmarkEnd w:id="207"/>
    </w:p>
    <w:p w14:paraId="604B26F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F7625EE">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2248E4">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531C0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3674A8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A20A6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7E79E7B">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299CF8A"/>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1BB9DD3"/>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A28671">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0C47E9">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D2F8B96">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0AE071">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513EEC"/>
        </w:tc>
      </w:tr>
    </w:tbl>
    <w:p w14:paraId="2BB797BF">
      <w:pPr>
        <w:spacing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3D4543A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5453F8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41C353">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EF1693">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41F3EB">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377B80">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89C486">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424BABBA">
      <w:pPr>
        <w:spacing w:before="100" w:after="100" w:line="240" w:lineRule="exact"/>
      </w:pPr>
      <w:r>
        <w:rPr>
          <w:rFonts w:ascii="宋体" w:hAnsi="宋体" w:eastAsia="宋体" w:cs="宋体"/>
          <w:sz w:val="18"/>
          <w:szCs w:val="18"/>
        </w:rPr>
        <w:t>其他说明：</w:t>
      </w:r>
    </w:p>
    <w:p w14:paraId="6C07E273">
      <w:pPr>
        <w:keepNext/>
        <w:keepLines/>
        <w:spacing w:before="100" w:after="100" w:line="280" w:lineRule="exact"/>
        <w:outlineLvl w:val="4"/>
        <w:rPr>
          <w:rFonts w:ascii="宋体" w:hAnsi="宋体" w:eastAsia="宋体" w:cs="宋体"/>
          <w:b/>
          <w:bCs/>
          <w:sz w:val="18"/>
          <w:szCs w:val="18"/>
        </w:rPr>
      </w:pPr>
      <w:bookmarkStart w:id="208" w:name="_Toc989097"/>
      <w:r>
        <w:rPr>
          <w:rFonts w:ascii="宋体" w:hAnsi="宋体" w:eastAsia="宋体" w:cs="宋体"/>
          <w:b/>
          <w:bCs/>
          <w:sz w:val="18"/>
          <w:szCs w:val="18"/>
        </w:rPr>
        <w:t>5） 本期实际核销的应收股利情况</w:t>
      </w:r>
      <w:bookmarkEnd w:id="208"/>
    </w:p>
    <w:p w14:paraId="0587347E">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0C9EF6DF">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F569AA">
            <w:pPr>
              <w:spacing w:before="10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7E378D3">
            <w:pPr>
              <w:spacing w:before="100" w:after="10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49716FAD">
      <w:pPr>
        <w:spacing w:before="100" w:after="100" w:line="240" w:lineRule="exact"/>
        <w:rPr>
          <w:rFonts w:ascii="宋体" w:hAnsi="宋体" w:eastAsia="宋体" w:cs="宋体"/>
          <w:sz w:val="18"/>
          <w:szCs w:val="18"/>
        </w:rPr>
      </w:pPr>
      <w:r>
        <w:rPr>
          <w:rFonts w:ascii="宋体" w:hAnsi="宋体" w:eastAsia="宋体" w:cs="宋体"/>
          <w:sz w:val="18"/>
          <w:szCs w:val="18"/>
        </w:rPr>
        <w:t>其中重要的应收股利核销情况</w:t>
      </w:r>
    </w:p>
    <w:p w14:paraId="1FD60F33">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0A7BDEFB">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11D8B6">
            <w:pPr>
              <w:spacing w:before="100" w:after="10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1B3BF5F">
            <w:pPr>
              <w:spacing w:before="100" w:after="10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C15FB9">
            <w:pPr>
              <w:spacing w:before="100" w:after="10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0822F99">
            <w:pPr>
              <w:spacing w:before="100" w:after="10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D68CFEF">
            <w:pPr>
              <w:spacing w:before="100" w:after="10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8FDC504">
            <w:pPr>
              <w:spacing w:before="100" w:after="10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465A4D36">
      <w:pPr>
        <w:spacing w:before="100" w:after="100" w:line="240" w:lineRule="exact"/>
      </w:pPr>
      <w:r>
        <w:rPr>
          <w:rFonts w:ascii="宋体" w:hAnsi="宋体" w:eastAsia="宋体" w:cs="宋体"/>
          <w:sz w:val="18"/>
          <w:szCs w:val="18"/>
        </w:rPr>
        <w:t>核销说明：</w:t>
      </w:r>
    </w:p>
    <w:p w14:paraId="548CD52D">
      <w:pPr>
        <w:spacing w:before="100" w:after="100" w:line="240" w:lineRule="exact"/>
      </w:pPr>
      <w:r>
        <w:rPr>
          <w:rFonts w:ascii="宋体" w:hAnsi="宋体" w:eastAsia="宋体" w:cs="宋体"/>
          <w:sz w:val="18"/>
          <w:szCs w:val="18"/>
        </w:rPr>
        <w:t>其他说明：</w:t>
      </w:r>
    </w:p>
    <w:p w14:paraId="445EDB08">
      <w:pPr>
        <w:keepNext/>
        <w:keepLines/>
        <w:spacing w:before="100" w:after="100" w:line="280" w:lineRule="exact"/>
        <w:outlineLvl w:val="3"/>
        <w:rPr>
          <w:rFonts w:ascii="宋体" w:hAnsi="宋体" w:eastAsia="宋体" w:cs="宋体"/>
          <w:b/>
          <w:bCs/>
          <w:szCs w:val="21"/>
        </w:rPr>
      </w:pPr>
      <w:bookmarkStart w:id="209" w:name="_Toc989098"/>
      <w:r>
        <w:rPr>
          <w:rFonts w:ascii="宋体" w:hAnsi="宋体" w:eastAsia="宋体" w:cs="宋体"/>
          <w:b/>
          <w:bCs/>
          <w:szCs w:val="21"/>
        </w:rPr>
        <w:t>（3） 其他应收款</w:t>
      </w:r>
      <w:bookmarkEnd w:id="209"/>
    </w:p>
    <w:p w14:paraId="060596A7">
      <w:pPr>
        <w:keepNext/>
        <w:keepLines/>
        <w:spacing w:before="100" w:after="100" w:line="280" w:lineRule="exact"/>
        <w:outlineLvl w:val="4"/>
        <w:rPr>
          <w:rFonts w:ascii="宋体" w:hAnsi="宋体" w:eastAsia="宋体" w:cs="宋体"/>
          <w:b/>
          <w:bCs/>
          <w:sz w:val="18"/>
          <w:szCs w:val="18"/>
        </w:rPr>
      </w:pPr>
      <w:bookmarkStart w:id="210" w:name="_Toc989099"/>
      <w:r>
        <w:rPr>
          <w:rFonts w:ascii="宋体" w:hAnsi="宋体" w:eastAsia="宋体" w:cs="宋体"/>
          <w:b/>
          <w:bCs/>
          <w:sz w:val="18"/>
          <w:szCs w:val="18"/>
        </w:rPr>
        <w:t>1） 其他应收款按款项性质分类情况</w:t>
      </w:r>
      <w:bookmarkEnd w:id="210"/>
    </w:p>
    <w:p w14:paraId="1F7148D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E95A33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04B846">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1E308B">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39198A">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7467789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A26365">
            <w:pPr>
              <w:spacing w:line="240" w:lineRule="exact"/>
              <w:rPr>
                <w:rFonts w:ascii="宋体" w:hAnsi="宋体" w:eastAsia="宋体" w:cs="宋体"/>
                <w:sz w:val="18"/>
                <w:szCs w:val="18"/>
              </w:rPr>
            </w:pPr>
            <w:r>
              <w:rPr>
                <w:rFonts w:ascii="宋体" w:hAnsi="宋体" w:eastAsia="宋体" w:cs="宋体"/>
                <w:sz w:val="18"/>
                <w:szCs w:val="18"/>
              </w:rPr>
              <w:t>与借款及票据有关的款项</w:t>
            </w:r>
          </w:p>
        </w:tc>
        <w:tc>
          <w:tcPr>
            <w:tcW w:w="3213" w:type="dxa"/>
            <w:tcBorders>
              <w:top w:val="single" w:color="auto" w:sz="2" w:space="0"/>
              <w:left w:val="single" w:color="auto" w:sz="2" w:space="0"/>
              <w:bottom w:val="single" w:color="auto" w:sz="2" w:space="0"/>
              <w:right w:val="single" w:color="auto" w:sz="2" w:space="0"/>
            </w:tcBorders>
            <w:vAlign w:val="center"/>
          </w:tcPr>
          <w:p w14:paraId="19CBF64E">
            <w:pPr>
              <w:spacing w:line="240" w:lineRule="exact"/>
              <w:jc w:val="right"/>
              <w:rPr>
                <w:rFonts w:ascii="宋体" w:hAnsi="宋体" w:eastAsia="宋体" w:cs="宋体"/>
                <w:sz w:val="18"/>
                <w:szCs w:val="18"/>
              </w:rPr>
            </w:pPr>
            <w:r>
              <w:rPr>
                <w:rFonts w:ascii="宋体" w:hAnsi="宋体" w:eastAsia="宋体" w:cs="宋体"/>
                <w:sz w:val="18"/>
                <w:szCs w:val="18"/>
              </w:rPr>
              <w:t>294,200,000.00</w:t>
            </w:r>
          </w:p>
        </w:tc>
        <w:tc>
          <w:tcPr>
            <w:tcW w:w="3213" w:type="dxa"/>
            <w:tcBorders>
              <w:top w:val="single" w:color="auto" w:sz="2" w:space="0"/>
              <w:left w:val="single" w:color="auto" w:sz="2" w:space="0"/>
              <w:bottom w:val="single" w:color="auto" w:sz="2" w:space="0"/>
              <w:right w:val="single" w:color="auto" w:sz="2" w:space="0"/>
            </w:tcBorders>
            <w:vAlign w:val="center"/>
          </w:tcPr>
          <w:p w14:paraId="40B4D54B">
            <w:pPr>
              <w:spacing w:line="240" w:lineRule="exact"/>
              <w:jc w:val="right"/>
              <w:rPr>
                <w:rFonts w:ascii="宋体" w:hAnsi="宋体" w:eastAsia="宋体" w:cs="宋体"/>
                <w:sz w:val="18"/>
                <w:szCs w:val="18"/>
              </w:rPr>
            </w:pPr>
            <w:r>
              <w:rPr>
                <w:rFonts w:ascii="宋体" w:hAnsi="宋体" w:eastAsia="宋体" w:cs="宋体"/>
                <w:sz w:val="18"/>
                <w:szCs w:val="18"/>
              </w:rPr>
              <w:t>294,200,000.00</w:t>
            </w:r>
          </w:p>
        </w:tc>
      </w:tr>
      <w:tr w14:paraId="048A8023">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08AD4C2">
            <w:pPr>
              <w:spacing w:line="240" w:lineRule="exact"/>
              <w:rPr>
                <w:rFonts w:ascii="宋体" w:hAnsi="宋体" w:eastAsia="宋体" w:cs="宋体"/>
                <w:sz w:val="18"/>
                <w:szCs w:val="18"/>
              </w:rPr>
            </w:pPr>
            <w:r>
              <w:rPr>
                <w:rFonts w:ascii="宋体" w:hAnsi="宋体" w:eastAsia="宋体" w:cs="宋体"/>
                <w:sz w:val="18"/>
                <w:szCs w:val="18"/>
              </w:rPr>
              <w:t>往来款</w:t>
            </w:r>
          </w:p>
        </w:tc>
        <w:tc>
          <w:tcPr>
            <w:tcW w:w="3213" w:type="dxa"/>
            <w:tcBorders>
              <w:top w:val="single" w:color="auto" w:sz="2" w:space="0"/>
              <w:left w:val="single" w:color="auto" w:sz="2" w:space="0"/>
              <w:bottom w:val="single" w:color="auto" w:sz="2" w:space="0"/>
              <w:right w:val="single" w:color="auto" w:sz="2" w:space="0"/>
            </w:tcBorders>
            <w:vAlign w:val="center"/>
          </w:tcPr>
          <w:p w14:paraId="2910F975">
            <w:pPr>
              <w:spacing w:line="240" w:lineRule="exact"/>
              <w:jc w:val="right"/>
              <w:rPr>
                <w:rFonts w:ascii="宋体" w:hAnsi="宋体" w:eastAsia="宋体" w:cs="宋体"/>
                <w:sz w:val="18"/>
                <w:szCs w:val="18"/>
              </w:rPr>
            </w:pPr>
            <w:r>
              <w:rPr>
                <w:rFonts w:ascii="宋体" w:hAnsi="宋体" w:eastAsia="宋体" w:cs="宋体"/>
                <w:sz w:val="18"/>
                <w:szCs w:val="18"/>
              </w:rPr>
              <w:t>146,812,383.52</w:t>
            </w:r>
          </w:p>
        </w:tc>
        <w:tc>
          <w:tcPr>
            <w:tcW w:w="3213" w:type="dxa"/>
            <w:tcBorders>
              <w:top w:val="single" w:color="auto" w:sz="2" w:space="0"/>
              <w:left w:val="single" w:color="auto" w:sz="2" w:space="0"/>
              <w:bottom w:val="single" w:color="auto" w:sz="2" w:space="0"/>
              <w:right w:val="single" w:color="auto" w:sz="2" w:space="0"/>
            </w:tcBorders>
            <w:vAlign w:val="center"/>
          </w:tcPr>
          <w:p w14:paraId="0B3ED553">
            <w:pPr>
              <w:spacing w:line="240" w:lineRule="exact"/>
              <w:jc w:val="right"/>
              <w:rPr>
                <w:rFonts w:ascii="宋体" w:hAnsi="宋体" w:eastAsia="宋体" w:cs="宋体"/>
                <w:sz w:val="18"/>
                <w:szCs w:val="18"/>
              </w:rPr>
            </w:pPr>
            <w:r>
              <w:rPr>
                <w:rFonts w:ascii="宋体" w:hAnsi="宋体" w:eastAsia="宋体" w:cs="宋体"/>
                <w:sz w:val="18"/>
                <w:szCs w:val="18"/>
              </w:rPr>
              <w:t>146,764,383.52</w:t>
            </w:r>
          </w:p>
        </w:tc>
      </w:tr>
      <w:tr w14:paraId="7FB4E2F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0626DEB">
            <w:pPr>
              <w:spacing w:line="240" w:lineRule="exact"/>
              <w:rPr>
                <w:rFonts w:ascii="宋体" w:hAnsi="宋体" w:eastAsia="宋体" w:cs="宋体"/>
                <w:sz w:val="18"/>
                <w:szCs w:val="18"/>
              </w:rPr>
            </w:pPr>
            <w:r>
              <w:rPr>
                <w:rFonts w:ascii="宋体" w:hAnsi="宋体" w:eastAsia="宋体" w:cs="宋体"/>
                <w:sz w:val="18"/>
                <w:szCs w:val="18"/>
              </w:rPr>
              <w:t>押金及保证金</w:t>
            </w:r>
          </w:p>
        </w:tc>
        <w:tc>
          <w:tcPr>
            <w:tcW w:w="3213" w:type="dxa"/>
            <w:tcBorders>
              <w:top w:val="single" w:color="auto" w:sz="2" w:space="0"/>
              <w:left w:val="single" w:color="auto" w:sz="2" w:space="0"/>
              <w:bottom w:val="single" w:color="auto" w:sz="2" w:space="0"/>
              <w:right w:val="single" w:color="auto" w:sz="2" w:space="0"/>
            </w:tcBorders>
            <w:vAlign w:val="center"/>
          </w:tcPr>
          <w:p w14:paraId="6B1FBAD8">
            <w:pPr>
              <w:spacing w:line="240" w:lineRule="exact"/>
              <w:jc w:val="right"/>
              <w:rPr>
                <w:rFonts w:ascii="宋体" w:hAnsi="宋体" w:eastAsia="宋体" w:cs="宋体"/>
                <w:sz w:val="18"/>
                <w:szCs w:val="18"/>
              </w:rPr>
            </w:pPr>
            <w:r>
              <w:rPr>
                <w:rFonts w:ascii="宋体" w:hAnsi="宋体" w:eastAsia="宋体" w:cs="宋体"/>
                <w:sz w:val="18"/>
                <w:szCs w:val="18"/>
              </w:rPr>
              <w:t>223,295.40</w:t>
            </w:r>
          </w:p>
        </w:tc>
        <w:tc>
          <w:tcPr>
            <w:tcW w:w="3213" w:type="dxa"/>
            <w:tcBorders>
              <w:top w:val="single" w:color="auto" w:sz="2" w:space="0"/>
              <w:left w:val="single" w:color="auto" w:sz="2" w:space="0"/>
              <w:bottom w:val="single" w:color="auto" w:sz="2" w:space="0"/>
              <w:right w:val="single" w:color="auto" w:sz="2" w:space="0"/>
            </w:tcBorders>
            <w:vAlign w:val="center"/>
          </w:tcPr>
          <w:p w14:paraId="3B4FCE94">
            <w:pPr>
              <w:spacing w:line="240" w:lineRule="exact"/>
              <w:jc w:val="right"/>
              <w:rPr>
                <w:rFonts w:ascii="宋体" w:hAnsi="宋体" w:eastAsia="宋体" w:cs="宋体"/>
                <w:sz w:val="18"/>
                <w:szCs w:val="18"/>
              </w:rPr>
            </w:pPr>
            <w:r>
              <w:rPr>
                <w:rFonts w:ascii="宋体" w:hAnsi="宋体" w:eastAsia="宋体" w:cs="宋体"/>
                <w:sz w:val="18"/>
                <w:szCs w:val="18"/>
              </w:rPr>
              <w:t>48,000.00</w:t>
            </w:r>
          </w:p>
        </w:tc>
      </w:tr>
      <w:tr w14:paraId="6ACFFD96">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9754BAB">
            <w:pPr>
              <w:spacing w:line="240" w:lineRule="exac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03E4C2DB">
            <w:pPr>
              <w:spacing w:line="240" w:lineRule="exact"/>
              <w:jc w:val="right"/>
              <w:rPr>
                <w:rFonts w:ascii="宋体" w:hAnsi="宋体" w:eastAsia="宋体" w:cs="宋体"/>
                <w:sz w:val="18"/>
                <w:szCs w:val="18"/>
              </w:rPr>
            </w:pPr>
            <w:r>
              <w:rPr>
                <w:rFonts w:ascii="宋体" w:hAnsi="宋体" w:eastAsia="宋体" w:cs="宋体"/>
                <w:sz w:val="18"/>
                <w:szCs w:val="18"/>
              </w:rPr>
              <w:t>8,767,761.42</w:t>
            </w:r>
          </w:p>
        </w:tc>
        <w:tc>
          <w:tcPr>
            <w:tcW w:w="3213" w:type="dxa"/>
            <w:tcBorders>
              <w:top w:val="single" w:color="auto" w:sz="2" w:space="0"/>
              <w:left w:val="single" w:color="auto" w:sz="2" w:space="0"/>
              <w:bottom w:val="single" w:color="auto" w:sz="2" w:space="0"/>
              <w:right w:val="single" w:color="auto" w:sz="2" w:space="0"/>
            </w:tcBorders>
            <w:vAlign w:val="center"/>
          </w:tcPr>
          <w:p w14:paraId="7A13F5F7">
            <w:pPr>
              <w:spacing w:line="240" w:lineRule="exact"/>
              <w:jc w:val="right"/>
              <w:rPr>
                <w:rFonts w:ascii="宋体" w:hAnsi="宋体" w:eastAsia="宋体" w:cs="宋体"/>
                <w:sz w:val="18"/>
                <w:szCs w:val="18"/>
              </w:rPr>
            </w:pPr>
            <w:r>
              <w:rPr>
                <w:rFonts w:ascii="宋体" w:hAnsi="宋体" w:eastAsia="宋体" w:cs="宋体"/>
                <w:sz w:val="18"/>
                <w:szCs w:val="18"/>
              </w:rPr>
              <w:t>8,776,899.79</w:t>
            </w:r>
          </w:p>
        </w:tc>
      </w:tr>
      <w:tr w14:paraId="6B84C6C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40633F">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92C362F">
            <w:pPr>
              <w:spacing w:line="240" w:lineRule="exact"/>
              <w:jc w:val="right"/>
              <w:rPr>
                <w:rFonts w:ascii="宋体" w:hAnsi="宋体" w:eastAsia="宋体" w:cs="宋体"/>
                <w:sz w:val="18"/>
                <w:szCs w:val="18"/>
              </w:rPr>
            </w:pPr>
            <w:r>
              <w:rPr>
                <w:rFonts w:ascii="宋体" w:hAnsi="宋体" w:eastAsia="宋体" w:cs="宋体"/>
                <w:sz w:val="18"/>
                <w:szCs w:val="18"/>
              </w:rPr>
              <w:t>450,003,440.34</w:t>
            </w:r>
          </w:p>
        </w:tc>
        <w:tc>
          <w:tcPr>
            <w:tcW w:w="3213" w:type="dxa"/>
            <w:tcBorders>
              <w:top w:val="single" w:color="auto" w:sz="2" w:space="0"/>
              <w:left w:val="single" w:color="auto" w:sz="2" w:space="0"/>
              <w:bottom w:val="single" w:color="auto" w:sz="2" w:space="0"/>
              <w:right w:val="single" w:color="auto" w:sz="2" w:space="0"/>
            </w:tcBorders>
            <w:vAlign w:val="center"/>
          </w:tcPr>
          <w:p w14:paraId="6027A228">
            <w:pPr>
              <w:spacing w:line="240" w:lineRule="exact"/>
              <w:jc w:val="right"/>
              <w:rPr>
                <w:rFonts w:ascii="宋体" w:hAnsi="宋体" w:eastAsia="宋体" w:cs="宋体"/>
                <w:sz w:val="18"/>
                <w:szCs w:val="18"/>
              </w:rPr>
            </w:pPr>
            <w:r>
              <w:rPr>
                <w:rFonts w:ascii="宋体" w:hAnsi="宋体" w:eastAsia="宋体" w:cs="宋体"/>
                <w:sz w:val="18"/>
                <w:szCs w:val="18"/>
              </w:rPr>
              <w:t>449,789,283.31</w:t>
            </w:r>
          </w:p>
        </w:tc>
      </w:tr>
    </w:tbl>
    <w:p w14:paraId="5FC99501">
      <w:pPr>
        <w:keepNext/>
        <w:keepLines/>
        <w:spacing w:before="300" w:after="100" w:line="280" w:lineRule="exact"/>
        <w:outlineLvl w:val="4"/>
        <w:rPr>
          <w:rFonts w:ascii="宋体" w:hAnsi="宋体" w:eastAsia="宋体" w:cs="宋体"/>
          <w:b/>
          <w:bCs/>
          <w:sz w:val="18"/>
          <w:szCs w:val="18"/>
        </w:rPr>
      </w:pPr>
      <w:bookmarkStart w:id="211" w:name="_Toc989100"/>
      <w:r>
        <w:rPr>
          <w:rFonts w:ascii="宋体" w:hAnsi="宋体" w:eastAsia="宋体" w:cs="宋体"/>
          <w:b/>
          <w:bCs/>
          <w:sz w:val="18"/>
          <w:szCs w:val="18"/>
        </w:rPr>
        <w:t>2） 按账龄披露</w:t>
      </w:r>
      <w:bookmarkEnd w:id="211"/>
    </w:p>
    <w:p w14:paraId="53663ED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F5E7C4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86E65A">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3FCF68">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0491EA">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1410FE1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D26118">
            <w:pPr>
              <w:spacing w:before="40" w:after="40" w:line="240" w:lineRule="exac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5FE3C37D">
            <w:pPr>
              <w:spacing w:line="240" w:lineRule="exact"/>
              <w:jc w:val="right"/>
              <w:rPr>
                <w:rFonts w:ascii="宋体" w:hAnsi="宋体" w:eastAsia="宋体" w:cs="宋体"/>
                <w:sz w:val="18"/>
                <w:szCs w:val="18"/>
              </w:rPr>
            </w:pPr>
            <w:r>
              <w:rPr>
                <w:rFonts w:ascii="宋体" w:hAnsi="宋体" w:eastAsia="宋体" w:cs="宋体"/>
                <w:sz w:val="18"/>
                <w:szCs w:val="18"/>
              </w:rPr>
              <w:t>258,570.55</w:t>
            </w:r>
          </w:p>
        </w:tc>
        <w:tc>
          <w:tcPr>
            <w:tcW w:w="3213" w:type="dxa"/>
            <w:tcBorders>
              <w:top w:val="single" w:color="auto" w:sz="2" w:space="0"/>
              <w:left w:val="single" w:color="auto" w:sz="2" w:space="0"/>
              <w:bottom w:val="single" w:color="auto" w:sz="2" w:space="0"/>
              <w:right w:val="single" w:color="auto" w:sz="2" w:space="0"/>
            </w:tcBorders>
            <w:vAlign w:val="center"/>
          </w:tcPr>
          <w:p w14:paraId="3FCF7039">
            <w:pPr>
              <w:spacing w:line="240" w:lineRule="exact"/>
              <w:jc w:val="right"/>
              <w:rPr>
                <w:rFonts w:ascii="宋体" w:hAnsi="宋体" w:eastAsia="宋体" w:cs="宋体"/>
                <w:sz w:val="18"/>
                <w:szCs w:val="18"/>
              </w:rPr>
            </w:pPr>
            <w:r>
              <w:rPr>
                <w:rFonts w:ascii="宋体" w:hAnsi="宋体" w:eastAsia="宋体" w:cs="宋体"/>
                <w:sz w:val="18"/>
                <w:szCs w:val="18"/>
              </w:rPr>
              <w:t>7,824,495.92</w:t>
            </w:r>
          </w:p>
        </w:tc>
      </w:tr>
      <w:tr w14:paraId="1490E62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EFB754">
            <w:pPr>
              <w:spacing w:before="40" w:after="40" w:line="240" w:lineRule="exact"/>
              <w:rPr>
                <w:rFonts w:ascii="宋体" w:hAnsi="宋体" w:eastAsia="宋体" w:cs="宋体"/>
                <w:sz w:val="18"/>
                <w:szCs w:val="18"/>
              </w:rPr>
            </w:pPr>
            <w:r>
              <w:rPr>
                <w:rFonts w:ascii="宋体" w:hAnsi="宋体" w:eastAsia="宋体" w:cs="宋体"/>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0958F39A">
            <w:pPr>
              <w:spacing w:line="240" w:lineRule="exact"/>
              <w:jc w:val="right"/>
              <w:rPr>
                <w:rFonts w:ascii="宋体" w:hAnsi="宋体" w:eastAsia="宋体" w:cs="宋体"/>
                <w:sz w:val="18"/>
                <w:szCs w:val="18"/>
              </w:rPr>
            </w:pPr>
            <w:r>
              <w:rPr>
                <w:rFonts w:ascii="宋体" w:hAnsi="宋体" w:eastAsia="宋体" w:cs="宋体"/>
                <w:sz w:val="18"/>
                <w:szCs w:val="18"/>
              </w:rPr>
              <w:t>7,773,095.40</w:t>
            </w:r>
          </w:p>
        </w:tc>
        <w:tc>
          <w:tcPr>
            <w:tcW w:w="3213" w:type="dxa"/>
            <w:tcBorders>
              <w:top w:val="single" w:color="auto" w:sz="2" w:space="0"/>
              <w:left w:val="single" w:color="auto" w:sz="2" w:space="0"/>
              <w:bottom w:val="single" w:color="auto" w:sz="2" w:space="0"/>
              <w:right w:val="single" w:color="auto" w:sz="2" w:space="0"/>
            </w:tcBorders>
            <w:vAlign w:val="center"/>
          </w:tcPr>
          <w:p w14:paraId="34860595">
            <w:pPr>
              <w:spacing w:line="240" w:lineRule="exact"/>
              <w:jc w:val="right"/>
              <w:rPr>
                <w:rFonts w:ascii="宋体" w:hAnsi="宋体" w:eastAsia="宋体" w:cs="宋体"/>
                <w:sz w:val="18"/>
                <w:szCs w:val="18"/>
              </w:rPr>
            </w:pPr>
          </w:p>
        </w:tc>
      </w:tr>
      <w:tr w14:paraId="4A53C80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ACC93">
            <w:pPr>
              <w:spacing w:before="40" w:after="40" w:line="240" w:lineRule="exact"/>
              <w:rPr>
                <w:rFonts w:ascii="宋体" w:hAnsi="宋体" w:eastAsia="宋体" w:cs="宋体"/>
                <w:sz w:val="18"/>
                <w:szCs w:val="18"/>
              </w:rPr>
            </w:pPr>
            <w:r>
              <w:rPr>
                <w:rFonts w:ascii="宋体" w:hAnsi="宋体" w:eastAsia="宋体" w:cs="宋体"/>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05E6EBC9">
            <w:pPr>
              <w:spacing w:line="240" w:lineRule="exact"/>
              <w:jc w:val="right"/>
              <w:rPr>
                <w:rFonts w:ascii="宋体" w:hAnsi="宋体" w:eastAsia="宋体" w:cs="宋体"/>
                <w:sz w:val="18"/>
                <w:szCs w:val="18"/>
              </w:rPr>
            </w:pPr>
            <w:r>
              <w:rPr>
                <w:rFonts w:ascii="宋体" w:hAnsi="宋体" w:eastAsia="宋体" w:cs="宋体"/>
                <w:sz w:val="18"/>
                <w:szCs w:val="18"/>
              </w:rPr>
              <w:t>2,059,455.00</w:t>
            </w:r>
          </w:p>
        </w:tc>
        <w:tc>
          <w:tcPr>
            <w:tcW w:w="3213" w:type="dxa"/>
            <w:tcBorders>
              <w:top w:val="single" w:color="auto" w:sz="2" w:space="0"/>
              <w:left w:val="single" w:color="auto" w:sz="2" w:space="0"/>
              <w:bottom w:val="single" w:color="auto" w:sz="2" w:space="0"/>
              <w:right w:val="single" w:color="auto" w:sz="2" w:space="0"/>
            </w:tcBorders>
            <w:vAlign w:val="center"/>
          </w:tcPr>
          <w:p w14:paraId="06F04355">
            <w:pPr>
              <w:spacing w:line="240" w:lineRule="exact"/>
              <w:jc w:val="right"/>
              <w:rPr>
                <w:rFonts w:ascii="宋体" w:hAnsi="宋体" w:eastAsia="宋体" w:cs="宋体"/>
                <w:sz w:val="18"/>
                <w:szCs w:val="18"/>
              </w:rPr>
            </w:pPr>
            <w:r>
              <w:rPr>
                <w:rFonts w:ascii="宋体" w:hAnsi="宋体" w:eastAsia="宋体" w:cs="宋体"/>
                <w:sz w:val="18"/>
                <w:szCs w:val="18"/>
              </w:rPr>
              <w:t>2,079,455.00</w:t>
            </w:r>
          </w:p>
        </w:tc>
      </w:tr>
      <w:tr w14:paraId="60773F6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2D9E92">
            <w:pPr>
              <w:spacing w:before="40" w:after="40" w:line="240" w:lineRule="exac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7028FB56">
            <w:pPr>
              <w:spacing w:line="240" w:lineRule="exact"/>
              <w:jc w:val="right"/>
              <w:rPr>
                <w:rFonts w:ascii="宋体" w:hAnsi="宋体" w:eastAsia="宋体" w:cs="宋体"/>
                <w:sz w:val="18"/>
                <w:szCs w:val="18"/>
              </w:rPr>
            </w:pPr>
            <w:r>
              <w:rPr>
                <w:rFonts w:ascii="宋体" w:hAnsi="宋体" w:eastAsia="宋体" w:cs="宋体"/>
                <w:sz w:val="18"/>
                <w:szCs w:val="18"/>
              </w:rPr>
              <w:t>439,912,319.39</w:t>
            </w:r>
          </w:p>
        </w:tc>
        <w:tc>
          <w:tcPr>
            <w:tcW w:w="3213" w:type="dxa"/>
            <w:tcBorders>
              <w:top w:val="single" w:color="auto" w:sz="2" w:space="0"/>
              <w:left w:val="single" w:color="auto" w:sz="2" w:space="0"/>
              <w:bottom w:val="single" w:color="auto" w:sz="2" w:space="0"/>
              <w:right w:val="single" w:color="auto" w:sz="2" w:space="0"/>
            </w:tcBorders>
            <w:vAlign w:val="center"/>
          </w:tcPr>
          <w:p w14:paraId="6F3F0A33">
            <w:pPr>
              <w:spacing w:line="240" w:lineRule="exact"/>
              <w:jc w:val="right"/>
              <w:rPr>
                <w:rFonts w:ascii="宋体" w:hAnsi="宋体" w:eastAsia="宋体" w:cs="宋体"/>
                <w:sz w:val="18"/>
                <w:szCs w:val="18"/>
              </w:rPr>
            </w:pPr>
            <w:r>
              <w:rPr>
                <w:rFonts w:ascii="宋体" w:hAnsi="宋体" w:eastAsia="宋体" w:cs="宋体"/>
                <w:sz w:val="18"/>
                <w:szCs w:val="18"/>
              </w:rPr>
              <w:t>439,885,332.39</w:t>
            </w:r>
          </w:p>
        </w:tc>
      </w:tr>
      <w:tr w14:paraId="15C4286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C7925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58467B48">
            <w:pPr>
              <w:spacing w:line="240" w:lineRule="exact"/>
              <w:jc w:val="right"/>
              <w:rPr>
                <w:rFonts w:ascii="宋体" w:hAnsi="宋体" w:eastAsia="宋体" w:cs="宋体"/>
                <w:sz w:val="18"/>
                <w:szCs w:val="18"/>
              </w:rPr>
            </w:pPr>
            <w:r>
              <w:rPr>
                <w:rFonts w:ascii="宋体" w:hAnsi="宋体" w:eastAsia="宋体" w:cs="宋体"/>
                <w:sz w:val="18"/>
                <w:szCs w:val="18"/>
              </w:rPr>
              <w:t>3,601,491.02</w:t>
            </w:r>
          </w:p>
        </w:tc>
        <w:tc>
          <w:tcPr>
            <w:tcW w:w="3213" w:type="dxa"/>
            <w:tcBorders>
              <w:top w:val="single" w:color="auto" w:sz="2" w:space="0"/>
              <w:left w:val="single" w:color="auto" w:sz="2" w:space="0"/>
              <w:bottom w:val="single" w:color="auto" w:sz="2" w:space="0"/>
              <w:right w:val="single" w:color="auto" w:sz="2" w:space="0"/>
            </w:tcBorders>
            <w:vAlign w:val="center"/>
          </w:tcPr>
          <w:p w14:paraId="22F46B46">
            <w:pPr>
              <w:spacing w:line="240" w:lineRule="exact"/>
              <w:jc w:val="right"/>
              <w:rPr>
                <w:rFonts w:ascii="宋体" w:hAnsi="宋体" w:eastAsia="宋体" w:cs="宋体"/>
                <w:sz w:val="18"/>
                <w:szCs w:val="18"/>
              </w:rPr>
            </w:pPr>
            <w:r>
              <w:rPr>
                <w:rFonts w:ascii="宋体" w:hAnsi="宋体" w:eastAsia="宋体" w:cs="宋体"/>
                <w:sz w:val="18"/>
                <w:szCs w:val="18"/>
              </w:rPr>
              <w:t>3,621,491.02</w:t>
            </w:r>
          </w:p>
        </w:tc>
      </w:tr>
      <w:tr w14:paraId="703EBC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4EFEAA">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6E8C9446">
            <w:pPr>
              <w:spacing w:line="240" w:lineRule="exact"/>
              <w:jc w:val="right"/>
              <w:rPr>
                <w:rFonts w:ascii="宋体" w:hAnsi="宋体" w:eastAsia="宋体" w:cs="宋体"/>
                <w:sz w:val="18"/>
                <w:szCs w:val="18"/>
              </w:rPr>
            </w:pPr>
            <w:r>
              <w:rPr>
                <w:rFonts w:ascii="宋体" w:hAnsi="宋体" w:eastAsia="宋体" w:cs="宋体"/>
                <w:sz w:val="18"/>
                <w:szCs w:val="18"/>
              </w:rPr>
              <w:t>4,583,437.50</w:t>
            </w:r>
          </w:p>
        </w:tc>
        <w:tc>
          <w:tcPr>
            <w:tcW w:w="3213" w:type="dxa"/>
            <w:tcBorders>
              <w:top w:val="single" w:color="auto" w:sz="2" w:space="0"/>
              <w:left w:val="single" w:color="auto" w:sz="2" w:space="0"/>
              <w:bottom w:val="single" w:color="auto" w:sz="2" w:space="0"/>
              <w:right w:val="single" w:color="auto" w:sz="2" w:space="0"/>
            </w:tcBorders>
            <w:vAlign w:val="center"/>
          </w:tcPr>
          <w:p w14:paraId="22213D70">
            <w:pPr>
              <w:spacing w:line="240" w:lineRule="exact"/>
              <w:jc w:val="right"/>
              <w:rPr>
                <w:rFonts w:ascii="宋体" w:hAnsi="宋体" w:eastAsia="宋体" w:cs="宋体"/>
                <w:sz w:val="18"/>
                <w:szCs w:val="18"/>
              </w:rPr>
            </w:pPr>
            <w:r>
              <w:rPr>
                <w:rFonts w:ascii="宋体" w:hAnsi="宋体" w:eastAsia="宋体" w:cs="宋体"/>
                <w:sz w:val="18"/>
                <w:szCs w:val="18"/>
              </w:rPr>
              <w:t>4,663,437.50</w:t>
            </w:r>
          </w:p>
        </w:tc>
      </w:tr>
      <w:tr w14:paraId="2D43B85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DF651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6234F273">
            <w:pPr>
              <w:spacing w:line="240" w:lineRule="exact"/>
              <w:jc w:val="right"/>
              <w:rPr>
                <w:rFonts w:ascii="宋体" w:hAnsi="宋体" w:eastAsia="宋体" w:cs="宋体"/>
                <w:sz w:val="18"/>
                <w:szCs w:val="18"/>
              </w:rPr>
            </w:pPr>
            <w:r>
              <w:rPr>
                <w:rFonts w:ascii="宋体" w:hAnsi="宋体" w:eastAsia="宋体" w:cs="宋体"/>
                <w:sz w:val="18"/>
                <w:szCs w:val="18"/>
              </w:rPr>
              <w:t>431,727,390.87</w:t>
            </w:r>
          </w:p>
        </w:tc>
        <w:tc>
          <w:tcPr>
            <w:tcW w:w="3213" w:type="dxa"/>
            <w:tcBorders>
              <w:top w:val="single" w:color="auto" w:sz="2" w:space="0"/>
              <w:left w:val="single" w:color="auto" w:sz="2" w:space="0"/>
              <w:bottom w:val="single" w:color="auto" w:sz="2" w:space="0"/>
              <w:right w:val="single" w:color="auto" w:sz="2" w:space="0"/>
            </w:tcBorders>
            <w:vAlign w:val="center"/>
          </w:tcPr>
          <w:p w14:paraId="2446053D">
            <w:pPr>
              <w:spacing w:line="240" w:lineRule="exact"/>
              <w:jc w:val="right"/>
              <w:rPr>
                <w:rFonts w:ascii="宋体" w:hAnsi="宋体" w:eastAsia="宋体" w:cs="宋体"/>
                <w:sz w:val="18"/>
                <w:szCs w:val="18"/>
              </w:rPr>
            </w:pPr>
            <w:r>
              <w:rPr>
                <w:rFonts w:ascii="宋体" w:hAnsi="宋体" w:eastAsia="宋体" w:cs="宋体"/>
                <w:sz w:val="18"/>
                <w:szCs w:val="18"/>
              </w:rPr>
              <w:t>431,600,403.87</w:t>
            </w:r>
          </w:p>
        </w:tc>
      </w:tr>
      <w:tr w14:paraId="6B3B3C4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04EBBB">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9D428E5">
            <w:pPr>
              <w:spacing w:line="240" w:lineRule="exact"/>
              <w:jc w:val="right"/>
              <w:rPr>
                <w:rFonts w:ascii="宋体" w:hAnsi="宋体" w:eastAsia="宋体" w:cs="宋体"/>
                <w:sz w:val="18"/>
                <w:szCs w:val="18"/>
              </w:rPr>
            </w:pPr>
            <w:r>
              <w:rPr>
                <w:rFonts w:ascii="宋体" w:hAnsi="宋体" w:eastAsia="宋体" w:cs="宋体"/>
                <w:sz w:val="18"/>
                <w:szCs w:val="18"/>
              </w:rPr>
              <w:t>450,003,440.34</w:t>
            </w:r>
          </w:p>
        </w:tc>
        <w:tc>
          <w:tcPr>
            <w:tcW w:w="3213" w:type="dxa"/>
            <w:tcBorders>
              <w:top w:val="single" w:color="auto" w:sz="2" w:space="0"/>
              <w:left w:val="single" w:color="auto" w:sz="2" w:space="0"/>
              <w:bottom w:val="single" w:color="auto" w:sz="2" w:space="0"/>
              <w:right w:val="single" w:color="auto" w:sz="2" w:space="0"/>
            </w:tcBorders>
            <w:vAlign w:val="center"/>
          </w:tcPr>
          <w:p w14:paraId="6B31A95D">
            <w:pPr>
              <w:spacing w:line="240" w:lineRule="exact"/>
              <w:jc w:val="right"/>
              <w:rPr>
                <w:rFonts w:ascii="宋体" w:hAnsi="宋体" w:eastAsia="宋体" w:cs="宋体"/>
                <w:sz w:val="18"/>
                <w:szCs w:val="18"/>
              </w:rPr>
            </w:pPr>
            <w:r>
              <w:rPr>
                <w:rFonts w:ascii="宋体" w:hAnsi="宋体" w:eastAsia="宋体" w:cs="宋体"/>
                <w:sz w:val="18"/>
                <w:szCs w:val="18"/>
              </w:rPr>
              <w:t>449,789,283.31</w:t>
            </w:r>
          </w:p>
        </w:tc>
      </w:tr>
    </w:tbl>
    <w:p w14:paraId="5A83AA55">
      <w:pPr>
        <w:keepNext/>
        <w:keepLines/>
        <w:spacing w:before="300" w:after="100" w:line="280" w:lineRule="exact"/>
        <w:outlineLvl w:val="4"/>
        <w:rPr>
          <w:rFonts w:ascii="宋体" w:hAnsi="宋体" w:eastAsia="宋体" w:cs="宋体"/>
          <w:b/>
          <w:bCs/>
          <w:sz w:val="18"/>
          <w:szCs w:val="18"/>
        </w:rPr>
      </w:pPr>
      <w:bookmarkStart w:id="212" w:name="_Toc989101"/>
      <w:r>
        <w:rPr>
          <w:rFonts w:ascii="宋体" w:hAnsi="宋体" w:eastAsia="宋体" w:cs="宋体"/>
          <w:b/>
          <w:bCs/>
          <w:sz w:val="18"/>
          <w:szCs w:val="18"/>
        </w:rPr>
        <w:t>3） 按坏账计提方法分类披露</w:t>
      </w:r>
      <w:bookmarkEnd w:id="212"/>
    </w:p>
    <w:p w14:paraId="082A708D">
      <w:pPr>
        <w:spacing w:before="40" w:after="40"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F2C736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79CE53AB">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539693">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CC457A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3644C4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7E7405A">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6CC333"/>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68973F1">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231942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0C9CF1">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5ED930F">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62F613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B07E39">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55445AA8">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9C88E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3CAEF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8119B5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6812F5F">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5033663">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4A5CF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ADC4F61">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0DE4787">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A6AF9A9">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4F8865D">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475995"/>
        </w:tc>
      </w:tr>
      <w:tr w14:paraId="1ECAC75E">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A56BB58">
            <w:pPr>
              <w:spacing w:before="40" w:after="40" w:line="240" w:lineRule="exact"/>
              <w:rPr>
                <w:rFonts w:ascii="宋体" w:hAnsi="宋体" w:eastAsia="宋体" w:cs="宋体"/>
                <w:sz w:val="18"/>
                <w:szCs w:val="18"/>
              </w:rPr>
            </w:pPr>
            <w:r>
              <w:rPr>
                <w:rFonts w:ascii="宋体" w:hAnsi="宋体" w:eastAsia="宋体" w:cs="宋体"/>
                <w:sz w:val="18"/>
                <w:szCs w:val="18"/>
              </w:rPr>
              <w:t>按单项计提坏账准备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2C5DF06B">
            <w:pPr>
              <w:spacing w:line="240" w:lineRule="exact"/>
              <w:jc w:val="right"/>
              <w:rPr>
                <w:rFonts w:ascii="宋体" w:hAnsi="宋体" w:eastAsia="宋体" w:cs="宋体"/>
                <w:sz w:val="18"/>
                <w:szCs w:val="18"/>
              </w:rPr>
            </w:pPr>
            <w:r>
              <w:rPr>
                <w:rFonts w:ascii="宋体" w:hAnsi="宋体" w:eastAsia="宋体" w:cs="宋体"/>
                <w:sz w:val="18"/>
                <w:szCs w:val="18"/>
              </w:rPr>
              <w:t>449,420,956.89</w:t>
            </w:r>
          </w:p>
        </w:tc>
        <w:tc>
          <w:tcPr>
            <w:tcW w:w="876" w:type="dxa"/>
            <w:tcBorders>
              <w:top w:val="single" w:color="auto" w:sz="2" w:space="0"/>
              <w:left w:val="single" w:color="auto" w:sz="2" w:space="0"/>
              <w:bottom w:val="single" w:color="auto" w:sz="2" w:space="0"/>
              <w:right w:val="single" w:color="auto" w:sz="2" w:space="0"/>
            </w:tcBorders>
            <w:vAlign w:val="center"/>
          </w:tcPr>
          <w:p w14:paraId="2ADCFD5B">
            <w:pPr>
              <w:spacing w:line="240" w:lineRule="exact"/>
              <w:jc w:val="right"/>
              <w:rPr>
                <w:rFonts w:ascii="宋体" w:hAnsi="宋体" w:eastAsia="宋体" w:cs="宋体"/>
                <w:sz w:val="18"/>
                <w:szCs w:val="18"/>
              </w:rPr>
            </w:pPr>
            <w:r>
              <w:rPr>
                <w:rFonts w:ascii="宋体" w:hAnsi="宋体" w:eastAsia="宋体" w:cs="宋体"/>
                <w:sz w:val="18"/>
                <w:szCs w:val="18"/>
              </w:rPr>
              <w:t>99.87%</w:t>
            </w:r>
          </w:p>
        </w:tc>
        <w:tc>
          <w:tcPr>
            <w:tcW w:w="876" w:type="dxa"/>
            <w:tcBorders>
              <w:top w:val="single" w:color="auto" w:sz="2" w:space="0"/>
              <w:left w:val="single" w:color="auto" w:sz="2" w:space="0"/>
              <w:bottom w:val="single" w:color="auto" w:sz="2" w:space="0"/>
              <w:right w:val="single" w:color="auto" w:sz="2" w:space="0"/>
            </w:tcBorders>
            <w:vAlign w:val="center"/>
          </w:tcPr>
          <w:p w14:paraId="7AF066A5">
            <w:pPr>
              <w:spacing w:line="240" w:lineRule="exact"/>
              <w:jc w:val="right"/>
              <w:rPr>
                <w:rFonts w:ascii="宋体" w:hAnsi="宋体" w:eastAsia="宋体" w:cs="宋体"/>
                <w:sz w:val="18"/>
                <w:szCs w:val="18"/>
              </w:rPr>
            </w:pPr>
            <w:r>
              <w:rPr>
                <w:rFonts w:ascii="宋体" w:hAnsi="宋体" w:eastAsia="宋体" w:cs="宋体"/>
                <w:sz w:val="18"/>
                <w:szCs w:val="18"/>
              </w:rPr>
              <w:t>449,420,956.89</w:t>
            </w:r>
          </w:p>
        </w:tc>
        <w:tc>
          <w:tcPr>
            <w:tcW w:w="876" w:type="dxa"/>
            <w:tcBorders>
              <w:top w:val="single" w:color="auto" w:sz="2" w:space="0"/>
              <w:left w:val="single" w:color="auto" w:sz="2" w:space="0"/>
              <w:bottom w:val="single" w:color="auto" w:sz="2" w:space="0"/>
              <w:right w:val="single" w:color="auto" w:sz="2" w:space="0"/>
            </w:tcBorders>
            <w:vAlign w:val="center"/>
          </w:tcPr>
          <w:p w14:paraId="739EB8EE">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B297F5E">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72080B31">
            <w:pPr>
              <w:spacing w:line="240" w:lineRule="exact"/>
              <w:jc w:val="right"/>
              <w:rPr>
                <w:rFonts w:ascii="宋体" w:hAnsi="宋体" w:eastAsia="宋体" w:cs="宋体"/>
                <w:sz w:val="18"/>
                <w:szCs w:val="18"/>
              </w:rPr>
            </w:pPr>
            <w:r>
              <w:rPr>
                <w:rFonts w:ascii="宋体" w:hAnsi="宋体" w:eastAsia="宋体" w:cs="宋体"/>
                <w:sz w:val="18"/>
                <w:szCs w:val="18"/>
              </w:rPr>
              <w:t>449,413,969.89</w:t>
            </w:r>
          </w:p>
        </w:tc>
        <w:tc>
          <w:tcPr>
            <w:tcW w:w="876" w:type="dxa"/>
            <w:tcBorders>
              <w:top w:val="single" w:color="auto" w:sz="2" w:space="0"/>
              <w:left w:val="single" w:color="auto" w:sz="2" w:space="0"/>
              <w:bottom w:val="single" w:color="auto" w:sz="2" w:space="0"/>
              <w:right w:val="single" w:color="auto" w:sz="2" w:space="0"/>
            </w:tcBorders>
            <w:vAlign w:val="center"/>
          </w:tcPr>
          <w:p w14:paraId="39A25308">
            <w:pPr>
              <w:spacing w:line="240" w:lineRule="exact"/>
              <w:jc w:val="right"/>
              <w:rPr>
                <w:rFonts w:ascii="宋体" w:hAnsi="宋体" w:eastAsia="宋体" w:cs="宋体"/>
                <w:sz w:val="18"/>
                <w:szCs w:val="18"/>
              </w:rPr>
            </w:pPr>
            <w:r>
              <w:rPr>
                <w:rFonts w:ascii="宋体" w:hAnsi="宋体" w:eastAsia="宋体" w:cs="宋体"/>
                <w:sz w:val="18"/>
                <w:szCs w:val="18"/>
              </w:rPr>
              <w:t>99.92%</w:t>
            </w:r>
          </w:p>
        </w:tc>
        <w:tc>
          <w:tcPr>
            <w:tcW w:w="876" w:type="dxa"/>
            <w:tcBorders>
              <w:top w:val="single" w:color="auto" w:sz="2" w:space="0"/>
              <w:left w:val="single" w:color="auto" w:sz="2" w:space="0"/>
              <w:bottom w:val="single" w:color="auto" w:sz="2" w:space="0"/>
              <w:right w:val="single" w:color="auto" w:sz="2" w:space="0"/>
            </w:tcBorders>
            <w:vAlign w:val="center"/>
          </w:tcPr>
          <w:p w14:paraId="23583A0B">
            <w:pPr>
              <w:spacing w:line="240" w:lineRule="exact"/>
              <w:jc w:val="right"/>
              <w:rPr>
                <w:rFonts w:ascii="宋体" w:hAnsi="宋体" w:eastAsia="宋体" w:cs="宋体"/>
                <w:sz w:val="18"/>
                <w:szCs w:val="18"/>
              </w:rPr>
            </w:pPr>
            <w:r>
              <w:rPr>
                <w:rFonts w:ascii="宋体" w:hAnsi="宋体" w:eastAsia="宋体" w:cs="宋体"/>
                <w:sz w:val="18"/>
                <w:szCs w:val="18"/>
              </w:rPr>
              <w:t>449,413,969.89</w:t>
            </w:r>
          </w:p>
        </w:tc>
        <w:tc>
          <w:tcPr>
            <w:tcW w:w="876" w:type="dxa"/>
            <w:tcBorders>
              <w:top w:val="single" w:color="auto" w:sz="2" w:space="0"/>
              <w:left w:val="single" w:color="auto" w:sz="2" w:space="0"/>
              <w:bottom w:val="single" w:color="auto" w:sz="2" w:space="0"/>
              <w:right w:val="single" w:color="auto" w:sz="2" w:space="0"/>
            </w:tcBorders>
            <w:vAlign w:val="center"/>
          </w:tcPr>
          <w:p w14:paraId="0AB76D33">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9E4EFA8">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486414F8">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644F11A0">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r w14:paraId="55FFF083">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28552DF">
            <w:pPr>
              <w:spacing w:before="40" w:after="40" w:line="240" w:lineRule="exact"/>
              <w:rPr>
                <w:rFonts w:ascii="宋体" w:hAnsi="宋体" w:eastAsia="宋体" w:cs="宋体"/>
                <w:sz w:val="18"/>
                <w:szCs w:val="18"/>
              </w:rPr>
            </w:pPr>
            <w:r>
              <w:rPr>
                <w:rFonts w:ascii="宋体" w:hAnsi="宋体" w:eastAsia="宋体" w:cs="宋体"/>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0FC91A9E">
            <w:pPr>
              <w:spacing w:line="240" w:lineRule="exact"/>
              <w:jc w:val="right"/>
              <w:rPr>
                <w:rFonts w:ascii="宋体" w:hAnsi="宋体" w:eastAsia="宋体" w:cs="宋体"/>
                <w:sz w:val="18"/>
                <w:szCs w:val="18"/>
              </w:rPr>
            </w:pPr>
            <w:r>
              <w:rPr>
                <w:rFonts w:ascii="宋体" w:hAnsi="宋体" w:eastAsia="宋体" w:cs="宋体"/>
                <w:sz w:val="18"/>
                <w:szCs w:val="18"/>
              </w:rPr>
              <w:t>582,483.45</w:t>
            </w:r>
          </w:p>
        </w:tc>
        <w:tc>
          <w:tcPr>
            <w:tcW w:w="876" w:type="dxa"/>
            <w:tcBorders>
              <w:top w:val="single" w:color="auto" w:sz="2" w:space="0"/>
              <w:left w:val="single" w:color="auto" w:sz="2" w:space="0"/>
              <w:bottom w:val="single" w:color="auto" w:sz="2" w:space="0"/>
              <w:right w:val="single" w:color="auto" w:sz="2" w:space="0"/>
            </w:tcBorders>
            <w:vAlign w:val="center"/>
          </w:tcPr>
          <w:p w14:paraId="310EDE90">
            <w:pPr>
              <w:spacing w:line="240" w:lineRule="exact"/>
              <w:jc w:val="right"/>
              <w:rPr>
                <w:rFonts w:ascii="宋体" w:hAnsi="宋体" w:eastAsia="宋体" w:cs="宋体"/>
                <w:sz w:val="18"/>
                <w:szCs w:val="18"/>
              </w:rPr>
            </w:pPr>
            <w:r>
              <w:rPr>
                <w:rFonts w:ascii="宋体" w:hAnsi="宋体" w:eastAsia="宋体" w:cs="宋体"/>
                <w:sz w:val="18"/>
                <w:szCs w:val="18"/>
              </w:rPr>
              <w:t>0.13%</w:t>
            </w:r>
          </w:p>
        </w:tc>
        <w:tc>
          <w:tcPr>
            <w:tcW w:w="876" w:type="dxa"/>
            <w:tcBorders>
              <w:top w:val="single" w:color="auto" w:sz="2" w:space="0"/>
              <w:left w:val="single" w:color="auto" w:sz="2" w:space="0"/>
              <w:bottom w:val="single" w:color="auto" w:sz="2" w:space="0"/>
              <w:right w:val="single" w:color="auto" w:sz="2" w:space="0"/>
            </w:tcBorders>
            <w:vAlign w:val="center"/>
          </w:tcPr>
          <w:p w14:paraId="227D18E0">
            <w:pPr>
              <w:spacing w:line="240" w:lineRule="exact"/>
              <w:jc w:val="right"/>
              <w:rPr>
                <w:rFonts w:ascii="宋体" w:hAnsi="宋体" w:eastAsia="宋体" w:cs="宋体"/>
                <w:sz w:val="18"/>
                <w:szCs w:val="18"/>
              </w:rPr>
            </w:pPr>
            <w:r>
              <w:rPr>
                <w:rFonts w:ascii="宋体" w:hAnsi="宋体" w:eastAsia="宋体" w:cs="宋体"/>
                <w:sz w:val="18"/>
                <w:szCs w:val="18"/>
              </w:rPr>
              <w:t>64,090.91</w:t>
            </w:r>
          </w:p>
        </w:tc>
        <w:tc>
          <w:tcPr>
            <w:tcW w:w="876" w:type="dxa"/>
            <w:tcBorders>
              <w:top w:val="single" w:color="auto" w:sz="2" w:space="0"/>
              <w:left w:val="single" w:color="auto" w:sz="2" w:space="0"/>
              <w:bottom w:val="single" w:color="auto" w:sz="2" w:space="0"/>
              <w:right w:val="single" w:color="auto" w:sz="2" w:space="0"/>
            </w:tcBorders>
            <w:vAlign w:val="center"/>
          </w:tcPr>
          <w:p w14:paraId="343005B1">
            <w:pPr>
              <w:spacing w:line="240" w:lineRule="exact"/>
              <w:jc w:val="right"/>
              <w:rPr>
                <w:rFonts w:ascii="宋体" w:hAnsi="宋体" w:eastAsia="宋体" w:cs="宋体"/>
                <w:sz w:val="18"/>
                <w:szCs w:val="18"/>
              </w:rPr>
            </w:pPr>
            <w:r>
              <w:rPr>
                <w:rFonts w:ascii="宋体" w:hAnsi="宋体" w:eastAsia="宋体" w:cs="宋体"/>
                <w:sz w:val="18"/>
                <w:szCs w:val="18"/>
              </w:rPr>
              <w:t>11.00%</w:t>
            </w:r>
          </w:p>
        </w:tc>
        <w:tc>
          <w:tcPr>
            <w:tcW w:w="876" w:type="dxa"/>
            <w:tcBorders>
              <w:top w:val="single" w:color="auto" w:sz="2" w:space="0"/>
              <w:left w:val="single" w:color="auto" w:sz="2" w:space="0"/>
              <w:bottom w:val="single" w:color="auto" w:sz="2" w:space="0"/>
              <w:right w:val="single" w:color="auto" w:sz="2" w:space="0"/>
            </w:tcBorders>
            <w:vAlign w:val="center"/>
          </w:tcPr>
          <w:p w14:paraId="3157399C">
            <w:pPr>
              <w:spacing w:line="240" w:lineRule="exact"/>
              <w:jc w:val="right"/>
              <w:rPr>
                <w:rFonts w:ascii="宋体" w:hAnsi="宋体" w:eastAsia="宋体" w:cs="宋体"/>
                <w:sz w:val="18"/>
                <w:szCs w:val="18"/>
              </w:rPr>
            </w:pPr>
            <w:r>
              <w:rPr>
                <w:rFonts w:ascii="宋体" w:hAnsi="宋体" w:eastAsia="宋体" w:cs="宋体"/>
                <w:sz w:val="18"/>
                <w:szCs w:val="18"/>
              </w:rPr>
              <w:t>518,392.54</w:t>
            </w:r>
          </w:p>
        </w:tc>
        <w:tc>
          <w:tcPr>
            <w:tcW w:w="876" w:type="dxa"/>
            <w:tcBorders>
              <w:top w:val="single" w:color="auto" w:sz="2" w:space="0"/>
              <w:left w:val="single" w:color="auto" w:sz="2" w:space="0"/>
              <w:bottom w:val="single" w:color="auto" w:sz="2" w:space="0"/>
              <w:right w:val="single" w:color="auto" w:sz="2" w:space="0"/>
            </w:tcBorders>
            <w:vAlign w:val="center"/>
          </w:tcPr>
          <w:p w14:paraId="7A49D522">
            <w:pPr>
              <w:spacing w:line="240" w:lineRule="exact"/>
              <w:jc w:val="right"/>
              <w:rPr>
                <w:rFonts w:ascii="宋体" w:hAnsi="宋体" w:eastAsia="宋体" w:cs="宋体"/>
                <w:sz w:val="18"/>
                <w:szCs w:val="18"/>
              </w:rPr>
            </w:pPr>
            <w:r>
              <w:rPr>
                <w:rFonts w:ascii="宋体" w:hAnsi="宋体" w:eastAsia="宋体" w:cs="宋体"/>
                <w:sz w:val="18"/>
                <w:szCs w:val="18"/>
              </w:rPr>
              <w:t>375,313.42</w:t>
            </w:r>
          </w:p>
        </w:tc>
        <w:tc>
          <w:tcPr>
            <w:tcW w:w="876" w:type="dxa"/>
            <w:tcBorders>
              <w:top w:val="single" w:color="auto" w:sz="2" w:space="0"/>
              <w:left w:val="single" w:color="auto" w:sz="2" w:space="0"/>
              <w:bottom w:val="single" w:color="auto" w:sz="2" w:space="0"/>
              <w:right w:val="single" w:color="auto" w:sz="2" w:space="0"/>
            </w:tcBorders>
            <w:vAlign w:val="center"/>
          </w:tcPr>
          <w:p w14:paraId="7D8273C8">
            <w:pPr>
              <w:spacing w:line="240" w:lineRule="exact"/>
              <w:jc w:val="right"/>
              <w:rPr>
                <w:rFonts w:ascii="宋体" w:hAnsi="宋体" w:eastAsia="宋体" w:cs="宋体"/>
                <w:sz w:val="18"/>
                <w:szCs w:val="18"/>
              </w:rPr>
            </w:pPr>
            <w:r>
              <w:rPr>
                <w:rFonts w:ascii="宋体" w:hAnsi="宋体" w:eastAsia="宋体" w:cs="宋体"/>
                <w:sz w:val="18"/>
                <w:szCs w:val="18"/>
              </w:rPr>
              <w:t>0.08%</w:t>
            </w:r>
          </w:p>
        </w:tc>
        <w:tc>
          <w:tcPr>
            <w:tcW w:w="876" w:type="dxa"/>
            <w:tcBorders>
              <w:top w:val="single" w:color="auto" w:sz="2" w:space="0"/>
              <w:left w:val="single" w:color="auto" w:sz="2" w:space="0"/>
              <w:bottom w:val="single" w:color="auto" w:sz="2" w:space="0"/>
              <w:right w:val="single" w:color="auto" w:sz="2" w:space="0"/>
            </w:tcBorders>
            <w:vAlign w:val="center"/>
          </w:tcPr>
          <w:p w14:paraId="10A0B85E">
            <w:pPr>
              <w:spacing w:line="240" w:lineRule="exact"/>
              <w:jc w:val="right"/>
              <w:rPr>
                <w:rFonts w:ascii="宋体" w:hAnsi="宋体" w:eastAsia="宋体" w:cs="宋体"/>
                <w:sz w:val="18"/>
                <w:szCs w:val="18"/>
              </w:rPr>
            </w:pPr>
            <w:r>
              <w:rPr>
                <w:rFonts w:ascii="宋体" w:hAnsi="宋体" w:eastAsia="宋体" w:cs="宋体"/>
                <w:sz w:val="18"/>
                <w:szCs w:val="18"/>
              </w:rPr>
              <w:t>45,319.55</w:t>
            </w:r>
          </w:p>
        </w:tc>
        <w:tc>
          <w:tcPr>
            <w:tcW w:w="876" w:type="dxa"/>
            <w:tcBorders>
              <w:top w:val="single" w:color="auto" w:sz="2" w:space="0"/>
              <w:left w:val="single" w:color="auto" w:sz="2" w:space="0"/>
              <w:bottom w:val="single" w:color="auto" w:sz="2" w:space="0"/>
              <w:right w:val="single" w:color="auto" w:sz="2" w:space="0"/>
            </w:tcBorders>
            <w:vAlign w:val="center"/>
          </w:tcPr>
          <w:p w14:paraId="00CDB99B">
            <w:pPr>
              <w:spacing w:line="240" w:lineRule="exact"/>
              <w:jc w:val="right"/>
              <w:rPr>
                <w:rFonts w:ascii="宋体" w:hAnsi="宋体" w:eastAsia="宋体" w:cs="宋体"/>
                <w:sz w:val="18"/>
                <w:szCs w:val="18"/>
              </w:rPr>
            </w:pPr>
            <w:r>
              <w:rPr>
                <w:rFonts w:ascii="宋体" w:hAnsi="宋体" w:eastAsia="宋体" w:cs="宋体"/>
                <w:sz w:val="18"/>
                <w:szCs w:val="18"/>
              </w:rPr>
              <w:t>12.08%</w:t>
            </w:r>
          </w:p>
        </w:tc>
        <w:tc>
          <w:tcPr>
            <w:tcW w:w="876" w:type="dxa"/>
            <w:tcBorders>
              <w:top w:val="single" w:color="auto" w:sz="2" w:space="0"/>
              <w:left w:val="single" w:color="auto" w:sz="2" w:space="0"/>
              <w:bottom w:val="single" w:color="auto" w:sz="2" w:space="0"/>
              <w:right w:val="single" w:color="auto" w:sz="2" w:space="0"/>
            </w:tcBorders>
            <w:vAlign w:val="center"/>
          </w:tcPr>
          <w:p w14:paraId="6F561F69">
            <w:pPr>
              <w:spacing w:line="240" w:lineRule="exact"/>
              <w:jc w:val="right"/>
              <w:rPr>
                <w:rFonts w:ascii="宋体" w:hAnsi="宋体" w:eastAsia="宋体" w:cs="宋体"/>
                <w:sz w:val="18"/>
                <w:szCs w:val="18"/>
              </w:rPr>
            </w:pPr>
            <w:r>
              <w:rPr>
                <w:rFonts w:ascii="宋体" w:hAnsi="宋体" w:eastAsia="宋体" w:cs="宋体"/>
                <w:sz w:val="18"/>
                <w:szCs w:val="18"/>
              </w:rPr>
              <w:t>329,993.87</w:t>
            </w:r>
          </w:p>
        </w:tc>
      </w:tr>
      <w:tr w14:paraId="5307645B">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6BAB039">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r w14:paraId="62084379">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A1D53E">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247E91BA">
            <w:pPr>
              <w:spacing w:line="240" w:lineRule="exact"/>
              <w:jc w:val="right"/>
              <w:rPr>
                <w:rFonts w:ascii="宋体" w:hAnsi="宋体" w:eastAsia="宋体" w:cs="宋体"/>
                <w:sz w:val="18"/>
                <w:szCs w:val="18"/>
              </w:rPr>
            </w:pPr>
            <w:r>
              <w:rPr>
                <w:rFonts w:ascii="宋体" w:hAnsi="宋体" w:eastAsia="宋体" w:cs="宋体"/>
                <w:sz w:val="18"/>
                <w:szCs w:val="18"/>
              </w:rPr>
              <w:t>450,003,440.34</w:t>
            </w:r>
          </w:p>
        </w:tc>
        <w:tc>
          <w:tcPr>
            <w:tcW w:w="876" w:type="dxa"/>
            <w:tcBorders>
              <w:top w:val="single" w:color="auto" w:sz="2" w:space="0"/>
              <w:left w:val="single" w:color="auto" w:sz="2" w:space="0"/>
              <w:bottom w:val="single" w:color="auto" w:sz="2" w:space="0"/>
              <w:right w:val="single" w:color="auto" w:sz="2" w:space="0"/>
            </w:tcBorders>
            <w:vAlign w:val="center"/>
          </w:tcPr>
          <w:p w14:paraId="26A95D1F">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A662BDA">
            <w:pPr>
              <w:spacing w:line="240" w:lineRule="exact"/>
              <w:jc w:val="right"/>
              <w:rPr>
                <w:rFonts w:ascii="宋体" w:hAnsi="宋体" w:eastAsia="宋体" w:cs="宋体"/>
                <w:sz w:val="18"/>
                <w:szCs w:val="18"/>
              </w:rPr>
            </w:pPr>
            <w:r>
              <w:rPr>
                <w:rFonts w:ascii="宋体" w:hAnsi="宋体" w:eastAsia="宋体" w:cs="宋体"/>
                <w:sz w:val="18"/>
                <w:szCs w:val="18"/>
              </w:rPr>
              <w:t>449,485,047.80</w:t>
            </w:r>
          </w:p>
        </w:tc>
        <w:tc>
          <w:tcPr>
            <w:tcW w:w="876" w:type="dxa"/>
            <w:tcBorders>
              <w:top w:val="single" w:color="auto" w:sz="2" w:space="0"/>
              <w:left w:val="single" w:color="auto" w:sz="2" w:space="0"/>
              <w:bottom w:val="single" w:color="auto" w:sz="2" w:space="0"/>
              <w:right w:val="single" w:color="auto" w:sz="2" w:space="0"/>
            </w:tcBorders>
            <w:vAlign w:val="center"/>
          </w:tcPr>
          <w:p w14:paraId="4CAD2FDF">
            <w:pPr>
              <w:spacing w:line="240" w:lineRule="exact"/>
              <w:jc w:val="right"/>
              <w:rPr>
                <w:rFonts w:ascii="宋体" w:hAnsi="宋体" w:eastAsia="宋体" w:cs="宋体"/>
                <w:sz w:val="18"/>
                <w:szCs w:val="18"/>
              </w:rPr>
            </w:pPr>
            <w:r>
              <w:rPr>
                <w:rFonts w:ascii="宋体" w:hAnsi="宋体" w:eastAsia="宋体" w:cs="宋体"/>
                <w:sz w:val="18"/>
                <w:szCs w:val="18"/>
              </w:rPr>
              <w:t>99.88%</w:t>
            </w:r>
          </w:p>
        </w:tc>
        <w:tc>
          <w:tcPr>
            <w:tcW w:w="876" w:type="dxa"/>
            <w:tcBorders>
              <w:top w:val="single" w:color="auto" w:sz="2" w:space="0"/>
              <w:left w:val="single" w:color="auto" w:sz="2" w:space="0"/>
              <w:bottom w:val="single" w:color="auto" w:sz="2" w:space="0"/>
              <w:right w:val="single" w:color="auto" w:sz="2" w:space="0"/>
            </w:tcBorders>
            <w:vAlign w:val="center"/>
          </w:tcPr>
          <w:p w14:paraId="2B126A82">
            <w:pPr>
              <w:spacing w:line="240" w:lineRule="exact"/>
              <w:jc w:val="right"/>
              <w:rPr>
                <w:rFonts w:ascii="宋体" w:hAnsi="宋体" w:eastAsia="宋体" w:cs="宋体"/>
                <w:sz w:val="18"/>
                <w:szCs w:val="18"/>
              </w:rPr>
            </w:pPr>
            <w:r>
              <w:rPr>
                <w:rFonts w:ascii="宋体" w:hAnsi="宋体" w:eastAsia="宋体" w:cs="宋体"/>
                <w:sz w:val="18"/>
                <w:szCs w:val="18"/>
              </w:rPr>
              <w:t>518,392.54</w:t>
            </w:r>
          </w:p>
        </w:tc>
        <w:tc>
          <w:tcPr>
            <w:tcW w:w="876" w:type="dxa"/>
            <w:tcBorders>
              <w:top w:val="single" w:color="auto" w:sz="2" w:space="0"/>
              <w:left w:val="single" w:color="auto" w:sz="2" w:space="0"/>
              <w:bottom w:val="single" w:color="auto" w:sz="2" w:space="0"/>
              <w:right w:val="single" w:color="auto" w:sz="2" w:space="0"/>
            </w:tcBorders>
            <w:vAlign w:val="center"/>
          </w:tcPr>
          <w:p w14:paraId="7C8CD7A9">
            <w:pPr>
              <w:spacing w:line="240" w:lineRule="exact"/>
              <w:jc w:val="right"/>
              <w:rPr>
                <w:rFonts w:ascii="宋体" w:hAnsi="宋体" w:eastAsia="宋体" w:cs="宋体"/>
                <w:sz w:val="18"/>
                <w:szCs w:val="18"/>
              </w:rPr>
            </w:pPr>
            <w:r>
              <w:rPr>
                <w:rFonts w:ascii="宋体" w:hAnsi="宋体" w:eastAsia="宋体" w:cs="宋体"/>
                <w:sz w:val="18"/>
                <w:szCs w:val="18"/>
              </w:rPr>
              <w:t>449,789,283.31</w:t>
            </w:r>
          </w:p>
        </w:tc>
        <w:tc>
          <w:tcPr>
            <w:tcW w:w="876" w:type="dxa"/>
            <w:tcBorders>
              <w:top w:val="single" w:color="auto" w:sz="2" w:space="0"/>
              <w:left w:val="single" w:color="auto" w:sz="2" w:space="0"/>
              <w:bottom w:val="single" w:color="auto" w:sz="2" w:space="0"/>
              <w:right w:val="single" w:color="auto" w:sz="2" w:space="0"/>
            </w:tcBorders>
            <w:vAlign w:val="center"/>
          </w:tcPr>
          <w:p w14:paraId="423A77D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813457F">
            <w:pPr>
              <w:spacing w:line="240" w:lineRule="exact"/>
              <w:jc w:val="right"/>
              <w:rPr>
                <w:rFonts w:ascii="宋体" w:hAnsi="宋体" w:eastAsia="宋体" w:cs="宋体"/>
                <w:sz w:val="18"/>
                <w:szCs w:val="18"/>
              </w:rPr>
            </w:pPr>
            <w:r>
              <w:rPr>
                <w:rFonts w:ascii="宋体" w:hAnsi="宋体" w:eastAsia="宋体" w:cs="宋体"/>
                <w:sz w:val="18"/>
                <w:szCs w:val="18"/>
              </w:rPr>
              <w:t>449,459,289.44</w:t>
            </w:r>
          </w:p>
        </w:tc>
        <w:tc>
          <w:tcPr>
            <w:tcW w:w="876" w:type="dxa"/>
            <w:tcBorders>
              <w:top w:val="single" w:color="auto" w:sz="2" w:space="0"/>
              <w:left w:val="single" w:color="auto" w:sz="2" w:space="0"/>
              <w:bottom w:val="single" w:color="auto" w:sz="2" w:space="0"/>
              <w:right w:val="single" w:color="auto" w:sz="2" w:space="0"/>
            </w:tcBorders>
            <w:vAlign w:val="center"/>
          </w:tcPr>
          <w:p w14:paraId="765DF84B">
            <w:pPr>
              <w:spacing w:line="240" w:lineRule="exact"/>
              <w:jc w:val="right"/>
              <w:rPr>
                <w:rFonts w:ascii="宋体" w:hAnsi="宋体" w:eastAsia="宋体" w:cs="宋体"/>
                <w:sz w:val="18"/>
                <w:szCs w:val="18"/>
              </w:rPr>
            </w:pPr>
            <w:r>
              <w:rPr>
                <w:rFonts w:ascii="宋体" w:hAnsi="宋体" w:eastAsia="宋体" w:cs="宋体"/>
                <w:sz w:val="18"/>
                <w:szCs w:val="18"/>
              </w:rPr>
              <w:t>99.93%</w:t>
            </w:r>
          </w:p>
        </w:tc>
        <w:tc>
          <w:tcPr>
            <w:tcW w:w="876" w:type="dxa"/>
            <w:tcBorders>
              <w:top w:val="single" w:color="auto" w:sz="2" w:space="0"/>
              <w:left w:val="single" w:color="auto" w:sz="2" w:space="0"/>
              <w:bottom w:val="single" w:color="auto" w:sz="2" w:space="0"/>
              <w:right w:val="single" w:color="auto" w:sz="2" w:space="0"/>
            </w:tcBorders>
            <w:vAlign w:val="center"/>
          </w:tcPr>
          <w:p w14:paraId="0E0B4950">
            <w:pPr>
              <w:spacing w:line="240" w:lineRule="exact"/>
              <w:jc w:val="right"/>
              <w:rPr>
                <w:rFonts w:ascii="宋体" w:hAnsi="宋体" w:eastAsia="宋体" w:cs="宋体"/>
                <w:sz w:val="18"/>
                <w:szCs w:val="18"/>
              </w:rPr>
            </w:pPr>
            <w:r>
              <w:rPr>
                <w:rFonts w:ascii="宋体" w:hAnsi="宋体" w:eastAsia="宋体" w:cs="宋体"/>
                <w:sz w:val="18"/>
                <w:szCs w:val="18"/>
              </w:rPr>
              <w:t>329,993.87</w:t>
            </w:r>
          </w:p>
        </w:tc>
      </w:tr>
    </w:tbl>
    <w:p w14:paraId="721168BF">
      <w:pPr>
        <w:spacing w:line="240" w:lineRule="exact"/>
        <w:rPr>
          <w:rFonts w:ascii="宋体" w:hAnsi="宋体" w:eastAsia="宋体" w:cs="宋体"/>
          <w:sz w:val="18"/>
          <w:szCs w:val="18"/>
        </w:rPr>
      </w:pPr>
      <w:r>
        <w:rPr>
          <w:rFonts w:ascii="宋体" w:hAnsi="宋体" w:eastAsia="宋体" w:cs="宋体"/>
          <w:sz w:val="18"/>
          <w:szCs w:val="18"/>
        </w:rPr>
        <w:t>按单项计提坏账准备类别名称：单项计提</w:t>
      </w:r>
    </w:p>
    <w:p w14:paraId="20EC67E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3324FA8">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85A5D16">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DB1E4D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CA5E44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41D3175">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26A2CA"/>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401984">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1FB9A4">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3219682">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97A91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3F4D4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2842F73">
            <w:pPr>
              <w:spacing w:before="40" w:after="40" w:line="240" w:lineRule="exact"/>
              <w:jc w:val="center"/>
              <w:rPr>
                <w:rFonts w:ascii="宋体" w:hAnsi="宋体" w:eastAsia="宋体" w:cs="宋体"/>
                <w:sz w:val="18"/>
                <w:szCs w:val="18"/>
              </w:rPr>
            </w:pPr>
            <w:r>
              <w:rPr>
                <w:rFonts w:ascii="宋体" w:hAnsi="宋体" w:eastAsia="宋体" w:cs="宋体"/>
                <w:sz w:val="18"/>
                <w:szCs w:val="18"/>
              </w:rPr>
              <w:t>计提理由</w:t>
            </w:r>
          </w:p>
        </w:tc>
      </w:tr>
      <w:tr w14:paraId="27E90A6B">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EFF37CF">
            <w:pPr>
              <w:spacing w:line="240" w:lineRule="exact"/>
              <w:rPr>
                <w:rFonts w:ascii="宋体" w:hAnsi="宋体" w:eastAsia="宋体" w:cs="宋体"/>
                <w:sz w:val="18"/>
                <w:szCs w:val="18"/>
              </w:rPr>
            </w:pPr>
            <w:r>
              <w:rPr>
                <w:rFonts w:ascii="宋体" w:hAnsi="宋体" w:eastAsia="宋体" w:cs="宋体"/>
                <w:sz w:val="18"/>
                <w:szCs w:val="18"/>
              </w:rPr>
              <w:t> 成都仕远置商贸有限责任公司</w:t>
            </w:r>
          </w:p>
        </w:tc>
        <w:tc>
          <w:tcPr>
            <w:tcW w:w="1377" w:type="dxa"/>
            <w:tcBorders>
              <w:top w:val="single" w:color="auto" w:sz="2" w:space="0"/>
              <w:left w:val="single" w:color="auto" w:sz="2" w:space="0"/>
              <w:bottom w:val="single" w:color="auto" w:sz="2" w:space="0"/>
              <w:right w:val="single" w:color="auto" w:sz="2" w:space="0"/>
            </w:tcBorders>
            <w:vAlign w:val="center"/>
          </w:tcPr>
          <w:p w14:paraId="000CE608">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09E16E9E">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285D4F3C">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1EB57BE5">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335ED25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7B723E6">
            <w:pPr>
              <w:spacing w:line="240" w:lineRule="exact"/>
              <w:rPr>
                <w:rFonts w:ascii="宋体" w:hAnsi="宋体" w:eastAsia="宋体" w:cs="宋体"/>
                <w:sz w:val="18"/>
                <w:szCs w:val="18"/>
              </w:rPr>
            </w:pPr>
            <w:r>
              <w:rPr>
                <w:rFonts w:ascii="宋体" w:hAnsi="宋体" w:eastAsia="宋体" w:cs="宋体"/>
                <w:sz w:val="18"/>
                <w:szCs w:val="18"/>
              </w:rPr>
              <w:t> 预计无法收回</w:t>
            </w:r>
          </w:p>
        </w:tc>
      </w:tr>
      <w:tr w14:paraId="5E97807C">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24178DF">
            <w:pPr>
              <w:spacing w:line="240" w:lineRule="exact"/>
              <w:rPr>
                <w:rFonts w:ascii="宋体" w:hAnsi="宋体" w:eastAsia="宋体" w:cs="宋体"/>
                <w:sz w:val="18"/>
                <w:szCs w:val="18"/>
              </w:rPr>
            </w:pPr>
            <w:r>
              <w:rPr>
                <w:rFonts w:ascii="宋体" w:hAnsi="宋体" w:eastAsia="宋体" w:cs="宋体"/>
                <w:sz w:val="18"/>
                <w:szCs w:val="18"/>
              </w:rPr>
              <w:t> 四川永成实业发展有限公司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14C6E03A">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2C94C30D">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620B831E">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6EB1F4FB">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3C102E48">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3CC459D">
            <w:pPr>
              <w:spacing w:line="240" w:lineRule="exact"/>
              <w:rPr>
                <w:rFonts w:ascii="宋体" w:hAnsi="宋体" w:eastAsia="宋体" w:cs="宋体"/>
                <w:sz w:val="18"/>
                <w:szCs w:val="18"/>
              </w:rPr>
            </w:pPr>
            <w:r>
              <w:rPr>
                <w:rFonts w:ascii="宋体" w:hAnsi="宋体" w:eastAsia="宋体" w:cs="宋体"/>
                <w:sz w:val="18"/>
                <w:szCs w:val="18"/>
              </w:rPr>
              <w:t> 预计无法收回</w:t>
            </w:r>
          </w:p>
        </w:tc>
      </w:tr>
      <w:tr w14:paraId="7ABAA90F">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528F6D3">
            <w:pPr>
              <w:spacing w:line="240" w:lineRule="exact"/>
              <w:rPr>
                <w:rFonts w:ascii="宋体" w:hAnsi="宋体" w:eastAsia="宋体" w:cs="宋体"/>
                <w:sz w:val="18"/>
                <w:szCs w:val="18"/>
              </w:rPr>
            </w:pPr>
            <w:r>
              <w:rPr>
                <w:rFonts w:ascii="宋体" w:hAnsi="宋体" w:eastAsia="宋体" w:cs="宋体"/>
                <w:sz w:val="18"/>
                <w:szCs w:val="18"/>
              </w:rPr>
              <w:t> 深圳市金脉青枫投资管理有限公司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3F91FE6E">
            <w:pPr>
              <w:spacing w:line="240" w:lineRule="exact"/>
              <w:jc w:val="right"/>
              <w:rPr>
                <w:rFonts w:ascii="宋体" w:hAnsi="宋体" w:eastAsia="宋体" w:cs="宋体"/>
                <w:sz w:val="18"/>
                <w:szCs w:val="18"/>
              </w:rPr>
            </w:pPr>
            <w:r>
              <w:rPr>
                <w:rFonts w:ascii="宋体" w:hAnsi="宋体" w:eastAsia="宋体" w:cs="宋体"/>
                <w:sz w:val="18"/>
                <w:szCs w:val="18"/>
              </w:rPr>
              <w:t>95,000,000.00</w:t>
            </w:r>
          </w:p>
        </w:tc>
        <w:tc>
          <w:tcPr>
            <w:tcW w:w="1377" w:type="dxa"/>
            <w:tcBorders>
              <w:top w:val="single" w:color="auto" w:sz="2" w:space="0"/>
              <w:left w:val="single" w:color="auto" w:sz="2" w:space="0"/>
              <w:bottom w:val="single" w:color="auto" w:sz="2" w:space="0"/>
              <w:right w:val="single" w:color="auto" w:sz="2" w:space="0"/>
            </w:tcBorders>
            <w:vAlign w:val="center"/>
          </w:tcPr>
          <w:p w14:paraId="5EDA8C83">
            <w:pPr>
              <w:spacing w:line="240" w:lineRule="exact"/>
              <w:jc w:val="right"/>
              <w:rPr>
                <w:rFonts w:ascii="宋体" w:hAnsi="宋体" w:eastAsia="宋体" w:cs="宋体"/>
                <w:sz w:val="18"/>
                <w:szCs w:val="18"/>
              </w:rPr>
            </w:pPr>
            <w:r>
              <w:rPr>
                <w:rFonts w:ascii="宋体" w:hAnsi="宋体" w:eastAsia="宋体" w:cs="宋体"/>
                <w:sz w:val="18"/>
                <w:szCs w:val="18"/>
              </w:rPr>
              <w:t>95,000,000.00</w:t>
            </w:r>
          </w:p>
        </w:tc>
        <w:tc>
          <w:tcPr>
            <w:tcW w:w="1377" w:type="dxa"/>
            <w:tcBorders>
              <w:top w:val="single" w:color="auto" w:sz="2" w:space="0"/>
              <w:left w:val="single" w:color="auto" w:sz="2" w:space="0"/>
              <w:bottom w:val="single" w:color="auto" w:sz="2" w:space="0"/>
              <w:right w:val="single" w:color="auto" w:sz="2" w:space="0"/>
            </w:tcBorders>
            <w:vAlign w:val="center"/>
          </w:tcPr>
          <w:p w14:paraId="014D7388">
            <w:pPr>
              <w:spacing w:line="240" w:lineRule="exact"/>
              <w:jc w:val="right"/>
              <w:rPr>
                <w:rFonts w:ascii="宋体" w:hAnsi="宋体" w:eastAsia="宋体" w:cs="宋体"/>
                <w:sz w:val="18"/>
                <w:szCs w:val="18"/>
              </w:rPr>
            </w:pPr>
            <w:r>
              <w:rPr>
                <w:rFonts w:ascii="宋体" w:hAnsi="宋体" w:eastAsia="宋体" w:cs="宋体"/>
                <w:sz w:val="18"/>
                <w:szCs w:val="18"/>
              </w:rPr>
              <w:t>95,000,000.00</w:t>
            </w:r>
          </w:p>
        </w:tc>
        <w:tc>
          <w:tcPr>
            <w:tcW w:w="1377" w:type="dxa"/>
            <w:tcBorders>
              <w:top w:val="single" w:color="auto" w:sz="2" w:space="0"/>
              <w:left w:val="single" w:color="auto" w:sz="2" w:space="0"/>
              <w:bottom w:val="single" w:color="auto" w:sz="2" w:space="0"/>
              <w:right w:val="single" w:color="auto" w:sz="2" w:space="0"/>
            </w:tcBorders>
            <w:vAlign w:val="center"/>
          </w:tcPr>
          <w:p w14:paraId="1355D823">
            <w:pPr>
              <w:spacing w:line="240" w:lineRule="exact"/>
              <w:jc w:val="right"/>
              <w:rPr>
                <w:rFonts w:ascii="宋体" w:hAnsi="宋体" w:eastAsia="宋体" w:cs="宋体"/>
                <w:sz w:val="18"/>
                <w:szCs w:val="18"/>
              </w:rPr>
            </w:pPr>
            <w:r>
              <w:rPr>
                <w:rFonts w:ascii="宋体" w:hAnsi="宋体" w:eastAsia="宋体" w:cs="宋体"/>
                <w:sz w:val="18"/>
                <w:szCs w:val="18"/>
              </w:rPr>
              <w:t>95,000,000.00</w:t>
            </w:r>
          </w:p>
        </w:tc>
        <w:tc>
          <w:tcPr>
            <w:tcW w:w="1377" w:type="dxa"/>
            <w:tcBorders>
              <w:top w:val="single" w:color="auto" w:sz="2" w:space="0"/>
              <w:left w:val="single" w:color="auto" w:sz="2" w:space="0"/>
              <w:bottom w:val="single" w:color="auto" w:sz="2" w:space="0"/>
              <w:right w:val="single" w:color="auto" w:sz="2" w:space="0"/>
            </w:tcBorders>
            <w:vAlign w:val="center"/>
          </w:tcPr>
          <w:p w14:paraId="5F51853D">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5716849">
            <w:pPr>
              <w:spacing w:line="240" w:lineRule="exact"/>
              <w:rPr>
                <w:rFonts w:ascii="宋体" w:hAnsi="宋体" w:eastAsia="宋体" w:cs="宋体"/>
                <w:sz w:val="18"/>
                <w:szCs w:val="18"/>
              </w:rPr>
            </w:pPr>
            <w:r>
              <w:rPr>
                <w:rFonts w:ascii="宋体" w:hAnsi="宋体" w:eastAsia="宋体" w:cs="宋体"/>
                <w:sz w:val="18"/>
                <w:szCs w:val="18"/>
              </w:rPr>
              <w:t> 预计无法收回</w:t>
            </w:r>
          </w:p>
        </w:tc>
      </w:tr>
      <w:tr w14:paraId="5FE32D2E">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5F49DE8">
            <w:pPr>
              <w:spacing w:line="240" w:lineRule="exact"/>
              <w:rPr>
                <w:rFonts w:ascii="宋体" w:hAnsi="宋体" w:eastAsia="宋体" w:cs="宋体"/>
                <w:sz w:val="18"/>
                <w:szCs w:val="18"/>
              </w:rPr>
            </w:pPr>
            <w:r>
              <w:rPr>
                <w:rFonts w:ascii="宋体" w:hAnsi="宋体" w:eastAsia="宋体" w:cs="宋体"/>
                <w:sz w:val="18"/>
                <w:szCs w:val="18"/>
              </w:rPr>
              <w:t> 西藏远征包装有限公司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745AB80D">
            <w:pPr>
              <w:spacing w:line="240" w:lineRule="exact"/>
              <w:jc w:val="right"/>
              <w:rPr>
                <w:rFonts w:ascii="宋体" w:hAnsi="宋体" w:eastAsia="宋体" w:cs="宋体"/>
                <w:sz w:val="18"/>
                <w:szCs w:val="18"/>
              </w:rPr>
            </w:pPr>
            <w:r>
              <w:rPr>
                <w:rFonts w:ascii="宋体" w:hAnsi="宋体" w:eastAsia="宋体" w:cs="宋体"/>
                <w:sz w:val="18"/>
                <w:szCs w:val="18"/>
              </w:rPr>
              <w:t>51,167,566.02</w:t>
            </w:r>
          </w:p>
        </w:tc>
        <w:tc>
          <w:tcPr>
            <w:tcW w:w="1377" w:type="dxa"/>
            <w:tcBorders>
              <w:top w:val="single" w:color="auto" w:sz="2" w:space="0"/>
              <w:left w:val="single" w:color="auto" w:sz="2" w:space="0"/>
              <w:bottom w:val="single" w:color="auto" w:sz="2" w:space="0"/>
              <w:right w:val="single" w:color="auto" w:sz="2" w:space="0"/>
            </w:tcBorders>
            <w:vAlign w:val="center"/>
          </w:tcPr>
          <w:p w14:paraId="5753C4B4">
            <w:pPr>
              <w:spacing w:line="240" w:lineRule="exact"/>
              <w:jc w:val="right"/>
              <w:rPr>
                <w:rFonts w:ascii="宋体" w:hAnsi="宋体" w:eastAsia="宋体" w:cs="宋体"/>
                <w:sz w:val="18"/>
                <w:szCs w:val="18"/>
              </w:rPr>
            </w:pPr>
            <w:r>
              <w:rPr>
                <w:rFonts w:ascii="宋体" w:hAnsi="宋体" w:eastAsia="宋体" w:cs="宋体"/>
                <w:sz w:val="18"/>
                <w:szCs w:val="18"/>
              </w:rPr>
              <w:t>51,167,566.02</w:t>
            </w:r>
          </w:p>
        </w:tc>
        <w:tc>
          <w:tcPr>
            <w:tcW w:w="1377" w:type="dxa"/>
            <w:tcBorders>
              <w:top w:val="single" w:color="auto" w:sz="2" w:space="0"/>
              <w:left w:val="single" w:color="auto" w:sz="2" w:space="0"/>
              <w:bottom w:val="single" w:color="auto" w:sz="2" w:space="0"/>
              <w:right w:val="single" w:color="auto" w:sz="2" w:space="0"/>
            </w:tcBorders>
            <w:vAlign w:val="center"/>
          </w:tcPr>
          <w:p w14:paraId="43AE2281">
            <w:pPr>
              <w:spacing w:line="240" w:lineRule="exact"/>
              <w:jc w:val="right"/>
              <w:rPr>
                <w:rFonts w:ascii="宋体" w:hAnsi="宋体" w:eastAsia="宋体" w:cs="宋体"/>
                <w:sz w:val="18"/>
                <w:szCs w:val="18"/>
              </w:rPr>
            </w:pPr>
            <w:r>
              <w:rPr>
                <w:rFonts w:ascii="宋体" w:hAnsi="宋体" w:eastAsia="宋体" w:cs="宋体"/>
                <w:sz w:val="18"/>
                <w:szCs w:val="18"/>
              </w:rPr>
              <w:t>51,167,566.02</w:t>
            </w:r>
          </w:p>
        </w:tc>
        <w:tc>
          <w:tcPr>
            <w:tcW w:w="1377" w:type="dxa"/>
            <w:tcBorders>
              <w:top w:val="single" w:color="auto" w:sz="2" w:space="0"/>
              <w:left w:val="single" w:color="auto" w:sz="2" w:space="0"/>
              <w:bottom w:val="single" w:color="auto" w:sz="2" w:space="0"/>
              <w:right w:val="single" w:color="auto" w:sz="2" w:space="0"/>
            </w:tcBorders>
            <w:vAlign w:val="center"/>
          </w:tcPr>
          <w:p w14:paraId="0A6E8509">
            <w:pPr>
              <w:spacing w:line="240" w:lineRule="exact"/>
              <w:jc w:val="right"/>
              <w:rPr>
                <w:rFonts w:ascii="宋体" w:hAnsi="宋体" w:eastAsia="宋体" w:cs="宋体"/>
                <w:sz w:val="18"/>
                <w:szCs w:val="18"/>
              </w:rPr>
            </w:pPr>
            <w:r>
              <w:rPr>
                <w:rFonts w:ascii="宋体" w:hAnsi="宋体" w:eastAsia="宋体" w:cs="宋体"/>
                <w:sz w:val="18"/>
                <w:szCs w:val="18"/>
              </w:rPr>
              <w:t>51,167,566.02</w:t>
            </w:r>
          </w:p>
        </w:tc>
        <w:tc>
          <w:tcPr>
            <w:tcW w:w="1377" w:type="dxa"/>
            <w:tcBorders>
              <w:top w:val="single" w:color="auto" w:sz="2" w:space="0"/>
              <w:left w:val="single" w:color="auto" w:sz="2" w:space="0"/>
              <w:bottom w:val="single" w:color="auto" w:sz="2" w:space="0"/>
              <w:right w:val="single" w:color="auto" w:sz="2" w:space="0"/>
            </w:tcBorders>
            <w:vAlign w:val="center"/>
          </w:tcPr>
          <w:p w14:paraId="4CF25966">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085C8190">
            <w:pPr>
              <w:spacing w:line="240" w:lineRule="exact"/>
              <w:rPr>
                <w:rFonts w:ascii="宋体" w:hAnsi="宋体" w:eastAsia="宋体" w:cs="宋体"/>
                <w:sz w:val="18"/>
                <w:szCs w:val="18"/>
              </w:rPr>
            </w:pPr>
            <w:r>
              <w:rPr>
                <w:rFonts w:ascii="宋体" w:hAnsi="宋体" w:eastAsia="宋体" w:cs="宋体"/>
                <w:sz w:val="18"/>
                <w:szCs w:val="18"/>
              </w:rPr>
              <w:t> 预计无法收回</w:t>
            </w:r>
          </w:p>
        </w:tc>
      </w:tr>
      <w:tr w14:paraId="4BCDE0D2">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9491C92">
            <w:pPr>
              <w:spacing w:line="240" w:lineRule="exact"/>
              <w:rPr>
                <w:rFonts w:ascii="宋体" w:hAnsi="宋体" w:eastAsia="宋体" w:cs="宋体"/>
                <w:sz w:val="18"/>
                <w:szCs w:val="18"/>
              </w:rPr>
            </w:pPr>
            <w:r>
              <w:rPr>
                <w:rFonts w:ascii="宋体" w:hAnsi="宋体" w:eastAsia="宋体" w:cs="宋体"/>
                <w:sz w:val="18"/>
                <w:szCs w:val="18"/>
              </w:rPr>
              <w:t> 苏州华信善达力创投资企业（有限合伙）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74D9E53A">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663BDA41">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2130D6F1">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69B2A188">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04EBD146">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65C82F5D">
            <w:pPr>
              <w:spacing w:line="240" w:lineRule="exact"/>
              <w:rPr>
                <w:rFonts w:ascii="宋体" w:hAnsi="宋体" w:eastAsia="宋体" w:cs="宋体"/>
                <w:sz w:val="18"/>
                <w:szCs w:val="18"/>
              </w:rPr>
            </w:pPr>
            <w:r>
              <w:rPr>
                <w:rFonts w:ascii="宋体" w:hAnsi="宋体" w:eastAsia="宋体" w:cs="宋体"/>
                <w:sz w:val="18"/>
                <w:szCs w:val="18"/>
              </w:rPr>
              <w:t> 预计无法收回</w:t>
            </w:r>
          </w:p>
        </w:tc>
      </w:tr>
      <w:tr w14:paraId="349BC9BB">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436B08E">
            <w:pPr>
              <w:spacing w:line="240" w:lineRule="exact"/>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31201061">
            <w:pPr>
              <w:spacing w:line="240" w:lineRule="exact"/>
              <w:jc w:val="right"/>
              <w:rPr>
                <w:rFonts w:ascii="宋体" w:hAnsi="宋体" w:eastAsia="宋体" w:cs="宋体"/>
                <w:sz w:val="18"/>
                <w:szCs w:val="18"/>
              </w:rPr>
            </w:pPr>
            <w:r>
              <w:rPr>
                <w:rFonts w:ascii="宋体" w:hAnsi="宋体" w:eastAsia="宋体" w:cs="宋体"/>
                <w:sz w:val="18"/>
                <w:szCs w:val="18"/>
              </w:rPr>
              <w:t>1,520,403.87</w:t>
            </w:r>
          </w:p>
        </w:tc>
        <w:tc>
          <w:tcPr>
            <w:tcW w:w="1377" w:type="dxa"/>
            <w:tcBorders>
              <w:top w:val="single" w:color="auto" w:sz="2" w:space="0"/>
              <w:left w:val="single" w:color="auto" w:sz="2" w:space="0"/>
              <w:bottom w:val="single" w:color="auto" w:sz="2" w:space="0"/>
              <w:right w:val="single" w:color="auto" w:sz="2" w:space="0"/>
            </w:tcBorders>
            <w:vAlign w:val="center"/>
          </w:tcPr>
          <w:p w14:paraId="36211615">
            <w:pPr>
              <w:spacing w:line="240" w:lineRule="exact"/>
              <w:jc w:val="right"/>
              <w:rPr>
                <w:rFonts w:ascii="宋体" w:hAnsi="宋体" w:eastAsia="宋体" w:cs="宋体"/>
                <w:sz w:val="18"/>
                <w:szCs w:val="18"/>
              </w:rPr>
            </w:pPr>
            <w:r>
              <w:rPr>
                <w:rFonts w:ascii="宋体" w:hAnsi="宋体" w:eastAsia="宋体" w:cs="宋体"/>
                <w:sz w:val="18"/>
                <w:szCs w:val="18"/>
              </w:rPr>
              <w:t>1,520,403.87</w:t>
            </w:r>
          </w:p>
        </w:tc>
        <w:tc>
          <w:tcPr>
            <w:tcW w:w="1377" w:type="dxa"/>
            <w:tcBorders>
              <w:top w:val="single" w:color="auto" w:sz="2" w:space="0"/>
              <w:left w:val="single" w:color="auto" w:sz="2" w:space="0"/>
              <w:bottom w:val="single" w:color="auto" w:sz="2" w:space="0"/>
              <w:right w:val="single" w:color="auto" w:sz="2" w:space="0"/>
            </w:tcBorders>
            <w:vAlign w:val="center"/>
          </w:tcPr>
          <w:p w14:paraId="2E58E9FD">
            <w:pPr>
              <w:spacing w:line="240" w:lineRule="exact"/>
              <w:jc w:val="right"/>
              <w:rPr>
                <w:rFonts w:ascii="宋体" w:hAnsi="宋体" w:eastAsia="宋体" w:cs="宋体"/>
                <w:sz w:val="18"/>
                <w:szCs w:val="18"/>
              </w:rPr>
            </w:pPr>
            <w:r>
              <w:rPr>
                <w:rFonts w:ascii="宋体" w:hAnsi="宋体" w:eastAsia="宋体" w:cs="宋体"/>
                <w:sz w:val="18"/>
                <w:szCs w:val="18"/>
              </w:rPr>
              <w:t>1,527,390.87</w:t>
            </w:r>
          </w:p>
        </w:tc>
        <w:tc>
          <w:tcPr>
            <w:tcW w:w="1377" w:type="dxa"/>
            <w:tcBorders>
              <w:top w:val="single" w:color="auto" w:sz="2" w:space="0"/>
              <w:left w:val="single" w:color="auto" w:sz="2" w:space="0"/>
              <w:bottom w:val="single" w:color="auto" w:sz="2" w:space="0"/>
              <w:right w:val="single" w:color="auto" w:sz="2" w:space="0"/>
            </w:tcBorders>
            <w:vAlign w:val="center"/>
          </w:tcPr>
          <w:p w14:paraId="241557E4">
            <w:pPr>
              <w:spacing w:line="240" w:lineRule="exact"/>
              <w:jc w:val="righ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w:t>
            </w:r>
            <w:r>
              <w:rPr>
                <w:rFonts w:ascii="宋体" w:hAnsi="宋体" w:eastAsia="宋体" w:cs="宋体"/>
                <w:sz w:val="18"/>
                <w:szCs w:val="18"/>
              </w:rPr>
              <w:t>527</w:t>
            </w:r>
            <w:r>
              <w:rPr>
                <w:rFonts w:hint="eastAsia" w:ascii="宋体" w:hAnsi="宋体" w:eastAsia="宋体" w:cs="宋体"/>
                <w:sz w:val="18"/>
                <w:szCs w:val="18"/>
              </w:rPr>
              <w:t>,</w:t>
            </w:r>
            <w:r>
              <w:rPr>
                <w:rFonts w:ascii="宋体" w:hAnsi="宋体" w:eastAsia="宋体" w:cs="宋体"/>
                <w:sz w:val="18"/>
                <w:szCs w:val="18"/>
              </w:rPr>
              <w:t>390.87</w:t>
            </w:r>
          </w:p>
        </w:tc>
        <w:tc>
          <w:tcPr>
            <w:tcW w:w="1377" w:type="dxa"/>
            <w:tcBorders>
              <w:top w:val="single" w:color="auto" w:sz="2" w:space="0"/>
              <w:left w:val="single" w:color="auto" w:sz="2" w:space="0"/>
              <w:bottom w:val="single" w:color="auto" w:sz="2" w:space="0"/>
              <w:right w:val="single" w:color="auto" w:sz="2" w:space="0"/>
            </w:tcBorders>
            <w:vAlign w:val="center"/>
          </w:tcPr>
          <w:p w14:paraId="61D99C85">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74567A39">
            <w:pPr>
              <w:spacing w:line="240" w:lineRule="exact"/>
              <w:rPr>
                <w:rFonts w:ascii="宋体" w:hAnsi="宋体" w:eastAsia="宋体" w:cs="宋体"/>
                <w:sz w:val="18"/>
                <w:szCs w:val="18"/>
              </w:rPr>
            </w:pPr>
            <w:r>
              <w:rPr>
                <w:rFonts w:ascii="宋体" w:hAnsi="宋体" w:eastAsia="宋体" w:cs="宋体"/>
                <w:sz w:val="18"/>
                <w:szCs w:val="18"/>
              </w:rPr>
              <w:t> 预计无法收回</w:t>
            </w:r>
          </w:p>
        </w:tc>
      </w:tr>
      <w:tr w14:paraId="78A5EB60">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96C97F">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EBD00AD">
            <w:pPr>
              <w:spacing w:line="240" w:lineRule="exact"/>
              <w:jc w:val="right"/>
              <w:rPr>
                <w:rFonts w:ascii="宋体" w:hAnsi="宋体" w:eastAsia="宋体" w:cs="宋体"/>
                <w:sz w:val="18"/>
                <w:szCs w:val="18"/>
              </w:rPr>
            </w:pPr>
            <w:r>
              <w:rPr>
                <w:rFonts w:ascii="宋体" w:hAnsi="宋体" w:eastAsia="宋体" w:cs="宋体"/>
                <w:sz w:val="18"/>
                <w:szCs w:val="18"/>
              </w:rPr>
              <w:t>449,413,969.89</w:t>
            </w:r>
          </w:p>
        </w:tc>
        <w:tc>
          <w:tcPr>
            <w:tcW w:w="1377" w:type="dxa"/>
            <w:tcBorders>
              <w:top w:val="single" w:color="auto" w:sz="2" w:space="0"/>
              <w:left w:val="single" w:color="auto" w:sz="2" w:space="0"/>
              <w:bottom w:val="single" w:color="auto" w:sz="2" w:space="0"/>
              <w:right w:val="single" w:color="auto" w:sz="2" w:space="0"/>
            </w:tcBorders>
            <w:vAlign w:val="center"/>
          </w:tcPr>
          <w:p w14:paraId="43CFCA22">
            <w:pPr>
              <w:spacing w:line="240" w:lineRule="exact"/>
              <w:jc w:val="right"/>
              <w:rPr>
                <w:rFonts w:ascii="宋体" w:hAnsi="宋体" w:eastAsia="宋体" w:cs="宋体"/>
                <w:sz w:val="18"/>
                <w:szCs w:val="18"/>
              </w:rPr>
            </w:pPr>
            <w:r>
              <w:rPr>
                <w:rFonts w:ascii="宋体" w:hAnsi="宋体" w:eastAsia="宋体" w:cs="宋体"/>
                <w:sz w:val="18"/>
                <w:szCs w:val="18"/>
              </w:rPr>
              <w:t>449,413,969.89</w:t>
            </w:r>
          </w:p>
        </w:tc>
        <w:tc>
          <w:tcPr>
            <w:tcW w:w="1377" w:type="dxa"/>
            <w:tcBorders>
              <w:top w:val="single" w:color="auto" w:sz="2" w:space="0"/>
              <w:left w:val="single" w:color="auto" w:sz="2" w:space="0"/>
              <w:bottom w:val="single" w:color="auto" w:sz="2" w:space="0"/>
              <w:right w:val="single" w:color="auto" w:sz="2" w:space="0"/>
            </w:tcBorders>
            <w:vAlign w:val="center"/>
          </w:tcPr>
          <w:p w14:paraId="158A59AA">
            <w:pPr>
              <w:spacing w:line="240" w:lineRule="exact"/>
              <w:jc w:val="right"/>
              <w:rPr>
                <w:rFonts w:ascii="宋体" w:hAnsi="宋体" w:eastAsia="宋体" w:cs="宋体"/>
                <w:sz w:val="18"/>
                <w:szCs w:val="18"/>
              </w:rPr>
            </w:pPr>
            <w:r>
              <w:rPr>
                <w:rFonts w:ascii="宋体" w:hAnsi="宋体" w:eastAsia="宋体" w:cs="宋体"/>
                <w:sz w:val="18"/>
                <w:szCs w:val="18"/>
              </w:rPr>
              <w:t>449,420,956.89</w:t>
            </w:r>
          </w:p>
        </w:tc>
        <w:tc>
          <w:tcPr>
            <w:tcW w:w="1377" w:type="dxa"/>
            <w:tcBorders>
              <w:top w:val="single" w:color="auto" w:sz="2" w:space="0"/>
              <w:left w:val="single" w:color="auto" w:sz="2" w:space="0"/>
              <w:bottom w:val="single" w:color="auto" w:sz="2" w:space="0"/>
              <w:right w:val="single" w:color="auto" w:sz="2" w:space="0"/>
            </w:tcBorders>
            <w:vAlign w:val="center"/>
          </w:tcPr>
          <w:p w14:paraId="779E8407">
            <w:pPr>
              <w:spacing w:line="240" w:lineRule="exact"/>
              <w:jc w:val="right"/>
              <w:rPr>
                <w:rFonts w:ascii="宋体" w:hAnsi="宋体" w:eastAsia="宋体" w:cs="宋体"/>
                <w:sz w:val="18"/>
                <w:szCs w:val="18"/>
              </w:rPr>
            </w:pPr>
            <w:r>
              <w:rPr>
                <w:rFonts w:ascii="宋体" w:hAnsi="宋体" w:eastAsia="宋体" w:cs="宋体"/>
                <w:sz w:val="18"/>
                <w:szCs w:val="18"/>
              </w:rPr>
              <w:t>449,420,956.89</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73C065E"/>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4CD0782"/>
        </w:tc>
      </w:tr>
    </w:tbl>
    <w:p w14:paraId="1043CA79">
      <w:pPr>
        <w:spacing w:line="240" w:lineRule="exact"/>
        <w:rPr>
          <w:rFonts w:ascii="宋体" w:hAnsi="宋体" w:eastAsia="宋体" w:cs="宋体"/>
          <w:sz w:val="18"/>
          <w:szCs w:val="18"/>
        </w:rPr>
      </w:pPr>
      <w:r>
        <w:rPr>
          <w:rFonts w:ascii="宋体" w:hAnsi="宋体" w:eastAsia="宋体" w:cs="宋体"/>
          <w:sz w:val="18"/>
          <w:szCs w:val="18"/>
        </w:rPr>
        <w:t>按组合计提坏账准备类别名称：账龄组合</w:t>
      </w:r>
    </w:p>
    <w:p w14:paraId="13BB3C8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40E6568E">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0DE635">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D45269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CD2537B">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936E69"/>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5FF906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853AC97">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D10E949">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547C0476">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BD99E34">
            <w:pPr>
              <w:spacing w:line="240" w:lineRule="exac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569708EE">
            <w:pPr>
              <w:spacing w:line="240" w:lineRule="exact"/>
              <w:jc w:val="right"/>
              <w:rPr>
                <w:rFonts w:ascii="宋体" w:hAnsi="宋体" w:eastAsia="宋体" w:cs="宋体"/>
                <w:sz w:val="18"/>
                <w:szCs w:val="18"/>
              </w:rPr>
            </w:pPr>
            <w:r>
              <w:rPr>
                <w:rFonts w:ascii="宋体" w:hAnsi="宋体" w:eastAsia="宋体" w:cs="宋体"/>
                <w:sz w:val="18"/>
                <w:szCs w:val="18"/>
              </w:rPr>
              <w:t>258,570.55</w:t>
            </w:r>
          </w:p>
        </w:tc>
        <w:tc>
          <w:tcPr>
            <w:tcW w:w="2410" w:type="dxa"/>
            <w:tcBorders>
              <w:top w:val="single" w:color="auto" w:sz="2" w:space="0"/>
              <w:left w:val="single" w:color="auto" w:sz="2" w:space="0"/>
              <w:bottom w:val="single" w:color="auto" w:sz="2" w:space="0"/>
              <w:right w:val="single" w:color="auto" w:sz="2" w:space="0"/>
            </w:tcBorders>
            <w:vAlign w:val="center"/>
          </w:tcPr>
          <w:p w14:paraId="7B3E7CB5">
            <w:pPr>
              <w:spacing w:line="240" w:lineRule="exact"/>
              <w:jc w:val="right"/>
              <w:rPr>
                <w:rFonts w:ascii="宋体" w:hAnsi="宋体" w:eastAsia="宋体" w:cs="宋体"/>
                <w:sz w:val="18"/>
                <w:szCs w:val="18"/>
              </w:rPr>
            </w:pPr>
            <w:r>
              <w:rPr>
                <w:rFonts w:ascii="宋体" w:hAnsi="宋体" w:eastAsia="宋体" w:cs="宋体"/>
                <w:sz w:val="18"/>
                <w:szCs w:val="18"/>
              </w:rPr>
              <w:t>12,928.53</w:t>
            </w:r>
          </w:p>
        </w:tc>
        <w:tc>
          <w:tcPr>
            <w:tcW w:w="2410" w:type="dxa"/>
            <w:tcBorders>
              <w:top w:val="single" w:color="auto" w:sz="2" w:space="0"/>
              <w:left w:val="single" w:color="auto" w:sz="2" w:space="0"/>
              <w:bottom w:val="single" w:color="auto" w:sz="2" w:space="0"/>
              <w:right w:val="single" w:color="auto" w:sz="2" w:space="0"/>
            </w:tcBorders>
            <w:vAlign w:val="center"/>
          </w:tcPr>
          <w:p w14:paraId="27431B53">
            <w:pPr>
              <w:spacing w:line="240" w:lineRule="exact"/>
              <w:jc w:val="right"/>
              <w:rPr>
                <w:rFonts w:ascii="宋体" w:hAnsi="宋体" w:eastAsia="宋体" w:cs="宋体"/>
                <w:sz w:val="18"/>
                <w:szCs w:val="18"/>
              </w:rPr>
            </w:pPr>
            <w:r>
              <w:rPr>
                <w:rFonts w:ascii="宋体" w:hAnsi="宋体" w:eastAsia="宋体" w:cs="宋体"/>
                <w:sz w:val="18"/>
                <w:szCs w:val="18"/>
              </w:rPr>
              <w:t>5.00%</w:t>
            </w:r>
          </w:p>
        </w:tc>
      </w:tr>
      <w:tr w14:paraId="33CA03CA">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4C3FD62">
            <w:pPr>
              <w:spacing w:line="240" w:lineRule="exact"/>
              <w:rPr>
                <w:rFonts w:ascii="宋体" w:hAnsi="宋体" w:eastAsia="宋体" w:cs="宋体"/>
                <w:sz w:val="18"/>
                <w:szCs w:val="18"/>
              </w:rPr>
            </w:pPr>
            <w:r>
              <w:rPr>
                <w:rFonts w:ascii="宋体" w:hAnsi="宋体" w:eastAsia="宋体" w:cs="宋体"/>
                <w:sz w:val="18"/>
                <w:szCs w:val="18"/>
              </w:rPr>
              <w:t> 1-2年</w:t>
            </w:r>
          </w:p>
        </w:tc>
        <w:tc>
          <w:tcPr>
            <w:tcW w:w="2410" w:type="dxa"/>
            <w:tcBorders>
              <w:top w:val="single" w:color="auto" w:sz="2" w:space="0"/>
              <w:left w:val="single" w:color="auto" w:sz="2" w:space="0"/>
              <w:bottom w:val="single" w:color="auto" w:sz="2" w:space="0"/>
              <w:right w:val="single" w:color="auto" w:sz="2" w:space="0"/>
            </w:tcBorders>
            <w:vAlign w:val="center"/>
          </w:tcPr>
          <w:p w14:paraId="5DDC5C43">
            <w:pPr>
              <w:spacing w:line="240" w:lineRule="exact"/>
              <w:jc w:val="right"/>
              <w:rPr>
                <w:rFonts w:ascii="宋体" w:hAnsi="宋体" w:eastAsia="宋体" w:cs="宋体"/>
                <w:sz w:val="18"/>
                <w:szCs w:val="18"/>
              </w:rPr>
            </w:pPr>
            <w:r>
              <w:rPr>
                <w:rFonts w:ascii="宋体" w:hAnsi="宋体" w:eastAsia="宋体" w:cs="宋体"/>
                <w:sz w:val="18"/>
                <w:szCs w:val="18"/>
              </w:rPr>
              <w:t>247,095.40</w:t>
            </w:r>
          </w:p>
        </w:tc>
        <w:tc>
          <w:tcPr>
            <w:tcW w:w="2410" w:type="dxa"/>
            <w:tcBorders>
              <w:top w:val="single" w:color="auto" w:sz="2" w:space="0"/>
              <w:left w:val="single" w:color="auto" w:sz="2" w:space="0"/>
              <w:bottom w:val="single" w:color="auto" w:sz="2" w:space="0"/>
              <w:right w:val="single" w:color="auto" w:sz="2" w:space="0"/>
            </w:tcBorders>
            <w:vAlign w:val="center"/>
          </w:tcPr>
          <w:p w14:paraId="69CC5100">
            <w:pPr>
              <w:spacing w:line="240" w:lineRule="exact"/>
              <w:jc w:val="right"/>
              <w:rPr>
                <w:rFonts w:ascii="宋体" w:hAnsi="宋体" w:eastAsia="宋体" w:cs="宋体"/>
                <w:sz w:val="18"/>
                <w:szCs w:val="18"/>
              </w:rPr>
            </w:pPr>
            <w:r>
              <w:rPr>
                <w:rFonts w:ascii="宋体" w:hAnsi="宋体" w:eastAsia="宋体" w:cs="宋体"/>
                <w:sz w:val="18"/>
                <w:szCs w:val="18"/>
              </w:rPr>
              <w:t>19,767.63</w:t>
            </w:r>
          </w:p>
        </w:tc>
        <w:tc>
          <w:tcPr>
            <w:tcW w:w="2410" w:type="dxa"/>
            <w:tcBorders>
              <w:top w:val="single" w:color="auto" w:sz="2" w:space="0"/>
              <w:left w:val="single" w:color="auto" w:sz="2" w:space="0"/>
              <w:bottom w:val="single" w:color="auto" w:sz="2" w:space="0"/>
              <w:right w:val="single" w:color="auto" w:sz="2" w:space="0"/>
            </w:tcBorders>
            <w:vAlign w:val="center"/>
          </w:tcPr>
          <w:p w14:paraId="5E4C64F5">
            <w:pPr>
              <w:spacing w:line="240" w:lineRule="exact"/>
              <w:jc w:val="right"/>
              <w:rPr>
                <w:rFonts w:ascii="宋体" w:hAnsi="宋体" w:eastAsia="宋体" w:cs="宋体"/>
                <w:sz w:val="18"/>
                <w:szCs w:val="18"/>
              </w:rPr>
            </w:pPr>
            <w:r>
              <w:rPr>
                <w:rFonts w:ascii="宋体" w:hAnsi="宋体" w:eastAsia="宋体" w:cs="宋体"/>
                <w:sz w:val="18"/>
                <w:szCs w:val="18"/>
              </w:rPr>
              <w:t>8.00%</w:t>
            </w:r>
          </w:p>
        </w:tc>
      </w:tr>
      <w:tr w14:paraId="431D6155">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8002EBA">
            <w:pPr>
              <w:spacing w:line="240" w:lineRule="exact"/>
              <w:rPr>
                <w:rFonts w:ascii="宋体" w:hAnsi="宋体" w:eastAsia="宋体" w:cs="宋体"/>
                <w:sz w:val="18"/>
                <w:szCs w:val="18"/>
              </w:rPr>
            </w:pPr>
            <w:r>
              <w:rPr>
                <w:rFonts w:ascii="宋体" w:hAnsi="宋体" w:eastAsia="宋体" w:cs="宋体"/>
                <w:sz w:val="18"/>
                <w:szCs w:val="18"/>
              </w:rPr>
              <w:t> 3-4年</w:t>
            </w:r>
          </w:p>
        </w:tc>
        <w:tc>
          <w:tcPr>
            <w:tcW w:w="2410" w:type="dxa"/>
            <w:tcBorders>
              <w:top w:val="single" w:color="auto" w:sz="2" w:space="0"/>
              <w:left w:val="single" w:color="auto" w:sz="2" w:space="0"/>
              <w:bottom w:val="single" w:color="auto" w:sz="2" w:space="0"/>
              <w:right w:val="single" w:color="auto" w:sz="2" w:space="0"/>
            </w:tcBorders>
            <w:vAlign w:val="center"/>
          </w:tcPr>
          <w:p w14:paraId="6A0D874F">
            <w:pPr>
              <w:spacing w:line="240" w:lineRule="exact"/>
              <w:jc w:val="right"/>
              <w:rPr>
                <w:rFonts w:ascii="宋体" w:hAnsi="宋体" w:eastAsia="宋体" w:cs="宋体"/>
                <w:sz w:val="18"/>
                <w:szCs w:val="18"/>
              </w:rPr>
            </w:pPr>
            <w:r>
              <w:rPr>
                <w:rFonts w:ascii="宋体" w:hAnsi="宋体" w:eastAsia="宋体" w:cs="宋体"/>
                <w:sz w:val="18"/>
                <w:szCs w:val="18"/>
              </w:rPr>
              <w:t>23,380.00</w:t>
            </w:r>
          </w:p>
        </w:tc>
        <w:tc>
          <w:tcPr>
            <w:tcW w:w="2410" w:type="dxa"/>
            <w:tcBorders>
              <w:top w:val="single" w:color="auto" w:sz="2" w:space="0"/>
              <w:left w:val="single" w:color="auto" w:sz="2" w:space="0"/>
              <w:bottom w:val="single" w:color="auto" w:sz="2" w:space="0"/>
              <w:right w:val="single" w:color="auto" w:sz="2" w:space="0"/>
            </w:tcBorders>
            <w:vAlign w:val="center"/>
          </w:tcPr>
          <w:p w14:paraId="240CD790">
            <w:pPr>
              <w:spacing w:line="240" w:lineRule="exact"/>
              <w:jc w:val="right"/>
              <w:rPr>
                <w:rFonts w:ascii="宋体" w:hAnsi="宋体" w:eastAsia="宋体" w:cs="宋体"/>
                <w:sz w:val="18"/>
                <w:szCs w:val="18"/>
              </w:rPr>
            </w:pPr>
            <w:r>
              <w:rPr>
                <w:rFonts w:ascii="宋体" w:hAnsi="宋体" w:eastAsia="宋体" w:cs="宋体"/>
                <w:sz w:val="18"/>
                <w:szCs w:val="18"/>
              </w:rPr>
              <w:t>4,676.00</w:t>
            </w:r>
          </w:p>
        </w:tc>
        <w:tc>
          <w:tcPr>
            <w:tcW w:w="2410" w:type="dxa"/>
            <w:tcBorders>
              <w:top w:val="single" w:color="auto" w:sz="2" w:space="0"/>
              <w:left w:val="single" w:color="auto" w:sz="2" w:space="0"/>
              <w:bottom w:val="single" w:color="auto" w:sz="2" w:space="0"/>
              <w:right w:val="single" w:color="auto" w:sz="2" w:space="0"/>
            </w:tcBorders>
            <w:vAlign w:val="center"/>
          </w:tcPr>
          <w:p w14:paraId="1BB67E70">
            <w:pPr>
              <w:spacing w:line="240" w:lineRule="exact"/>
              <w:jc w:val="right"/>
              <w:rPr>
                <w:rFonts w:ascii="宋体" w:hAnsi="宋体" w:eastAsia="宋体" w:cs="宋体"/>
                <w:sz w:val="18"/>
                <w:szCs w:val="18"/>
              </w:rPr>
            </w:pPr>
            <w:r>
              <w:rPr>
                <w:rFonts w:ascii="宋体" w:hAnsi="宋体" w:eastAsia="宋体" w:cs="宋体"/>
                <w:sz w:val="18"/>
                <w:szCs w:val="18"/>
              </w:rPr>
              <w:t>20.00%</w:t>
            </w:r>
          </w:p>
        </w:tc>
      </w:tr>
      <w:tr w14:paraId="44C1C6F8">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92BE121">
            <w:pPr>
              <w:spacing w:line="240" w:lineRule="exact"/>
              <w:rPr>
                <w:rFonts w:ascii="宋体" w:hAnsi="宋体" w:eastAsia="宋体" w:cs="宋体"/>
                <w:sz w:val="18"/>
                <w:szCs w:val="18"/>
              </w:rPr>
            </w:pPr>
            <w:r>
              <w:rPr>
                <w:rFonts w:ascii="宋体" w:hAnsi="宋体" w:eastAsia="宋体" w:cs="宋体"/>
                <w:sz w:val="18"/>
                <w:szCs w:val="18"/>
              </w:rPr>
              <w:t> 4-5年</w:t>
            </w:r>
          </w:p>
        </w:tc>
        <w:tc>
          <w:tcPr>
            <w:tcW w:w="2410" w:type="dxa"/>
            <w:tcBorders>
              <w:top w:val="single" w:color="auto" w:sz="2" w:space="0"/>
              <w:left w:val="single" w:color="auto" w:sz="2" w:space="0"/>
              <w:bottom w:val="single" w:color="auto" w:sz="2" w:space="0"/>
              <w:right w:val="single" w:color="auto" w:sz="2" w:space="0"/>
            </w:tcBorders>
            <w:vAlign w:val="center"/>
          </w:tcPr>
          <w:p w14:paraId="0368945F">
            <w:pPr>
              <w:spacing w:line="240" w:lineRule="exact"/>
              <w:jc w:val="right"/>
              <w:rPr>
                <w:rFonts w:ascii="宋体" w:hAnsi="宋体" w:eastAsia="宋体" w:cs="宋体"/>
                <w:sz w:val="18"/>
                <w:szCs w:val="18"/>
              </w:rPr>
            </w:pPr>
            <w:r>
              <w:rPr>
                <w:rFonts w:ascii="宋体" w:hAnsi="宋体" w:eastAsia="宋体" w:cs="宋体"/>
                <w:sz w:val="18"/>
                <w:szCs w:val="18"/>
              </w:rPr>
              <w:t>53,437.50</w:t>
            </w:r>
          </w:p>
        </w:tc>
        <w:tc>
          <w:tcPr>
            <w:tcW w:w="2410" w:type="dxa"/>
            <w:tcBorders>
              <w:top w:val="single" w:color="auto" w:sz="2" w:space="0"/>
              <w:left w:val="single" w:color="auto" w:sz="2" w:space="0"/>
              <w:bottom w:val="single" w:color="auto" w:sz="2" w:space="0"/>
              <w:right w:val="single" w:color="auto" w:sz="2" w:space="0"/>
            </w:tcBorders>
            <w:vAlign w:val="center"/>
          </w:tcPr>
          <w:p w14:paraId="5E10AAC5">
            <w:pPr>
              <w:spacing w:line="240" w:lineRule="exact"/>
              <w:jc w:val="right"/>
              <w:rPr>
                <w:rFonts w:ascii="宋体" w:hAnsi="宋体" w:eastAsia="宋体" w:cs="宋体"/>
                <w:sz w:val="18"/>
                <w:szCs w:val="18"/>
              </w:rPr>
            </w:pPr>
            <w:r>
              <w:rPr>
                <w:rFonts w:ascii="宋体" w:hAnsi="宋体" w:eastAsia="宋体" w:cs="宋体"/>
                <w:sz w:val="18"/>
                <w:szCs w:val="18"/>
              </w:rPr>
              <w:t>26,718.75</w:t>
            </w:r>
          </w:p>
        </w:tc>
        <w:tc>
          <w:tcPr>
            <w:tcW w:w="2410" w:type="dxa"/>
            <w:tcBorders>
              <w:top w:val="single" w:color="auto" w:sz="2" w:space="0"/>
              <w:left w:val="single" w:color="auto" w:sz="2" w:space="0"/>
              <w:bottom w:val="single" w:color="auto" w:sz="2" w:space="0"/>
              <w:right w:val="single" w:color="auto" w:sz="2" w:space="0"/>
            </w:tcBorders>
            <w:vAlign w:val="center"/>
          </w:tcPr>
          <w:p w14:paraId="4074327D">
            <w:pPr>
              <w:spacing w:line="240" w:lineRule="exact"/>
              <w:jc w:val="right"/>
              <w:rPr>
                <w:rFonts w:ascii="宋体" w:hAnsi="宋体" w:eastAsia="宋体" w:cs="宋体"/>
                <w:sz w:val="18"/>
                <w:szCs w:val="18"/>
              </w:rPr>
            </w:pPr>
            <w:r>
              <w:rPr>
                <w:rFonts w:ascii="宋体" w:hAnsi="宋体" w:eastAsia="宋体" w:cs="宋体"/>
                <w:sz w:val="18"/>
                <w:szCs w:val="18"/>
              </w:rPr>
              <w:t>50.00%</w:t>
            </w:r>
          </w:p>
        </w:tc>
      </w:tr>
      <w:tr w14:paraId="2BD1EE9F">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8FADE9A">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B3A90DD">
            <w:pPr>
              <w:spacing w:line="240" w:lineRule="exact"/>
              <w:jc w:val="right"/>
              <w:rPr>
                <w:rFonts w:ascii="宋体" w:hAnsi="宋体" w:eastAsia="宋体" w:cs="宋体"/>
                <w:sz w:val="18"/>
                <w:szCs w:val="18"/>
              </w:rPr>
            </w:pPr>
            <w:r>
              <w:rPr>
                <w:rFonts w:ascii="宋体" w:hAnsi="宋体" w:eastAsia="宋体" w:cs="宋体"/>
                <w:sz w:val="18"/>
                <w:szCs w:val="18"/>
              </w:rPr>
              <w:t>582,483.45</w:t>
            </w:r>
          </w:p>
        </w:tc>
        <w:tc>
          <w:tcPr>
            <w:tcW w:w="2410" w:type="dxa"/>
            <w:tcBorders>
              <w:top w:val="single" w:color="auto" w:sz="2" w:space="0"/>
              <w:left w:val="single" w:color="auto" w:sz="2" w:space="0"/>
              <w:bottom w:val="single" w:color="auto" w:sz="2" w:space="0"/>
              <w:right w:val="single" w:color="auto" w:sz="2" w:space="0"/>
            </w:tcBorders>
            <w:vAlign w:val="center"/>
          </w:tcPr>
          <w:p w14:paraId="00D43CBD">
            <w:pPr>
              <w:spacing w:line="240" w:lineRule="exact"/>
              <w:jc w:val="right"/>
              <w:rPr>
                <w:rFonts w:ascii="宋体" w:hAnsi="宋体" w:eastAsia="宋体" w:cs="宋体"/>
                <w:sz w:val="18"/>
                <w:szCs w:val="18"/>
              </w:rPr>
            </w:pPr>
            <w:r>
              <w:rPr>
                <w:rFonts w:ascii="宋体" w:hAnsi="宋体" w:eastAsia="宋体" w:cs="宋体"/>
                <w:sz w:val="18"/>
                <w:szCs w:val="18"/>
              </w:rPr>
              <w:t>64,090.91</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2AD8F4"/>
        </w:tc>
      </w:tr>
    </w:tbl>
    <w:p w14:paraId="2FBC10DF">
      <w:pPr>
        <w:spacing w:before="100" w:after="100" w:line="240" w:lineRule="exact"/>
        <w:rPr>
          <w:rFonts w:ascii="宋体" w:hAnsi="宋体" w:eastAsia="宋体" w:cs="宋体"/>
          <w:sz w:val="18"/>
          <w:szCs w:val="18"/>
        </w:rPr>
      </w:pPr>
      <w:r>
        <w:rPr>
          <w:rFonts w:ascii="宋体" w:hAnsi="宋体" w:eastAsia="宋体" w:cs="宋体"/>
          <w:sz w:val="18"/>
          <w:szCs w:val="18"/>
        </w:rPr>
        <w:t>确定该组合依据的说明：</w:t>
      </w:r>
    </w:p>
    <w:p w14:paraId="5CDFFCF2"/>
    <w:p w14:paraId="17F7CA20">
      <w:pPr>
        <w:spacing w:line="240" w:lineRule="exact"/>
        <w:rPr>
          <w:rFonts w:ascii="宋体" w:hAnsi="宋体" w:eastAsia="宋体" w:cs="宋体"/>
          <w:sz w:val="18"/>
          <w:szCs w:val="18"/>
        </w:rPr>
      </w:pPr>
      <w:r>
        <w:rPr>
          <w:rFonts w:ascii="宋体" w:hAnsi="宋体" w:eastAsia="宋体" w:cs="宋体"/>
          <w:sz w:val="18"/>
          <w:szCs w:val="18"/>
        </w:rPr>
        <w:t>按预期信用损失一般模型计提坏账准备：</w:t>
      </w:r>
    </w:p>
    <w:p w14:paraId="1811EAE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71087473">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26E032E">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7CABF7">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DDFBAC">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0CD743">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AB271D">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59F60A6E">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6855C9"/>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B00384">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83D6C3">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D2E1C4">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2BD779"/>
        </w:tc>
      </w:tr>
      <w:tr w14:paraId="7AFD28AE">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FB171F">
            <w:pPr>
              <w:spacing w:before="40" w:after="40" w:line="240" w:lineRule="exact"/>
              <w:rPr>
                <w:rFonts w:ascii="宋体" w:hAnsi="宋体" w:eastAsia="宋体" w:cs="宋体"/>
                <w:sz w:val="18"/>
                <w:szCs w:val="18"/>
              </w:rPr>
            </w:pPr>
            <w:r>
              <w:rPr>
                <w:rFonts w:ascii="宋体" w:hAnsi="宋体" w:eastAsia="宋体" w:cs="宋体"/>
                <w:sz w:val="18"/>
                <w:szCs w:val="18"/>
              </w:rPr>
              <w:t>2024年1月1日余额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11B2CF17">
            <w:pPr>
              <w:spacing w:line="240" w:lineRule="exact"/>
              <w:jc w:val="right"/>
              <w:rPr>
                <w:rFonts w:ascii="宋体" w:hAnsi="宋体" w:eastAsia="宋体" w:cs="宋体"/>
                <w:sz w:val="18"/>
                <w:szCs w:val="18"/>
              </w:rPr>
            </w:pPr>
            <w:r>
              <w:rPr>
                <w:rFonts w:ascii="宋体" w:hAnsi="宋体" w:eastAsia="宋体" w:cs="宋体"/>
                <w:sz w:val="18"/>
                <w:szCs w:val="18"/>
              </w:rPr>
              <w:t>45,319.55</w:t>
            </w:r>
          </w:p>
        </w:tc>
        <w:tc>
          <w:tcPr>
            <w:tcW w:w="1928" w:type="dxa"/>
            <w:tcBorders>
              <w:top w:val="single" w:color="auto" w:sz="2" w:space="0"/>
              <w:left w:val="single" w:color="auto" w:sz="2" w:space="0"/>
              <w:bottom w:val="single" w:color="auto" w:sz="2" w:space="0"/>
              <w:right w:val="single" w:color="auto" w:sz="2" w:space="0"/>
            </w:tcBorders>
            <w:vAlign w:val="center"/>
          </w:tcPr>
          <w:p w14:paraId="13BF5C22">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F3E2F5D">
            <w:pPr>
              <w:spacing w:line="240" w:lineRule="exact"/>
              <w:jc w:val="right"/>
              <w:rPr>
                <w:rFonts w:ascii="宋体" w:hAnsi="宋体" w:eastAsia="宋体" w:cs="宋体"/>
                <w:sz w:val="18"/>
                <w:szCs w:val="18"/>
              </w:rPr>
            </w:pPr>
            <w:r>
              <w:rPr>
                <w:rFonts w:ascii="宋体" w:hAnsi="宋体" w:eastAsia="宋体" w:cs="宋体"/>
                <w:sz w:val="18"/>
                <w:szCs w:val="18"/>
              </w:rPr>
              <w:t>449,413,969.89</w:t>
            </w:r>
          </w:p>
        </w:tc>
        <w:tc>
          <w:tcPr>
            <w:tcW w:w="1928" w:type="dxa"/>
            <w:tcBorders>
              <w:top w:val="single" w:color="auto" w:sz="2" w:space="0"/>
              <w:left w:val="single" w:color="auto" w:sz="2" w:space="0"/>
              <w:bottom w:val="single" w:color="auto" w:sz="2" w:space="0"/>
              <w:right w:val="single" w:color="auto" w:sz="2" w:space="0"/>
            </w:tcBorders>
            <w:vAlign w:val="center"/>
          </w:tcPr>
          <w:p w14:paraId="7FABC04C">
            <w:pPr>
              <w:spacing w:line="240" w:lineRule="exact"/>
              <w:jc w:val="right"/>
              <w:rPr>
                <w:rFonts w:ascii="宋体" w:hAnsi="宋体" w:eastAsia="宋体" w:cs="宋体"/>
                <w:sz w:val="18"/>
                <w:szCs w:val="18"/>
              </w:rPr>
            </w:pPr>
            <w:r>
              <w:rPr>
                <w:rFonts w:ascii="宋体" w:hAnsi="宋体" w:eastAsia="宋体" w:cs="宋体"/>
                <w:sz w:val="18"/>
                <w:szCs w:val="18"/>
              </w:rPr>
              <w:t>449,459,289.44</w:t>
            </w:r>
          </w:p>
        </w:tc>
      </w:tr>
      <w:tr w14:paraId="7D9A28F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0E8BD4">
            <w:pPr>
              <w:spacing w:before="40" w:after="40" w:line="240" w:lineRule="exac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171E28"/>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ECABB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845462"/>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A629B1"/>
        </w:tc>
      </w:tr>
      <w:tr w14:paraId="2A8C7D6D">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E227861">
            <w:pPr>
              <w:spacing w:before="40" w:after="40" w:line="240" w:lineRule="exact"/>
              <w:rPr>
                <w:rFonts w:ascii="宋体" w:hAnsi="宋体" w:eastAsia="宋体" w:cs="宋体"/>
                <w:sz w:val="18"/>
                <w:szCs w:val="18"/>
              </w:rPr>
            </w:pPr>
            <w:r>
              <w:rPr>
                <w:rFonts w:ascii="宋体" w:hAnsi="宋体" w:eastAsia="宋体" w:cs="宋体"/>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2B70E367">
            <w:pPr>
              <w:spacing w:line="240" w:lineRule="exact"/>
              <w:jc w:val="right"/>
              <w:rPr>
                <w:rFonts w:ascii="宋体" w:hAnsi="宋体" w:eastAsia="宋体" w:cs="宋体"/>
                <w:sz w:val="18"/>
                <w:szCs w:val="18"/>
              </w:rPr>
            </w:pPr>
            <w:r>
              <w:rPr>
                <w:rFonts w:ascii="宋体" w:hAnsi="宋体" w:eastAsia="宋体" w:cs="宋体"/>
                <w:sz w:val="18"/>
                <w:szCs w:val="18"/>
              </w:rPr>
              <w:t>18,771.36</w:t>
            </w:r>
          </w:p>
        </w:tc>
        <w:tc>
          <w:tcPr>
            <w:tcW w:w="1928" w:type="dxa"/>
            <w:tcBorders>
              <w:top w:val="single" w:color="auto" w:sz="2" w:space="0"/>
              <w:left w:val="single" w:color="auto" w:sz="2" w:space="0"/>
              <w:bottom w:val="single" w:color="auto" w:sz="2" w:space="0"/>
              <w:right w:val="single" w:color="auto" w:sz="2" w:space="0"/>
            </w:tcBorders>
            <w:vAlign w:val="center"/>
          </w:tcPr>
          <w:p w14:paraId="24D0A8CE">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3E8BE20">
            <w:pPr>
              <w:spacing w:line="240" w:lineRule="exact"/>
              <w:jc w:val="right"/>
              <w:rPr>
                <w:rFonts w:ascii="宋体" w:hAnsi="宋体" w:eastAsia="宋体" w:cs="宋体"/>
                <w:sz w:val="18"/>
                <w:szCs w:val="18"/>
              </w:rPr>
            </w:pPr>
            <w:r>
              <w:rPr>
                <w:rFonts w:ascii="宋体" w:hAnsi="宋体" w:eastAsia="宋体" w:cs="宋体"/>
                <w:sz w:val="18"/>
                <w:szCs w:val="18"/>
              </w:rPr>
              <w:t>6,987.00</w:t>
            </w:r>
          </w:p>
        </w:tc>
        <w:tc>
          <w:tcPr>
            <w:tcW w:w="1928" w:type="dxa"/>
            <w:tcBorders>
              <w:top w:val="single" w:color="auto" w:sz="2" w:space="0"/>
              <w:left w:val="single" w:color="auto" w:sz="2" w:space="0"/>
              <w:bottom w:val="single" w:color="auto" w:sz="2" w:space="0"/>
              <w:right w:val="single" w:color="auto" w:sz="2" w:space="0"/>
            </w:tcBorders>
            <w:vAlign w:val="center"/>
          </w:tcPr>
          <w:p w14:paraId="42D2C2EB">
            <w:pPr>
              <w:spacing w:line="240" w:lineRule="exact"/>
              <w:jc w:val="right"/>
              <w:rPr>
                <w:rFonts w:ascii="宋体" w:hAnsi="宋体" w:eastAsia="宋体" w:cs="宋体"/>
                <w:sz w:val="18"/>
                <w:szCs w:val="18"/>
              </w:rPr>
            </w:pPr>
            <w:r>
              <w:rPr>
                <w:rFonts w:ascii="宋体" w:hAnsi="宋体" w:eastAsia="宋体" w:cs="宋体"/>
                <w:sz w:val="18"/>
                <w:szCs w:val="18"/>
              </w:rPr>
              <w:t>25,758.36</w:t>
            </w:r>
          </w:p>
        </w:tc>
      </w:tr>
      <w:tr w14:paraId="68CC6419">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AB48015">
            <w:pPr>
              <w:spacing w:before="40" w:after="40" w:line="240" w:lineRule="exact"/>
              <w:rPr>
                <w:rFonts w:ascii="宋体" w:hAnsi="宋体" w:eastAsia="宋体" w:cs="宋体"/>
                <w:sz w:val="18"/>
                <w:szCs w:val="18"/>
              </w:rPr>
            </w:pPr>
            <w:r>
              <w:rPr>
                <w:rFonts w:ascii="宋体" w:hAnsi="宋体" w:eastAsia="宋体" w:cs="宋体"/>
                <w:sz w:val="18"/>
                <w:szCs w:val="18"/>
              </w:rPr>
              <w:t>2024年6月30日余额</w:t>
            </w:r>
          </w:p>
        </w:tc>
        <w:tc>
          <w:tcPr>
            <w:tcW w:w="1928" w:type="dxa"/>
            <w:tcBorders>
              <w:top w:val="single" w:color="auto" w:sz="2" w:space="0"/>
              <w:left w:val="single" w:color="auto" w:sz="2" w:space="0"/>
              <w:bottom w:val="single" w:color="auto" w:sz="2" w:space="0"/>
              <w:right w:val="single" w:color="auto" w:sz="2" w:space="0"/>
            </w:tcBorders>
            <w:vAlign w:val="center"/>
          </w:tcPr>
          <w:p w14:paraId="29A29C64">
            <w:pPr>
              <w:spacing w:line="240" w:lineRule="exact"/>
              <w:jc w:val="right"/>
              <w:rPr>
                <w:rFonts w:ascii="宋体" w:hAnsi="宋体" w:eastAsia="宋体" w:cs="宋体"/>
                <w:sz w:val="18"/>
                <w:szCs w:val="18"/>
              </w:rPr>
            </w:pPr>
            <w:r>
              <w:rPr>
                <w:rFonts w:ascii="宋体" w:hAnsi="宋体" w:eastAsia="宋体" w:cs="宋体"/>
                <w:sz w:val="18"/>
                <w:szCs w:val="18"/>
              </w:rPr>
              <w:t>64,090.91</w:t>
            </w:r>
          </w:p>
        </w:tc>
        <w:tc>
          <w:tcPr>
            <w:tcW w:w="1928" w:type="dxa"/>
            <w:tcBorders>
              <w:top w:val="single" w:color="auto" w:sz="2" w:space="0"/>
              <w:left w:val="single" w:color="auto" w:sz="2" w:space="0"/>
              <w:bottom w:val="single" w:color="auto" w:sz="2" w:space="0"/>
              <w:right w:val="single" w:color="auto" w:sz="2" w:space="0"/>
            </w:tcBorders>
            <w:vAlign w:val="center"/>
          </w:tcPr>
          <w:p w14:paraId="5E567E58">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739E3E4">
            <w:pPr>
              <w:spacing w:line="240" w:lineRule="exact"/>
              <w:jc w:val="right"/>
              <w:rPr>
                <w:rFonts w:ascii="宋体" w:hAnsi="宋体" w:eastAsia="宋体" w:cs="宋体"/>
                <w:sz w:val="18"/>
                <w:szCs w:val="18"/>
              </w:rPr>
            </w:pPr>
            <w:r>
              <w:rPr>
                <w:rFonts w:ascii="宋体" w:hAnsi="宋体" w:eastAsia="宋体" w:cs="宋体"/>
                <w:sz w:val="18"/>
                <w:szCs w:val="18"/>
              </w:rPr>
              <w:t>449,420,956.89</w:t>
            </w:r>
          </w:p>
        </w:tc>
        <w:tc>
          <w:tcPr>
            <w:tcW w:w="1928" w:type="dxa"/>
            <w:tcBorders>
              <w:top w:val="single" w:color="auto" w:sz="2" w:space="0"/>
              <w:left w:val="single" w:color="auto" w:sz="2" w:space="0"/>
              <w:bottom w:val="single" w:color="auto" w:sz="2" w:space="0"/>
              <w:right w:val="single" w:color="auto" w:sz="2" w:space="0"/>
            </w:tcBorders>
            <w:vAlign w:val="center"/>
          </w:tcPr>
          <w:p w14:paraId="42E86736">
            <w:pPr>
              <w:spacing w:line="240" w:lineRule="exact"/>
              <w:jc w:val="right"/>
              <w:rPr>
                <w:rFonts w:ascii="宋体" w:hAnsi="宋体" w:eastAsia="宋体" w:cs="宋体"/>
                <w:sz w:val="18"/>
                <w:szCs w:val="18"/>
              </w:rPr>
            </w:pPr>
            <w:r>
              <w:rPr>
                <w:rFonts w:ascii="宋体" w:hAnsi="宋体" w:eastAsia="宋体" w:cs="宋体"/>
                <w:sz w:val="18"/>
                <w:szCs w:val="18"/>
              </w:rPr>
              <w:t>449,485,047.80</w:t>
            </w:r>
          </w:p>
        </w:tc>
      </w:tr>
    </w:tbl>
    <w:p w14:paraId="02964486">
      <w:pPr>
        <w:spacing w:before="100" w:after="100" w:line="240" w:lineRule="exact"/>
      </w:pPr>
      <w:r>
        <w:rPr>
          <w:rFonts w:ascii="宋体" w:hAnsi="宋体" w:eastAsia="宋体" w:cs="宋体"/>
          <w:sz w:val="18"/>
          <w:szCs w:val="18"/>
        </w:rPr>
        <w:t>各阶段划分依据和坏账准备计提比例</w:t>
      </w:r>
    </w:p>
    <w:p w14:paraId="0B3D6692">
      <w:pPr>
        <w:spacing w:before="100" w:after="100" w:line="240" w:lineRule="exac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4D94ACDB">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BB821C7">
      <w:pPr>
        <w:keepNext/>
        <w:keepLines/>
        <w:spacing w:before="100" w:after="100" w:line="280" w:lineRule="exact"/>
        <w:outlineLvl w:val="4"/>
        <w:rPr>
          <w:rFonts w:ascii="宋体" w:hAnsi="宋体" w:eastAsia="宋体" w:cs="宋体"/>
          <w:b/>
          <w:bCs/>
          <w:sz w:val="18"/>
          <w:szCs w:val="18"/>
        </w:rPr>
      </w:pPr>
      <w:bookmarkStart w:id="213" w:name="_Toc989102"/>
      <w:r>
        <w:rPr>
          <w:rFonts w:ascii="宋体" w:hAnsi="宋体" w:eastAsia="宋体" w:cs="宋体"/>
          <w:b/>
          <w:bCs/>
          <w:sz w:val="18"/>
          <w:szCs w:val="18"/>
        </w:rPr>
        <w:t>4） 本期计提、收回或转回的坏账准备情况</w:t>
      </w:r>
      <w:bookmarkEnd w:id="213"/>
    </w:p>
    <w:p w14:paraId="41F4AF6D">
      <w:pPr>
        <w:spacing w:before="100" w:after="100" w:line="240" w:lineRule="exact"/>
        <w:rPr>
          <w:rFonts w:ascii="宋体" w:hAnsi="宋体" w:eastAsia="宋体" w:cs="宋体"/>
          <w:sz w:val="18"/>
          <w:szCs w:val="18"/>
        </w:rPr>
      </w:pPr>
      <w:r>
        <w:rPr>
          <w:rFonts w:ascii="宋体" w:hAnsi="宋体" w:eastAsia="宋体" w:cs="宋体"/>
          <w:sz w:val="18"/>
          <w:szCs w:val="18"/>
        </w:rPr>
        <w:t>本期计提坏账准备情况：</w:t>
      </w:r>
    </w:p>
    <w:p w14:paraId="62FAC429">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F9C39B1">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443162">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276A4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B25BC7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BB759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0E48A46">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5E088D"/>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7AED7B"/>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F53C83">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1F233D">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97B71A">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580F0D">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463ED1"/>
        </w:tc>
      </w:tr>
      <w:tr w14:paraId="40D7A164">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A99A209">
            <w:pPr>
              <w:spacing w:line="240" w:lineRule="exact"/>
              <w:rPr>
                <w:rFonts w:ascii="宋体" w:hAnsi="宋体" w:eastAsia="宋体" w:cs="宋体"/>
                <w:sz w:val="18"/>
                <w:szCs w:val="18"/>
              </w:rPr>
            </w:pPr>
            <w:r>
              <w:rPr>
                <w:rFonts w:ascii="宋体" w:hAnsi="宋体" w:eastAsia="宋体" w:cs="宋体"/>
                <w:sz w:val="18"/>
                <w:szCs w:val="18"/>
              </w:rPr>
              <w:t>其他应收款坏账准备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42E9D776">
            <w:pPr>
              <w:spacing w:line="240" w:lineRule="exact"/>
              <w:jc w:val="right"/>
              <w:rPr>
                <w:rFonts w:ascii="宋体" w:hAnsi="宋体" w:eastAsia="宋体" w:cs="宋体"/>
                <w:sz w:val="18"/>
                <w:szCs w:val="18"/>
              </w:rPr>
            </w:pPr>
            <w:r>
              <w:rPr>
                <w:rFonts w:ascii="宋体" w:hAnsi="宋体" w:eastAsia="宋体" w:cs="宋体"/>
                <w:sz w:val="18"/>
                <w:szCs w:val="18"/>
              </w:rPr>
              <w:t>449,459,289.44</w:t>
            </w:r>
          </w:p>
        </w:tc>
        <w:tc>
          <w:tcPr>
            <w:tcW w:w="1377" w:type="dxa"/>
            <w:tcBorders>
              <w:top w:val="single" w:color="auto" w:sz="2" w:space="0"/>
              <w:left w:val="single" w:color="auto" w:sz="2" w:space="0"/>
              <w:bottom w:val="single" w:color="auto" w:sz="2" w:space="0"/>
              <w:right w:val="single" w:color="auto" w:sz="2" w:space="0"/>
            </w:tcBorders>
            <w:vAlign w:val="center"/>
          </w:tcPr>
          <w:p w14:paraId="1FFB9971">
            <w:pPr>
              <w:spacing w:line="240" w:lineRule="exact"/>
              <w:jc w:val="right"/>
              <w:rPr>
                <w:rFonts w:ascii="宋体" w:hAnsi="宋体" w:eastAsia="宋体" w:cs="宋体"/>
                <w:sz w:val="18"/>
                <w:szCs w:val="18"/>
              </w:rPr>
            </w:pPr>
            <w:r>
              <w:rPr>
                <w:rFonts w:ascii="宋体" w:hAnsi="宋体" w:eastAsia="宋体" w:cs="宋体"/>
                <w:sz w:val="18"/>
                <w:szCs w:val="18"/>
              </w:rPr>
              <w:t>25,758.36</w:t>
            </w:r>
          </w:p>
        </w:tc>
        <w:tc>
          <w:tcPr>
            <w:tcW w:w="1377" w:type="dxa"/>
            <w:tcBorders>
              <w:top w:val="single" w:color="auto" w:sz="2" w:space="0"/>
              <w:left w:val="single" w:color="auto" w:sz="2" w:space="0"/>
              <w:bottom w:val="single" w:color="auto" w:sz="2" w:space="0"/>
              <w:right w:val="single" w:color="auto" w:sz="2" w:space="0"/>
            </w:tcBorders>
            <w:vAlign w:val="center"/>
          </w:tcPr>
          <w:p w14:paraId="123A5A2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A10BF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54EA5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8AF86EA">
            <w:pPr>
              <w:spacing w:line="240" w:lineRule="exact"/>
              <w:jc w:val="right"/>
              <w:rPr>
                <w:rFonts w:ascii="宋体" w:hAnsi="宋体" w:eastAsia="宋体" w:cs="宋体"/>
                <w:sz w:val="18"/>
                <w:szCs w:val="18"/>
              </w:rPr>
            </w:pPr>
            <w:r>
              <w:rPr>
                <w:rFonts w:ascii="宋体" w:hAnsi="宋体" w:eastAsia="宋体" w:cs="宋体"/>
                <w:sz w:val="18"/>
                <w:szCs w:val="18"/>
              </w:rPr>
              <w:t>449,485,047.80</w:t>
            </w:r>
          </w:p>
        </w:tc>
      </w:tr>
      <w:tr w14:paraId="626B31B8">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B573FC3">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D35EBCA">
            <w:pPr>
              <w:spacing w:line="240" w:lineRule="exact"/>
              <w:jc w:val="right"/>
              <w:rPr>
                <w:rFonts w:ascii="宋体" w:hAnsi="宋体" w:eastAsia="宋体" w:cs="宋体"/>
                <w:sz w:val="18"/>
                <w:szCs w:val="18"/>
              </w:rPr>
            </w:pPr>
            <w:r>
              <w:rPr>
                <w:rFonts w:ascii="宋体" w:hAnsi="宋体" w:eastAsia="宋体" w:cs="宋体"/>
                <w:sz w:val="18"/>
                <w:szCs w:val="18"/>
              </w:rPr>
              <w:t>449,459,289.44</w:t>
            </w:r>
          </w:p>
        </w:tc>
        <w:tc>
          <w:tcPr>
            <w:tcW w:w="1377" w:type="dxa"/>
            <w:tcBorders>
              <w:top w:val="single" w:color="auto" w:sz="2" w:space="0"/>
              <w:left w:val="single" w:color="auto" w:sz="2" w:space="0"/>
              <w:bottom w:val="single" w:color="auto" w:sz="2" w:space="0"/>
              <w:right w:val="single" w:color="auto" w:sz="2" w:space="0"/>
            </w:tcBorders>
            <w:vAlign w:val="center"/>
          </w:tcPr>
          <w:p w14:paraId="28A376F5">
            <w:pPr>
              <w:spacing w:line="240" w:lineRule="exact"/>
              <w:jc w:val="right"/>
              <w:rPr>
                <w:rFonts w:ascii="宋体" w:hAnsi="宋体" w:eastAsia="宋体" w:cs="宋体"/>
                <w:sz w:val="18"/>
                <w:szCs w:val="18"/>
              </w:rPr>
            </w:pPr>
            <w:r>
              <w:rPr>
                <w:rFonts w:ascii="宋体" w:hAnsi="宋体" w:eastAsia="宋体" w:cs="宋体"/>
                <w:sz w:val="18"/>
                <w:szCs w:val="18"/>
              </w:rPr>
              <w:t>25,758.36</w:t>
            </w:r>
          </w:p>
        </w:tc>
        <w:tc>
          <w:tcPr>
            <w:tcW w:w="1377" w:type="dxa"/>
            <w:tcBorders>
              <w:top w:val="single" w:color="auto" w:sz="2" w:space="0"/>
              <w:left w:val="single" w:color="auto" w:sz="2" w:space="0"/>
              <w:bottom w:val="single" w:color="auto" w:sz="2" w:space="0"/>
              <w:right w:val="single" w:color="auto" w:sz="2" w:space="0"/>
            </w:tcBorders>
            <w:vAlign w:val="center"/>
          </w:tcPr>
          <w:p w14:paraId="22174EE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3B9D3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0BD70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E45AF84">
            <w:pPr>
              <w:spacing w:line="240" w:lineRule="exact"/>
              <w:jc w:val="right"/>
              <w:rPr>
                <w:rFonts w:ascii="宋体" w:hAnsi="宋体" w:eastAsia="宋体" w:cs="宋体"/>
                <w:sz w:val="18"/>
                <w:szCs w:val="18"/>
              </w:rPr>
            </w:pPr>
            <w:r>
              <w:rPr>
                <w:rFonts w:ascii="宋体" w:hAnsi="宋体" w:eastAsia="宋体" w:cs="宋体"/>
                <w:sz w:val="18"/>
                <w:szCs w:val="18"/>
              </w:rPr>
              <w:t>449,485,047.80</w:t>
            </w:r>
          </w:p>
        </w:tc>
      </w:tr>
    </w:tbl>
    <w:p w14:paraId="455F46B8">
      <w:pPr>
        <w:spacing w:before="100" w:after="100" w:line="0" w:lineRule="atLeast"/>
      </w:pPr>
    </w:p>
    <w:p w14:paraId="039C0341">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其中本期坏账准备转回或收回金额重要的：</w:t>
      </w:r>
    </w:p>
    <w:p w14:paraId="13359761">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71C220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FD11A6">
            <w:pPr>
              <w:spacing w:before="100" w:after="10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9AC3A1">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4FC569">
            <w:pPr>
              <w:spacing w:before="100" w:after="10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5549C0">
            <w:pPr>
              <w:spacing w:before="100" w:after="10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FB2735">
            <w:pPr>
              <w:spacing w:before="100" w:after="10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3091C185">
      <w:pPr>
        <w:spacing w:before="100" w:after="100"/>
      </w:pPr>
    </w:p>
    <w:p w14:paraId="62B9CAC7">
      <w:pPr>
        <w:keepNext/>
        <w:keepLines/>
        <w:spacing w:before="100" w:after="100" w:line="280" w:lineRule="exact"/>
        <w:outlineLvl w:val="4"/>
        <w:rPr>
          <w:rFonts w:ascii="宋体" w:hAnsi="宋体" w:eastAsia="宋体" w:cs="宋体"/>
          <w:b/>
          <w:bCs/>
          <w:sz w:val="18"/>
          <w:szCs w:val="18"/>
        </w:rPr>
      </w:pPr>
      <w:bookmarkStart w:id="214" w:name="_Toc989103"/>
      <w:r>
        <w:rPr>
          <w:rFonts w:ascii="宋体" w:hAnsi="宋体" w:eastAsia="宋体" w:cs="宋体"/>
          <w:b/>
          <w:bCs/>
          <w:sz w:val="18"/>
          <w:szCs w:val="18"/>
        </w:rPr>
        <w:t>5） 本期实际核销的其他应收款情况</w:t>
      </w:r>
      <w:bookmarkEnd w:id="214"/>
    </w:p>
    <w:p w14:paraId="0CA52EBB">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1235A77">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7FE67C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5DFAE02">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24527BF9">
      <w:pPr>
        <w:spacing w:before="100" w:after="100" w:line="240" w:lineRule="exact"/>
        <w:rPr>
          <w:rFonts w:ascii="宋体" w:hAnsi="宋体" w:eastAsia="宋体" w:cs="宋体"/>
          <w:sz w:val="18"/>
          <w:szCs w:val="18"/>
        </w:rPr>
      </w:pPr>
      <w:r>
        <w:rPr>
          <w:rFonts w:ascii="宋体" w:hAnsi="宋体" w:eastAsia="宋体" w:cs="宋体"/>
          <w:sz w:val="18"/>
          <w:szCs w:val="18"/>
        </w:rPr>
        <w:t>其中重要的其他应收款核销情况：</w:t>
      </w:r>
    </w:p>
    <w:p w14:paraId="0B6AB2C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5F49422A">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598CC2">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79A9BE">
            <w:pPr>
              <w:spacing w:before="40" w:after="40" w:line="240" w:lineRule="exact"/>
              <w:jc w:val="center"/>
              <w:rPr>
                <w:rFonts w:ascii="宋体" w:hAnsi="宋体" w:eastAsia="宋体" w:cs="宋体"/>
                <w:sz w:val="18"/>
                <w:szCs w:val="18"/>
              </w:rPr>
            </w:pPr>
            <w:r>
              <w:rPr>
                <w:rFonts w:ascii="宋体" w:hAnsi="宋体" w:eastAsia="宋体" w:cs="宋体"/>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371D1DE">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8CDE16">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7309A75">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EA23146">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76A4AA48">
      <w:pPr>
        <w:spacing w:before="100" w:after="100" w:line="240" w:lineRule="exact"/>
      </w:pPr>
      <w:r>
        <w:rPr>
          <w:rFonts w:ascii="宋体" w:hAnsi="宋体" w:eastAsia="宋体" w:cs="宋体"/>
          <w:sz w:val="18"/>
          <w:szCs w:val="18"/>
        </w:rPr>
        <w:t>其他应收款核销说明：</w:t>
      </w:r>
    </w:p>
    <w:p w14:paraId="784DADA1">
      <w:pPr>
        <w:keepNext/>
        <w:keepLines/>
        <w:spacing w:before="300" w:after="300" w:line="280" w:lineRule="exact"/>
        <w:outlineLvl w:val="4"/>
        <w:rPr>
          <w:rFonts w:ascii="宋体" w:hAnsi="宋体" w:eastAsia="宋体" w:cs="宋体"/>
          <w:b/>
          <w:bCs/>
          <w:sz w:val="18"/>
          <w:szCs w:val="18"/>
        </w:rPr>
      </w:pPr>
      <w:bookmarkStart w:id="215" w:name="_Toc989104"/>
      <w:r>
        <w:rPr>
          <w:rFonts w:ascii="宋体" w:hAnsi="宋体" w:eastAsia="宋体" w:cs="宋体"/>
          <w:b/>
          <w:bCs/>
          <w:sz w:val="18"/>
          <w:szCs w:val="18"/>
        </w:rPr>
        <w:t>6） 按欠款方归集的期末余额前五名的其他应收款情况</w:t>
      </w:r>
      <w:bookmarkEnd w:id="215"/>
    </w:p>
    <w:p w14:paraId="570AFAB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8547D01">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B420B3C">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FB5F031">
            <w:pPr>
              <w:spacing w:before="40" w:after="40" w:line="240" w:lineRule="exact"/>
              <w:jc w:val="center"/>
              <w:rPr>
                <w:rFonts w:ascii="宋体" w:hAnsi="宋体" w:eastAsia="宋体" w:cs="宋体"/>
                <w:sz w:val="18"/>
                <w:szCs w:val="18"/>
              </w:rPr>
            </w:pPr>
            <w:r>
              <w:rPr>
                <w:rFonts w:ascii="宋体" w:hAnsi="宋体" w:eastAsia="宋体" w:cs="宋体"/>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1CC30C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21787693">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256999EE">
            <w:pPr>
              <w:spacing w:before="40" w:after="40" w:line="240" w:lineRule="exact"/>
              <w:jc w:val="center"/>
              <w:rPr>
                <w:rFonts w:ascii="宋体" w:hAnsi="宋体" w:eastAsia="宋体" w:cs="宋体"/>
                <w:sz w:val="18"/>
                <w:szCs w:val="18"/>
              </w:rPr>
            </w:pPr>
            <w:r>
              <w:rPr>
                <w:rFonts w:ascii="宋体" w:hAnsi="宋体" w:eastAsia="宋体" w:cs="宋体"/>
                <w:sz w:val="18"/>
                <w:szCs w:val="18"/>
              </w:rPr>
              <w:t>占其他应收款期末余额合计数的比例</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5F42FF9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坏账准备期末余额</w:t>
            </w:r>
          </w:p>
        </w:tc>
      </w:tr>
      <w:tr w14:paraId="6EE3C131">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C4C62D5">
            <w:pPr>
              <w:spacing w:line="240" w:lineRule="exact"/>
              <w:rPr>
                <w:rFonts w:ascii="宋体" w:hAnsi="宋体" w:eastAsia="宋体" w:cs="宋体"/>
                <w:sz w:val="18"/>
                <w:szCs w:val="18"/>
              </w:rPr>
            </w:pPr>
            <w:r>
              <w:rPr>
                <w:rFonts w:ascii="宋体" w:hAnsi="宋体" w:eastAsia="宋体" w:cs="宋体"/>
                <w:sz w:val="18"/>
                <w:szCs w:val="18"/>
              </w:rPr>
              <w:t>成都仕远置商贸有限公司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9786C8F">
            <w:pPr>
              <w:spacing w:line="240" w:lineRule="exact"/>
              <w:rPr>
                <w:rFonts w:ascii="宋体" w:hAnsi="宋体" w:eastAsia="宋体" w:cs="宋体"/>
                <w:sz w:val="18"/>
                <w:szCs w:val="18"/>
              </w:rPr>
            </w:pPr>
            <w:r>
              <w:rPr>
                <w:rFonts w:ascii="宋体" w:hAnsi="宋体" w:eastAsia="宋体" w:cs="宋体"/>
                <w:sz w:val="18"/>
                <w:szCs w:val="18"/>
              </w:rPr>
              <w:t>与借款及票据有关的款项</w:t>
            </w:r>
          </w:p>
        </w:tc>
        <w:tc>
          <w:tcPr>
            <w:tcW w:w="1606" w:type="dxa"/>
            <w:tcBorders>
              <w:top w:val="single" w:color="auto" w:sz="2" w:space="0"/>
              <w:left w:val="single" w:color="auto" w:sz="2" w:space="0"/>
              <w:bottom w:val="single" w:color="auto" w:sz="2" w:space="0"/>
              <w:right w:val="single" w:color="auto" w:sz="2" w:space="0"/>
            </w:tcBorders>
            <w:vAlign w:val="center"/>
          </w:tcPr>
          <w:p w14:paraId="0BE96200">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607" w:type="dxa"/>
            <w:tcBorders>
              <w:top w:val="single" w:color="auto" w:sz="2" w:space="0"/>
              <w:left w:val="single" w:color="auto" w:sz="2" w:space="0"/>
              <w:bottom w:val="single" w:color="auto" w:sz="2" w:space="0"/>
              <w:right w:val="single" w:color="auto" w:sz="2" w:space="0"/>
            </w:tcBorders>
            <w:vAlign w:val="center"/>
          </w:tcPr>
          <w:p w14:paraId="13614862">
            <w:pPr>
              <w:spacing w:line="240" w:lineRule="exact"/>
              <w:rPr>
                <w:rFonts w:ascii="宋体" w:hAnsi="宋体" w:eastAsia="宋体" w:cs="宋体"/>
                <w:sz w:val="18"/>
                <w:szCs w:val="18"/>
              </w:rPr>
            </w:pPr>
            <w:r>
              <w:rPr>
                <w:rFonts w:ascii="宋体" w:hAnsi="宋体" w:eastAsia="宋体" w:cs="宋体"/>
                <w:sz w:val="18"/>
                <w:szCs w:val="18"/>
              </w:rPr>
              <w:t>5年以上</w:t>
            </w:r>
          </w:p>
        </w:tc>
        <w:tc>
          <w:tcPr>
            <w:tcW w:w="1607" w:type="dxa"/>
            <w:tcBorders>
              <w:top w:val="single" w:color="auto" w:sz="2" w:space="0"/>
              <w:left w:val="single" w:color="auto" w:sz="2" w:space="0"/>
              <w:bottom w:val="single" w:color="auto" w:sz="2" w:space="0"/>
              <w:right w:val="single" w:color="auto" w:sz="2" w:space="0"/>
            </w:tcBorders>
            <w:vAlign w:val="center"/>
          </w:tcPr>
          <w:p w14:paraId="16229BCA">
            <w:pPr>
              <w:spacing w:line="240" w:lineRule="exact"/>
              <w:jc w:val="right"/>
              <w:rPr>
                <w:rFonts w:ascii="宋体" w:hAnsi="宋体" w:eastAsia="宋体" w:cs="宋体"/>
                <w:sz w:val="18"/>
                <w:szCs w:val="18"/>
              </w:rPr>
            </w:pPr>
            <w:r>
              <w:rPr>
                <w:rFonts w:ascii="宋体" w:hAnsi="宋体" w:eastAsia="宋体" w:cs="宋体"/>
                <w:sz w:val="18"/>
                <w:szCs w:val="18"/>
              </w:rPr>
              <w:t>57.63%</w:t>
            </w:r>
          </w:p>
        </w:tc>
        <w:tc>
          <w:tcPr>
            <w:tcW w:w="1607" w:type="dxa"/>
            <w:tcBorders>
              <w:top w:val="single" w:color="auto" w:sz="2" w:space="0"/>
              <w:left w:val="single" w:color="auto" w:sz="2" w:space="0"/>
              <w:bottom w:val="single" w:color="auto" w:sz="2" w:space="0"/>
              <w:right w:val="single" w:color="auto" w:sz="2" w:space="0"/>
            </w:tcBorders>
            <w:vAlign w:val="center"/>
          </w:tcPr>
          <w:p w14:paraId="48BF5319">
            <w:pPr>
              <w:spacing w:line="240" w:lineRule="exact"/>
              <w:jc w:val="right"/>
              <w:rPr>
                <w:rFonts w:ascii="宋体" w:hAnsi="宋体" w:eastAsia="宋体" w:cs="宋体"/>
                <w:sz w:val="18"/>
                <w:szCs w:val="18"/>
              </w:rPr>
            </w:pPr>
            <w:r>
              <w:rPr>
                <w:rFonts w:ascii="宋体" w:hAnsi="宋体" w:eastAsia="宋体" w:cs="宋体"/>
                <w:sz w:val="18"/>
                <w:szCs w:val="18"/>
              </w:rPr>
              <w:t>259,200,000.00</w:t>
            </w:r>
          </w:p>
        </w:tc>
      </w:tr>
      <w:tr w14:paraId="41497E71">
        <w:trPr>
          <w:trHeight w:val="400" w:hRule="atLeast"/>
        </w:trPr>
        <w:tc>
          <w:tcPr>
            <w:tcW w:w="1606" w:type="dxa"/>
            <w:tcBorders>
              <w:top w:val="single" w:color="auto" w:sz="2" w:space="0"/>
              <w:left w:val="single" w:color="auto" w:sz="2" w:space="0"/>
              <w:right w:val="single" w:color="auto" w:sz="2" w:space="0"/>
            </w:tcBorders>
            <w:vAlign w:val="center"/>
          </w:tcPr>
          <w:p w14:paraId="708E2268">
            <w:pPr>
              <w:spacing w:line="240" w:lineRule="exact"/>
              <w:rPr>
                <w:rFonts w:ascii="宋体" w:hAnsi="宋体" w:eastAsia="宋体" w:cs="宋体"/>
                <w:sz w:val="18"/>
                <w:szCs w:val="18"/>
              </w:rPr>
            </w:pPr>
            <w:r>
              <w:rPr>
                <w:rFonts w:ascii="宋体" w:hAnsi="宋体" w:eastAsia="宋体" w:cs="宋体"/>
                <w:sz w:val="18"/>
                <w:szCs w:val="18"/>
              </w:rPr>
              <w:t>四川永成实业发展有限公司</w:t>
            </w:r>
          </w:p>
        </w:tc>
        <w:tc>
          <w:tcPr>
            <w:tcW w:w="1606" w:type="dxa"/>
            <w:tcBorders>
              <w:top w:val="single" w:color="auto" w:sz="2" w:space="0"/>
              <w:left w:val="single" w:color="auto" w:sz="2" w:space="0"/>
              <w:right w:val="single" w:color="auto" w:sz="2" w:space="0"/>
            </w:tcBorders>
            <w:vAlign w:val="center"/>
          </w:tcPr>
          <w:p w14:paraId="35F4D209">
            <w:pPr>
              <w:spacing w:line="240" w:lineRule="exact"/>
              <w:rPr>
                <w:rFonts w:ascii="宋体" w:hAnsi="宋体" w:eastAsia="宋体" w:cs="宋体"/>
                <w:sz w:val="18"/>
                <w:szCs w:val="18"/>
              </w:rPr>
            </w:pPr>
            <w:r>
              <w:rPr>
                <w:rFonts w:ascii="宋体" w:hAnsi="宋体" w:eastAsia="宋体" w:cs="宋体"/>
                <w:sz w:val="18"/>
                <w:szCs w:val="18"/>
              </w:rPr>
              <w:t>与借款及票据有关的款项</w:t>
            </w:r>
          </w:p>
        </w:tc>
        <w:tc>
          <w:tcPr>
            <w:tcW w:w="1606" w:type="dxa"/>
            <w:tcBorders>
              <w:top w:val="single" w:color="auto" w:sz="2" w:space="0"/>
              <w:left w:val="single" w:color="auto" w:sz="2" w:space="0"/>
              <w:right w:val="single" w:color="auto" w:sz="2" w:space="0"/>
            </w:tcBorders>
            <w:vAlign w:val="center"/>
          </w:tcPr>
          <w:p w14:paraId="0AAE6D4F">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607" w:type="dxa"/>
            <w:tcBorders>
              <w:top w:val="single" w:color="auto" w:sz="2" w:space="0"/>
              <w:left w:val="single" w:color="auto" w:sz="2" w:space="0"/>
              <w:right w:val="single" w:color="auto" w:sz="2" w:space="0"/>
            </w:tcBorders>
            <w:vAlign w:val="center"/>
          </w:tcPr>
          <w:p w14:paraId="51D2714C">
            <w:pPr>
              <w:spacing w:line="240" w:lineRule="exact"/>
              <w:rPr>
                <w:rFonts w:ascii="宋体" w:hAnsi="宋体" w:eastAsia="宋体" w:cs="宋体"/>
                <w:sz w:val="18"/>
                <w:szCs w:val="18"/>
              </w:rPr>
            </w:pPr>
            <w:r>
              <w:rPr>
                <w:rFonts w:ascii="宋体" w:hAnsi="宋体" w:eastAsia="宋体" w:cs="宋体"/>
                <w:sz w:val="18"/>
                <w:szCs w:val="18"/>
              </w:rPr>
              <w:t>5年以上</w:t>
            </w:r>
          </w:p>
        </w:tc>
        <w:tc>
          <w:tcPr>
            <w:tcW w:w="1607" w:type="dxa"/>
            <w:tcBorders>
              <w:top w:val="single" w:color="auto" w:sz="2" w:space="0"/>
              <w:left w:val="single" w:color="auto" w:sz="2" w:space="0"/>
              <w:right w:val="single" w:color="auto" w:sz="2" w:space="0"/>
            </w:tcBorders>
            <w:vAlign w:val="center"/>
          </w:tcPr>
          <w:p w14:paraId="5A9D2273">
            <w:pPr>
              <w:spacing w:line="240" w:lineRule="exact"/>
              <w:jc w:val="right"/>
              <w:rPr>
                <w:rFonts w:ascii="宋体" w:hAnsi="宋体" w:eastAsia="宋体" w:cs="宋体"/>
                <w:sz w:val="18"/>
                <w:szCs w:val="18"/>
              </w:rPr>
            </w:pPr>
            <w:r>
              <w:rPr>
                <w:rFonts w:ascii="宋体" w:hAnsi="宋体" w:eastAsia="宋体" w:cs="宋体"/>
                <w:sz w:val="18"/>
                <w:szCs w:val="18"/>
              </w:rPr>
              <w:t>7.78%</w:t>
            </w:r>
          </w:p>
        </w:tc>
        <w:tc>
          <w:tcPr>
            <w:tcW w:w="1607" w:type="dxa"/>
            <w:tcBorders>
              <w:top w:val="single" w:color="auto" w:sz="2" w:space="0"/>
              <w:left w:val="single" w:color="auto" w:sz="2" w:space="0"/>
              <w:bottom w:val="single" w:color="auto" w:sz="2" w:space="0"/>
              <w:right w:val="single" w:color="auto" w:sz="2" w:space="0"/>
            </w:tcBorders>
            <w:vAlign w:val="center"/>
          </w:tcPr>
          <w:p w14:paraId="2C7FABC7">
            <w:pPr>
              <w:spacing w:line="240" w:lineRule="exact"/>
              <w:jc w:val="right"/>
              <w:rPr>
                <w:rFonts w:ascii="宋体" w:hAnsi="宋体" w:eastAsia="宋体" w:cs="宋体"/>
                <w:sz w:val="18"/>
                <w:szCs w:val="18"/>
              </w:rPr>
            </w:pPr>
            <w:r>
              <w:rPr>
                <w:rFonts w:ascii="宋体" w:hAnsi="宋体" w:eastAsia="宋体" w:cs="宋体"/>
                <w:sz w:val="18"/>
                <w:szCs w:val="18"/>
              </w:rPr>
              <w:t>35,000,000.00</w:t>
            </w:r>
          </w:p>
        </w:tc>
      </w:tr>
      <w:tr w14:paraId="0595BDF6">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FEA1641">
            <w:pPr>
              <w:spacing w:line="240" w:lineRule="exact"/>
              <w:rPr>
                <w:rFonts w:ascii="宋体" w:hAnsi="宋体" w:eastAsia="宋体" w:cs="宋体"/>
                <w:sz w:val="18"/>
                <w:szCs w:val="18"/>
              </w:rPr>
            </w:pPr>
            <w:r>
              <w:rPr>
                <w:rFonts w:ascii="宋体" w:hAnsi="宋体" w:eastAsia="宋体" w:cs="宋体"/>
                <w:sz w:val="18"/>
                <w:szCs w:val="18"/>
              </w:rPr>
              <w:t>深圳市金脉青枫投资管理有限公司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2647144">
            <w:pPr>
              <w:spacing w:line="240" w:lineRule="exact"/>
              <w:rPr>
                <w:rFonts w:ascii="宋体" w:hAnsi="宋体" w:eastAsia="宋体" w:cs="宋体"/>
                <w:sz w:val="18"/>
                <w:szCs w:val="18"/>
              </w:rPr>
            </w:pPr>
            <w:r>
              <w:rPr>
                <w:rFonts w:ascii="宋体" w:hAnsi="宋体" w:eastAsia="宋体" w:cs="宋体"/>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0259F348">
            <w:pPr>
              <w:spacing w:line="240" w:lineRule="exact"/>
              <w:jc w:val="right"/>
              <w:rPr>
                <w:rFonts w:ascii="宋体" w:hAnsi="宋体" w:eastAsia="宋体" w:cs="宋体"/>
                <w:sz w:val="18"/>
                <w:szCs w:val="18"/>
              </w:rPr>
            </w:pPr>
            <w:r>
              <w:rPr>
                <w:rFonts w:ascii="宋体" w:hAnsi="宋体" w:eastAsia="宋体" w:cs="宋体"/>
                <w:sz w:val="18"/>
                <w:szCs w:val="18"/>
              </w:rPr>
              <w:t>95,000,000.00</w:t>
            </w:r>
          </w:p>
        </w:tc>
        <w:tc>
          <w:tcPr>
            <w:tcW w:w="1607" w:type="dxa"/>
            <w:tcBorders>
              <w:top w:val="single" w:color="auto" w:sz="2" w:space="0"/>
              <w:left w:val="single" w:color="auto" w:sz="2" w:space="0"/>
              <w:bottom w:val="single" w:color="auto" w:sz="2" w:space="0"/>
              <w:right w:val="single" w:color="auto" w:sz="2" w:space="0"/>
            </w:tcBorders>
            <w:vAlign w:val="center"/>
          </w:tcPr>
          <w:p w14:paraId="4FD6BFC3">
            <w:pPr>
              <w:spacing w:line="240" w:lineRule="exact"/>
              <w:rPr>
                <w:rFonts w:ascii="宋体" w:hAnsi="宋体" w:eastAsia="宋体" w:cs="宋体"/>
                <w:sz w:val="18"/>
                <w:szCs w:val="18"/>
              </w:rPr>
            </w:pPr>
            <w:r>
              <w:rPr>
                <w:rFonts w:ascii="宋体" w:hAnsi="宋体" w:eastAsia="宋体" w:cs="宋体"/>
                <w:sz w:val="18"/>
                <w:szCs w:val="18"/>
              </w:rPr>
              <w:t>5年以上</w:t>
            </w:r>
          </w:p>
        </w:tc>
        <w:tc>
          <w:tcPr>
            <w:tcW w:w="1607" w:type="dxa"/>
            <w:tcBorders>
              <w:top w:val="single" w:color="auto" w:sz="2" w:space="0"/>
              <w:left w:val="single" w:color="auto" w:sz="2" w:space="0"/>
              <w:bottom w:val="single" w:color="auto" w:sz="2" w:space="0"/>
              <w:right w:val="single" w:color="auto" w:sz="2" w:space="0"/>
            </w:tcBorders>
            <w:vAlign w:val="center"/>
          </w:tcPr>
          <w:p w14:paraId="7C8774EE">
            <w:pPr>
              <w:spacing w:line="240" w:lineRule="exact"/>
              <w:jc w:val="right"/>
              <w:rPr>
                <w:rFonts w:ascii="宋体" w:hAnsi="宋体" w:eastAsia="宋体" w:cs="宋体"/>
                <w:sz w:val="18"/>
                <w:szCs w:val="18"/>
              </w:rPr>
            </w:pPr>
            <w:r>
              <w:rPr>
                <w:rFonts w:ascii="宋体" w:hAnsi="宋体" w:eastAsia="宋体" w:cs="宋体"/>
                <w:sz w:val="18"/>
                <w:szCs w:val="18"/>
              </w:rPr>
              <w:t>21.12%</w:t>
            </w:r>
          </w:p>
        </w:tc>
        <w:tc>
          <w:tcPr>
            <w:tcW w:w="1607" w:type="dxa"/>
            <w:tcBorders>
              <w:top w:val="single" w:color="auto" w:sz="2" w:space="0"/>
              <w:left w:val="single" w:color="auto" w:sz="2" w:space="0"/>
              <w:bottom w:val="single" w:color="auto" w:sz="2" w:space="0"/>
              <w:right w:val="single" w:color="auto" w:sz="2" w:space="0"/>
            </w:tcBorders>
            <w:vAlign w:val="center"/>
          </w:tcPr>
          <w:p w14:paraId="739DBE2D">
            <w:pPr>
              <w:spacing w:line="240" w:lineRule="exact"/>
              <w:jc w:val="right"/>
              <w:rPr>
                <w:rFonts w:ascii="宋体" w:hAnsi="宋体" w:eastAsia="宋体" w:cs="宋体"/>
                <w:sz w:val="18"/>
                <w:szCs w:val="18"/>
              </w:rPr>
            </w:pPr>
            <w:r>
              <w:rPr>
                <w:rFonts w:ascii="宋体" w:hAnsi="宋体" w:eastAsia="宋体" w:cs="宋体"/>
                <w:sz w:val="18"/>
                <w:szCs w:val="18"/>
              </w:rPr>
              <w:t>95,000,000.00</w:t>
            </w:r>
          </w:p>
        </w:tc>
      </w:tr>
      <w:tr w14:paraId="10121EE6">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CA53259">
            <w:pPr>
              <w:spacing w:line="240" w:lineRule="exact"/>
              <w:rPr>
                <w:rFonts w:ascii="宋体" w:hAnsi="宋体" w:eastAsia="宋体" w:cs="宋体"/>
                <w:sz w:val="18"/>
                <w:szCs w:val="18"/>
              </w:rPr>
            </w:pPr>
            <w:r>
              <w:rPr>
                <w:rFonts w:ascii="宋体" w:hAnsi="宋体" w:eastAsia="宋体" w:cs="宋体"/>
                <w:sz w:val="18"/>
                <w:szCs w:val="18"/>
              </w:rPr>
              <w:t>西藏远征包装有限公司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8897213">
            <w:pPr>
              <w:spacing w:line="240" w:lineRule="exact"/>
              <w:rPr>
                <w:rFonts w:ascii="宋体" w:hAnsi="宋体" w:eastAsia="宋体" w:cs="宋体"/>
                <w:sz w:val="18"/>
                <w:szCs w:val="18"/>
              </w:rPr>
            </w:pPr>
            <w:r>
              <w:rPr>
                <w:rFonts w:ascii="宋体" w:hAnsi="宋体" w:eastAsia="宋体" w:cs="宋体"/>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5BEA1266">
            <w:pPr>
              <w:spacing w:line="240" w:lineRule="exact"/>
              <w:jc w:val="right"/>
              <w:rPr>
                <w:rFonts w:ascii="宋体" w:hAnsi="宋体" w:eastAsia="宋体" w:cs="宋体"/>
                <w:sz w:val="18"/>
                <w:szCs w:val="18"/>
              </w:rPr>
            </w:pPr>
            <w:r>
              <w:rPr>
                <w:rFonts w:ascii="宋体" w:hAnsi="宋体" w:eastAsia="宋体" w:cs="宋体"/>
                <w:sz w:val="18"/>
                <w:szCs w:val="18"/>
              </w:rPr>
              <w:t>2,059,455.00</w:t>
            </w:r>
          </w:p>
        </w:tc>
        <w:tc>
          <w:tcPr>
            <w:tcW w:w="1607" w:type="dxa"/>
            <w:tcBorders>
              <w:top w:val="single" w:color="auto" w:sz="2" w:space="0"/>
              <w:left w:val="single" w:color="auto" w:sz="2" w:space="0"/>
              <w:bottom w:val="single" w:color="auto" w:sz="2" w:space="0"/>
              <w:right w:val="single" w:color="auto" w:sz="2" w:space="0"/>
            </w:tcBorders>
            <w:vAlign w:val="center"/>
          </w:tcPr>
          <w:p w14:paraId="3DD0C88B">
            <w:pPr>
              <w:spacing w:line="240" w:lineRule="exact"/>
              <w:rPr>
                <w:rFonts w:ascii="宋体" w:hAnsi="宋体" w:eastAsia="宋体" w:cs="宋体"/>
                <w:sz w:val="18"/>
                <w:szCs w:val="18"/>
              </w:rPr>
            </w:pPr>
            <w:r>
              <w:rPr>
                <w:rFonts w:ascii="宋体" w:hAnsi="宋体" w:eastAsia="宋体" w:cs="宋体"/>
                <w:sz w:val="18"/>
                <w:szCs w:val="18"/>
              </w:rPr>
              <w:t>2-3年</w:t>
            </w:r>
          </w:p>
        </w:tc>
        <w:tc>
          <w:tcPr>
            <w:tcW w:w="1607" w:type="dxa"/>
            <w:tcBorders>
              <w:top w:val="single" w:color="auto" w:sz="2" w:space="0"/>
              <w:left w:val="single" w:color="auto" w:sz="2" w:space="0"/>
              <w:bottom w:val="single" w:color="auto" w:sz="2" w:space="0"/>
              <w:right w:val="single" w:color="auto" w:sz="2" w:space="0"/>
            </w:tcBorders>
            <w:vAlign w:val="center"/>
          </w:tcPr>
          <w:p w14:paraId="0DAA4F25">
            <w:pPr>
              <w:spacing w:line="240" w:lineRule="exact"/>
              <w:jc w:val="right"/>
              <w:rPr>
                <w:rFonts w:ascii="宋体" w:hAnsi="宋体" w:eastAsia="宋体" w:cs="宋体"/>
                <w:sz w:val="18"/>
                <w:szCs w:val="18"/>
              </w:rPr>
            </w:pPr>
            <w:r>
              <w:rPr>
                <w:rFonts w:ascii="宋体" w:hAnsi="宋体" w:eastAsia="宋体" w:cs="宋体"/>
                <w:sz w:val="18"/>
                <w:szCs w:val="18"/>
              </w:rPr>
              <w:t>0.46%</w:t>
            </w:r>
          </w:p>
        </w:tc>
        <w:tc>
          <w:tcPr>
            <w:tcW w:w="1607" w:type="dxa"/>
            <w:tcBorders>
              <w:top w:val="single" w:color="auto" w:sz="2" w:space="0"/>
              <w:left w:val="single" w:color="auto" w:sz="2" w:space="0"/>
              <w:bottom w:val="single" w:color="auto" w:sz="2" w:space="0"/>
              <w:right w:val="single" w:color="auto" w:sz="2" w:space="0"/>
            </w:tcBorders>
            <w:vAlign w:val="center"/>
          </w:tcPr>
          <w:p w14:paraId="59AAFF54">
            <w:pPr>
              <w:spacing w:line="240" w:lineRule="exact"/>
              <w:jc w:val="right"/>
              <w:rPr>
                <w:rFonts w:ascii="宋体" w:hAnsi="宋体" w:eastAsia="宋体" w:cs="宋体"/>
                <w:sz w:val="18"/>
                <w:szCs w:val="18"/>
              </w:rPr>
            </w:pPr>
            <w:r>
              <w:rPr>
                <w:rFonts w:ascii="宋体" w:hAnsi="宋体" w:eastAsia="宋体" w:cs="宋体"/>
                <w:sz w:val="18"/>
                <w:szCs w:val="18"/>
              </w:rPr>
              <w:t>2,059,455.00</w:t>
            </w:r>
          </w:p>
        </w:tc>
      </w:tr>
      <w:tr w14:paraId="159948EC">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23807D1">
            <w:pPr>
              <w:spacing w:line="240" w:lineRule="exact"/>
              <w:rPr>
                <w:rFonts w:ascii="宋体" w:hAnsi="宋体" w:eastAsia="宋体" w:cs="宋体"/>
                <w:sz w:val="18"/>
                <w:szCs w:val="18"/>
              </w:rPr>
            </w:pPr>
            <w:r>
              <w:rPr>
                <w:rFonts w:ascii="宋体" w:hAnsi="宋体" w:eastAsia="宋体" w:cs="宋体"/>
                <w:sz w:val="18"/>
                <w:szCs w:val="18"/>
              </w:rPr>
              <w:t>西藏远征包装有限公司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A90A17C">
            <w:pPr>
              <w:spacing w:line="240" w:lineRule="exact"/>
              <w:rPr>
                <w:rFonts w:ascii="宋体" w:hAnsi="宋体" w:eastAsia="宋体" w:cs="宋体"/>
                <w:sz w:val="18"/>
                <w:szCs w:val="18"/>
              </w:rPr>
            </w:pPr>
            <w:r>
              <w:rPr>
                <w:rFonts w:ascii="宋体" w:hAnsi="宋体" w:eastAsia="宋体" w:cs="宋体"/>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798FF39A">
            <w:pPr>
              <w:spacing w:line="240" w:lineRule="exact"/>
              <w:jc w:val="right"/>
              <w:rPr>
                <w:rFonts w:ascii="宋体" w:hAnsi="宋体" w:eastAsia="宋体" w:cs="宋体"/>
                <w:sz w:val="18"/>
                <w:szCs w:val="18"/>
              </w:rPr>
            </w:pPr>
            <w:r>
              <w:rPr>
                <w:rFonts w:ascii="宋体" w:hAnsi="宋体" w:eastAsia="宋体" w:cs="宋体"/>
                <w:sz w:val="18"/>
                <w:szCs w:val="18"/>
              </w:rPr>
              <w:t>3,578,111.02</w:t>
            </w:r>
          </w:p>
        </w:tc>
        <w:tc>
          <w:tcPr>
            <w:tcW w:w="1607" w:type="dxa"/>
            <w:tcBorders>
              <w:top w:val="single" w:color="auto" w:sz="2" w:space="0"/>
              <w:left w:val="single" w:color="auto" w:sz="2" w:space="0"/>
              <w:bottom w:val="single" w:color="auto" w:sz="2" w:space="0"/>
              <w:right w:val="single" w:color="auto" w:sz="2" w:space="0"/>
            </w:tcBorders>
            <w:vAlign w:val="center"/>
          </w:tcPr>
          <w:p w14:paraId="228147D1">
            <w:pPr>
              <w:spacing w:line="240" w:lineRule="exact"/>
              <w:rPr>
                <w:rFonts w:ascii="宋体" w:hAnsi="宋体" w:eastAsia="宋体" w:cs="宋体"/>
                <w:sz w:val="18"/>
                <w:szCs w:val="18"/>
              </w:rPr>
            </w:pPr>
            <w:r>
              <w:rPr>
                <w:rFonts w:ascii="宋体" w:hAnsi="宋体" w:eastAsia="宋体" w:cs="宋体"/>
                <w:sz w:val="18"/>
                <w:szCs w:val="18"/>
              </w:rPr>
              <w:t>3-4年</w:t>
            </w:r>
          </w:p>
        </w:tc>
        <w:tc>
          <w:tcPr>
            <w:tcW w:w="1607" w:type="dxa"/>
            <w:tcBorders>
              <w:top w:val="single" w:color="auto" w:sz="2" w:space="0"/>
              <w:left w:val="single" w:color="auto" w:sz="2" w:space="0"/>
              <w:bottom w:val="single" w:color="auto" w:sz="2" w:space="0"/>
              <w:right w:val="single" w:color="auto" w:sz="2" w:space="0"/>
            </w:tcBorders>
            <w:vAlign w:val="center"/>
          </w:tcPr>
          <w:p w14:paraId="54ACF3EB">
            <w:pPr>
              <w:spacing w:line="240" w:lineRule="exact"/>
              <w:jc w:val="right"/>
              <w:rPr>
                <w:rFonts w:ascii="宋体" w:hAnsi="宋体" w:eastAsia="宋体" w:cs="宋体"/>
                <w:sz w:val="18"/>
                <w:szCs w:val="18"/>
              </w:rPr>
            </w:pPr>
            <w:r>
              <w:rPr>
                <w:rFonts w:ascii="宋体" w:hAnsi="宋体" w:eastAsia="宋体" w:cs="宋体"/>
                <w:sz w:val="18"/>
                <w:szCs w:val="18"/>
              </w:rPr>
              <w:t>0.80%</w:t>
            </w:r>
          </w:p>
        </w:tc>
        <w:tc>
          <w:tcPr>
            <w:tcW w:w="1607" w:type="dxa"/>
            <w:tcBorders>
              <w:top w:val="single" w:color="auto" w:sz="2" w:space="0"/>
              <w:left w:val="single" w:color="auto" w:sz="2" w:space="0"/>
              <w:bottom w:val="single" w:color="auto" w:sz="2" w:space="0"/>
              <w:right w:val="single" w:color="auto" w:sz="2" w:space="0"/>
            </w:tcBorders>
            <w:vAlign w:val="center"/>
          </w:tcPr>
          <w:p w14:paraId="0A1653CB">
            <w:pPr>
              <w:spacing w:line="240" w:lineRule="exact"/>
              <w:jc w:val="right"/>
              <w:rPr>
                <w:rFonts w:ascii="宋体" w:hAnsi="宋体" w:eastAsia="宋体" w:cs="宋体"/>
                <w:sz w:val="18"/>
                <w:szCs w:val="18"/>
              </w:rPr>
            </w:pPr>
            <w:r>
              <w:rPr>
                <w:rFonts w:ascii="宋体" w:hAnsi="宋体" w:eastAsia="宋体" w:cs="宋体"/>
                <w:sz w:val="18"/>
                <w:szCs w:val="18"/>
              </w:rPr>
              <w:t>3,578,111.02</w:t>
            </w:r>
          </w:p>
        </w:tc>
      </w:tr>
      <w:tr w14:paraId="37E2D850">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48F45B9">
            <w:pPr>
              <w:spacing w:line="240" w:lineRule="exact"/>
              <w:rPr>
                <w:rFonts w:ascii="宋体" w:hAnsi="宋体" w:eastAsia="宋体" w:cs="宋体"/>
                <w:sz w:val="18"/>
                <w:szCs w:val="18"/>
              </w:rPr>
            </w:pPr>
            <w:r>
              <w:rPr>
                <w:rFonts w:ascii="宋体" w:hAnsi="宋体" w:eastAsia="宋体" w:cs="宋体"/>
                <w:sz w:val="18"/>
                <w:szCs w:val="18"/>
              </w:rPr>
              <w:t>西藏远征包装有限公司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772A8B0">
            <w:pPr>
              <w:spacing w:line="240" w:lineRule="exact"/>
              <w:rPr>
                <w:rFonts w:ascii="宋体" w:hAnsi="宋体" w:eastAsia="宋体" w:cs="宋体"/>
                <w:sz w:val="18"/>
                <w:szCs w:val="18"/>
              </w:rPr>
            </w:pPr>
            <w:r>
              <w:rPr>
                <w:rFonts w:ascii="宋体" w:hAnsi="宋体" w:eastAsia="宋体" w:cs="宋体"/>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04BE6A04">
            <w:pPr>
              <w:spacing w:line="240" w:lineRule="exact"/>
              <w:jc w:val="right"/>
              <w:rPr>
                <w:rFonts w:ascii="宋体" w:hAnsi="宋体" w:eastAsia="宋体" w:cs="宋体"/>
                <w:sz w:val="18"/>
                <w:szCs w:val="18"/>
              </w:rPr>
            </w:pPr>
            <w:r>
              <w:rPr>
                <w:rFonts w:ascii="宋体" w:hAnsi="宋体" w:eastAsia="宋体" w:cs="宋体"/>
                <w:sz w:val="18"/>
                <w:szCs w:val="18"/>
              </w:rPr>
              <w:t>4,530,000.00</w:t>
            </w:r>
          </w:p>
        </w:tc>
        <w:tc>
          <w:tcPr>
            <w:tcW w:w="1607" w:type="dxa"/>
            <w:tcBorders>
              <w:top w:val="single" w:color="auto" w:sz="2" w:space="0"/>
              <w:left w:val="single" w:color="auto" w:sz="2" w:space="0"/>
              <w:bottom w:val="single" w:color="auto" w:sz="2" w:space="0"/>
              <w:right w:val="single" w:color="auto" w:sz="2" w:space="0"/>
            </w:tcBorders>
            <w:vAlign w:val="center"/>
          </w:tcPr>
          <w:p w14:paraId="17F5DB85">
            <w:pPr>
              <w:spacing w:line="240" w:lineRule="exact"/>
              <w:rPr>
                <w:rFonts w:ascii="宋体" w:hAnsi="宋体" w:eastAsia="宋体" w:cs="宋体"/>
                <w:sz w:val="18"/>
                <w:szCs w:val="18"/>
              </w:rPr>
            </w:pPr>
            <w:r>
              <w:rPr>
                <w:rFonts w:ascii="宋体" w:hAnsi="宋体" w:eastAsia="宋体" w:cs="宋体"/>
                <w:sz w:val="18"/>
                <w:szCs w:val="18"/>
              </w:rPr>
              <w:t>4-5年</w:t>
            </w:r>
          </w:p>
        </w:tc>
        <w:tc>
          <w:tcPr>
            <w:tcW w:w="1607" w:type="dxa"/>
            <w:tcBorders>
              <w:top w:val="single" w:color="auto" w:sz="2" w:space="0"/>
              <w:left w:val="single" w:color="auto" w:sz="2" w:space="0"/>
              <w:bottom w:val="single" w:color="auto" w:sz="2" w:space="0"/>
              <w:right w:val="single" w:color="auto" w:sz="2" w:space="0"/>
            </w:tcBorders>
            <w:vAlign w:val="center"/>
          </w:tcPr>
          <w:p w14:paraId="4DF33C68">
            <w:pPr>
              <w:spacing w:line="240" w:lineRule="exact"/>
              <w:jc w:val="right"/>
              <w:rPr>
                <w:rFonts w:ascii="宋体" w:hAnsi="宋体" w:eastAsia="宋体" w:cs="宋体"/>
                <w:sz w:val="18"/>
                <w:szCs w:val="18"/>
              </w:rPr>
            </w:pPr>
            <w:r>
              <w:rPr>
                <w:rFonts w:ascii="宋体" w:hAnsi="宋体" w:eastAsia="宋体" w:cs="宋体"/>
                <w:sz w:val="18"/>
                <w:szCs w:val="18"/>
              </w:rPr>
              <w:t>1.01%</w:t>
            </w:r>
          </w:p>
        </w:tc>
        <w:tc>
          <w:tcPr>
            <w:tcW w:w="1607" w:type="dxa"/>
            <w:tcBorders>
              <w:top w:val="single" w:color="auto" w:sz="2" w:space="0"/>
              <w:left w:val="single" w:color="auto" w:sz="2" w:space="0"/>
              <w:bottom w:val="single" w:color="auto" w:sz="2" w:space="0"/>
              <w:right w:val="single" w:color="auto" w:sz="2" w:space="0"/>
            </w:tcBorders>
            <w:vAlign w:val="center"/>
          </w:tcPr>
          <w:p w14:paraId="07613960">
            <w:pPr>
              <w:spacing w:line="240" w:lineRule="exact"/>
              <w:jc w:val="right"/>
              <w:rPr>
                <w:rFonts w:ascii="宋体" w:hAnsi="宋体" w:eastAsia="宋体" w:cs="宋体"/>
                <w:sz w:val="18"/>
                <w:szCs w:val="18"/>
              </w:rPr>
            </w:pPr>
            <w:r>
              <w:rPr>
                <w:rFonts w:ascii="宋体" w:hAnsi="宋体" w:eastAsia="宋体" w:cs="宋体"/>
                <w:sz w:val="18"/>
                <w:szCs w:val="18"/>
              </w:rPr>
              <w:t>4,530,000.00</w:t>
            </w:r>
          </w:p>
        </w:tc>
      </w:tr>
      <w:tr w14:paraId="3CE3947D">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49156FF">
            <w:pPr>
              <w:spacing w:line="240" w:lineRule="exact"/>
              <w:rPr>
                <w:rFonts w:ascii="宋体" w:hAnsi="宋体" w:eastAsia="宋体" w:cs="宋体"/>
                <w:sz w:val="18"/>
                <w:szCs w:val="18"/>
              </w:rPr>
            </w:pPr>
            <w:r>
              <w:rPr>
                <w:rFonts w:ascii="宋体" w:hAnsi="宋体" w:eastAsia="宋体" w:cs="宋体"/>
                <w:sz w:val="18"/>
                <w:szCs w:val="18"/>
              </w:rPr>
              <w:t>西藏远征包装有限公司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6C337A0">
            <w:pPr>
              <w:spacing w:line="240" w:lineRule="exact"/>
              <w:rPr>
                <w:rFonts w:ascii="宋体" w:hAnsi="宋体" w:eastAsia="宋体" w:cs="宋体"/>
                <w:sz w:val="18"/>
                <w:szCs w:val="18"/>
              </w:rPr>
            </w:pPr>
            <w:r>
              <w:rPr>
                <w:rFonts w:ascii="宋体" w:hAnsi="宋体" w:eastAsia="宋体" w:cs="宋体"/>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2A39B770">
            <w:pPr>
              <w:spacing w:line="240" w:lineRule="exact"/>
              <w:jc w:val="right"/>
              <w:rPr>
                <w:rFonts w:ascii="宋体" w:hAnsi="宋体" w:eastAsia="宋体" w:cs="宋体"/>
                <w:sz w:val="18"/>
                <w:szCs w:val="18"/>
              </w:rPr>
            </w:pPr>
            <w:r>
              <w:rPr>
                <w:rFonts w:ascii="宋体" w:hAnsi="宋体" w:eastAsia="宋体" w:cs="宋体"/>
                <w:sz w:val="18"/>
                <w:szCs w:val="18"/>
              </w:rPr>
              <w:t>41,000,000.00</w:t>
            </w:r>
          </w:p>
        </w:tc>
        <w:tc>
          <w:tcPr>
            <w:tcW w:w="1607" w:type="dxa"/>
            <w:tcBorders>
              <w:top w:val="single" w:color="auto" w:sz="2" w:space="0"/>
              <w:left w:val="single" w:color="auto" w:sz="2" w:space="0"/>
              <w:bottom w:val="single" w:color="auto" w:sz="2" w:space="0"/>
              <w:right w:val="single" w:color="auto" w:sz="2" w:space="0"/>
            </w:tcBorders>
            <w:vAlign w:val="center"/>
          </w:tcPr>
          <w:p w14:paraId="033F1404">
            <w:pPr>
              <w:spacing w:line="240" w:lineRule="exact"/>
              <w:rPr>
                <w:rFonts w:ascii="宋体" w:hAnsi="宋体" w:eastAsia="宋体" w:cs="宋体"/>
                <w:sz w:val="18"/>
                <w:szCs w:val="18"/>
              </w:rPr>
            </w:pPr>
            <w:r>
              <w:rPr>
                <w:rFonts w:ascii="宋体" w:hAnsi="宋体" w:eastAsia="宋体" w:cs="宋体"/>
                <w:sz w:val="18"/>
                <w:szCs w:val="18"/>
              </w:rPr>
              <w:t>5年以上</w:t>
            </w:r>
          </w:p>
        </w:tc>
        <w:tc>
          <w:tcPr>
            <w:tcW w:w="1607" w:type="dxa"/>
            <w:tcBorders>
              <w:top w:val="single" w:color="auto" w:sz="2" w:space="0"/>
              <w:left w:val="single" w:color="auto" w:sz="2" w:space="0"/>
              <w:bottom w:val="single" w:color="auto" w:sz="2" w:space="0"/>
              <w:right w:val="single" w:color="auto" w:sz="2" w:space="0"/>
            </w:tcBorders>
            <w:vAlign w:val="center"/>
          </w:tcPr>
          <w:p w14:paraId="25EF8624">
            <w:pPr>
              <w:spacing w:line="240" w:lineRule="exact"/>
              <w:jc w:val="right"/>
              <w:rPr>
                <w:rFonts w:ascii="宋体" w:hAnsi="宋体" w:eastAsia="宋体" w:cs="宋体"/>
                <w:sz w:val="18"/>
                <w:szCs w:val="18"/>
              </w:rPr>
            </w:pPr>
            <w:r>
              <w:rPr>
                <w:rFonts w:ascii="宋体" w:hAnsi="宋体" w:eastAsia="宋体" w:cs="宋体"/>
                <w:sz w:val="18"/>
                <w:szCs w:val="18"/>
              </w:rPr>
              <w:t>9.12%</w:t>
            </w:r>
          </w:p>
        </w:tc>
        <w:tc>
          <w:tcPr>
            <w:tcW w:w="1607" w:type="dxa"/>
            <w:tcBorders>
              <w:top w:val="single" w:color="auto" w:sz="2" w:space="0"/>
              <w:left w:val="single" w:color="auto" w:sz="2" w:space="0"/>
              <w:bottom w:val="single" w:color="auto" w:sz="2" w:space="0"/>
              <w:right w:val="single" w:color="auto" w:sz="2" w:space="0"/>
            </w:tcBorders>
            <w:vAlign w:val="center"/>
          </w:tcPr>
          <w:p w14:paraId="70F9DEC1">
            <w:pPr>
              <w:spacing w:line="240" w:lineRule="exact"/>
              <w:jc w:val="right"/>
              <w:rPr>
                <w:rFonts w:ascii="宋体" w:hAnsi="宋体" w:eastAsia="宋体" w:cs="宋体"/>
                <w:sz w:val="18"/>
                <w:szCs w:val="18"/>
              </w:rPr>
            </w:pPr>
            <w:r>
              <w:rPr>
                <w:rFonts w:ascii="宋体" w:hAnsi="宋体" w:eastAsia="宋体" w:cs="宋体"/>
                <w:sz w:val="18"/>
                <w:szCs w:val="18"/>
              </w:rPr>
              <w:t>41,000,000.00</w:t>
            </w:r>
          </w:p>
        </w:tc>
      </w:tr>
      <w:tr w14:paraId="4332D01C">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DEF513">
            <w:pPr>
              <w:spacing w:before="40" w:after="40" w:line="240" w:lineRule="exact"/>
              <w:rPr>
                <w:rFonts w:ascii="宋体" w:hAnsi="宋体" w:eastAsia="宋体" w:cs="宋体"/>
                <w:sz w:val="18"/>
                <w:szCs w:val="18"/>
              </w:rPr>
            </w:pPr>
            <w:r>
              <w:rPr>
                <w:rFonts w:ascii="宋体" w:hAnsi="宋体" w:eastAsia="宋体" w:cs="宋体"/>
                <w:sz w:val="18"/>
                <w:szCs w:val="18"/>
              </w:rPr>
              <w:t>苏州华信善达力创投资企业（有限合伙）</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46C82E4">
            <w:r>
              <w:rPr>
                <w:rFonts w:ascii="宋体" w:hAnsi="宋体" w:eastAsia="宋体" w:cs="宋体"/>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51E62604">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054D4DD8">
            <w:r>
              <w:rPr>
                <w:rFonts w:ascii="宋体" w:hAnsi="宋体" w:eastAsia="宋体" w:cs="宋体"/>
                <w:sz w:val="18"/>
                <w:szCs w:val="18"/>
              </w:rPr>
              <w:t>1-2年</w:t>
            </w:r>
          </w:p>
        </w:tc>
        <w:tc>
          <w:tcPr>
            <w:tcW w:w="1607" w:type="dxa"/>
            <w:tcBorders>
              <w:top w:val="single" w:color="auto" w:sz="2" w:space="0"/>
              <w:left w:val="single" w:color="auto" w:sz="2" w:space="0"/>
              <w:bottom w:val="single" w:color="auto" w:sz="2" w:space="0"/>
              <w:right w:val="single" w:color="auto" w:sz="2" w:space="0"/>
            </w:tcBorders>
            <w:vAlign w:val="center"/>
          </w:tcPr>
          <w:p w14:paraId="01AFF84B">
            <w:pPr>
              <w:spacing w:line="240" w:lineRule="exact"/>
              <w:jc w:val="right"/>
              <w:rPr>
                <w:rFonts w:ascii="宋体" w:hAnsi="宋体" w:eastAsia="宋体" w:cs="宋体"/>
                <w:sz w:val="18"/>
                <w:szCs w:val="18"/>
              </w:rPr>
            </w:pPr>
            <w:r>
              <w:rPr>
                <w:rFonts w:ascii="宋体" w:hAnsi="宋体" w:eastAsia="宋体" w:cs="宋体"/>
                <w:sz w:val="18"/>
                <w:szCs w:val="18"/>
              </w:rPr>
              <w:t>1.67%</w:t>
            </w:r>
          </w:p>
        </w:tc>
        <w:tc>
          <w:tcPr>
            <w:tcW w:w="1607" w:type="dxa"/>
            <w:tcBorders>
              <w:top w:val="single" w:color="auto" w:sz="2" w:space="0"/>
              <w:left w:val="single" w:color="auto" w:sz="2" w:space="0"/>
              <w:bottom w:val="single" w:color="auto" w:sz="2" w:space="0"/>
              <w:right w:val="single" w:color="auto" w:sz="2" w:space="0"/>
            </w:tcBorders>
            <w:vAlign w:val="center"/>
          </w:tcPr>
          <w:p w14:paraId="56D4F7C9">
            <w:pPr>
              <w:spacing w:line="240" w:lineRule="exact"/>
              <w:jc w:val="right"/>
              <w:rPr>
                <w:rFonts w:ascii="宋体" w:hAnsi="宋体" w:eastAsia="宋体" w:cs="宋体"/>
                <w:sz w:val="18"/>
                <w:szCs w:val="18"/>
              </w:rPr>
            </w:pPr>
            <w:r>
              <w:rPr>
                <w:rFonts w:ascii="宋体" w:hAnsi="宋体" w:eastAsia="宋体" w:cs="宋体"/>
                <w:sz w:val="18"/>
                <w:szCs w:val="18"/>
              </w:rPr>
              <w:t>7,526,000.00</w:t>
            </w:r>
          </w:p>
        </w:tc>
      </w:tr>
      <w:tr w14:paraId="298CF21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C45B5A">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4F13A4C"/>
        </w:tc>
        <w:tc>
          <w:tcPr>
            <w:tcW w:w="1606" w:type="dxa"/>
            <w:tcBorders>
              <w:top w:val="single" w:color="auto" w:sz="2" w:space="0"/>
              <w:left w:val="single" w:color="auto" w:sz="2" w:space="0"/>
              <w:bottom w:val="single" w:color="auto" w:sz="2" w:space="0"/>
              <w:right w:val="single" w:color="auto" w:sz="2" w:space="0"/>
            </w:tcBorders>
            <w:vAlign w:val="center"/>
          </w:tcPr>
          <w:p w14:paraId="15567511">
            <w:pPr>
              <w:spacing w:line="240" w:lineRule="exact"/>
              <w:jc w:val="right"/>
              <w:rPr>
                <w:rFonts w:ascii="宋体" w:hAnsi="宋体" w:eastAsia="宋体" w:cs="宋体"/>
                <w:sz w:val="18"/>
                <w:szCs w:val="18"/>
              </w:rPr>
            </w:pPr>
            <w:r>
              <w:rPr>
                <w:rFonts w:ascii="宋体" w:hAnsi="宋体" w:eastAsia="宋体" w:cs="宋体"/>
                <w:sz w:val="18"/>
                <w:szCs w:val="18"/>
              </w:rPr>
              <w:t>447,893,566.02</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30D5D688"/>
        </w:tc>
        <w:tc>
          <w:tcPr>
            <w:tcW w:w="1607" w:type="dxa"/>
            <w:tcBorders>
              <w:top w:val="single" w:color="auto" w:sz="2" w:space="0"/>
              <w:left w:val="single" w:color="auto" w:sz="2" w:space="0"/>
              <w:bottom w:val="single" w:color="auto" w:sz="2" w:space="0"/>
              <w:right w:val="single" w:color="auto" w:sz="2" w:space="0"/>
            </w:tcBorders>
            <w:vAlign w:val="center"/>
          </w:tcPr>
          <w:p w14:paraId="1693F294">
            <w:pPr>
              <w:spacing w:line="240" w:lineRule="exact"/>
              <w:jc w:val="right"/>
              <w:rPr>
                <w:rFonts w:ascii="宋体" w:hAnsi="宋体" w:eastAsia="宋体" w:cs="宋体"/>
                <w:sz w:val="18"/>
                <w:szCs w:val="18"/>
              </w:rPr>
            </w:pPr>
            <w:r>
              <w:rPr>
                <w:rFonts w:ascii="宋体" w:hAnsi="宋体" w:eastAsia="宋体" w:cs="宋体"/>
                <w:sz w:val="18"/>
                <w:szCs w:val="18"/>
              </w:rPr>
              <w:t>99.53%</w:t>
            </w:r>
          </w:p>
        </w:tc>
        <w:tc>
          <w:tcPr>
            <w:tcW w:w="1607" w:type="dxa"/>
            <w:tcBorders>
              <w:top w:val="single" w:color="auto" w:sz="2" w:space="0"/>
              <w:left w:val="single" w:color="auto" w:sz="2" w:space="0"/>
              <w:bottom w:val="single" w:color="auto" w:sz="2" w:space="0"/>
              <w:right w:val="single" w:color="auto" w:sz="2" w:space="0"/>
            </w:tcBorders>
            <w:vAlign w:val="center"/>
          </w:tcPr>
          <w:p w14:paraId="44CDE312">
            <w:pPr>
              <w:spacing w:line="240" w:lineRule="exact"/>
              <w:jc w:val="right"/>
              <w:rPr>
                <w:rFonts w:ascii="宋体" w:hAnsi="宋体" w:eastAsia="宋体" w:cs="宋体"/>
                <w:sz w:val="18"/>
                <w:szCs w:val="18"/>
              </w:rPr>
            </w:pPr>
            <w:r>
              <w:rPr>
                <w:rFonts w:ascii="宋体" w:hAnsi="宋体" w:eastAsia="宋体" w:cs="宋体"/>
                <w:sz w:val="18"/>
                <w:szCs w:val="18"/>
              </w:rPr>
              <w:t>447,893,566.02</w:t>
            </w:r>
          </w:p>
        </w:tc>
      </w:tr>
    </w:tbl>
    <w:p w14:paraId="1F2F6FC9">
      <w:pPr>
        <w:keepNext/>
        <w:keepLines/>
        <w:spacing w:before="300" w:after="100" w:line="280" w:lineRule="exact"/>
        <w:outlineLvl w:val="4"/>
        <w:rPr>
          <w:rFonts w:ascii="宋体" w:hAnsi="宋体" w:eastAsia="宋体" w:cs="宋体"/>
          <w:b/>
          <w:bCs/>
          <w:szCs w:val="21"/>
        </w:rPr>
      </w:pPr>
      <w:bookmarkStart w:id="216" w:name="_Toc989105"/>
      <w:r>
        <w:rPr>
          <w:rFonts w:ascii="宋体" w:hAnsi="宋体" w:eastAsia="宋体" w:cs="宋体"/>
          <w:b/>
          <w:bCs/>
          <w:szCs w:val="21"/>
        </w:rPr>
        <w:t>7） 因资金集中管理而列报于其他应收款</w:t>
      </w:r>
      <w:bookmarkEnd w:id="216"/>
    </w:p>
    <w:p w14:paraId="70189AEA">
      <w:pPr>
        <w:keepNext/>
        <w:keepLines/>
        <w:spacing w:before="300" w:after="100" w:line="280" w:lineRule="exact"/>
        <w:outlineLvl w:val="4"/>
        <w:rPr>
          <w:rFonts w:ascii="宋体" w:hAnsi="宋体" w:eastAsia="宋体" w:cs="宋体"/>
          <w:b/>
          <w:bCs/>
          <w:szCs w:val="21"/>
        </w:rPr>
      </w:pPr>
    </w:p>
    <w:p w14:paraId="79E0444A">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589" w:type="dxa"/>
        <w:tblInd w:w="113" w:type="dxa"/>
        <w:tblLayout w:type="autofit"/>
        <w:tblCellMar>
          <w:top w:w="0" w:type="dxa"/>
          <w:left w:w="108" w:type="dxa"/>
          <w:bottom w:w="0" w:type="dxa"/>
          <w:right w:w="108" w:type="dxa"/>
        </w:tblCellMar>
      </w:tblPr>
      <w:tblGrid>
        <w:gridCol w:w="7728"/>
        <w:gridCol w:w="1861"/>
      </w:tblGrid>
      <w:tr w14:paraId="7FE42E73">
        <w:trPr>
          <w:trHeight w:val="461" w:hRule="atLeast"/>
        </w:trPr>
        <w:tc>
          <w:tcPr>
            <w:tcW w:w="7728" w:type="dxa"/>
            <w:tcBorders>
              <w:top w:val="single" w:color="auto" w:sz="4" w:space="0"/>
              <w:left w:val="single" w:color="auto" w:sz="4" w:space="0"/>
              <w:bottom w:val="single" w:color="auto" w:sz="4" w:space="0"/>
              <w:right w:val="single" w:color="auto" w:sz="4" w:space="0"/>
            </w:tcBorders>
            <w:shd w:val="clear" w:color="000000" w:fill="D3D3D3"/>
            <w:vAlign w:val="center"/>
          </w:tcPr>
          <w:p w14:paraId="520A551F">
            <w:pPr>
              <w:widowControl/>
              <w:rPr>
                <w:rFonts w:ascii="宋体" w:hAnsi="宋体" w:eastAsia="宋体" w:cs="宋体"/>
                <w:kern w:val="0"/>
                <w:sz w:val="18"/>
                <w:szCs w:val="18"/>
              </w:rPr>
            </w:pPr>
            <w:r>
              <w:rPr>
                <w:rFonts w:hint="eastAsia" w:ascii="宋体" w:hAnsi="宋体" w:eastAsia="宋体" w:cs="宋体"/>
                <w:kern w:val="0"/>
                <w:sz w:val="18"/>
                <w:szCs w:val="18"/>
              </w:rPr>
              <w:t>因资金集中管理而列报于其他应收款的金额</w:t>
            </w:r>
          </w:p>
        </w:tc>
        <w:tc>
          <w:tcPr>
            <w:tcW w:w="1861" w:type="dxa"/>
            <w:tcBorders>
              <w:top w:val="single" w:color="auto" w:sz="4" w:space="0"/>
              <w:left w:val="nil"/>
              <w:bottom w:val="single" w:color="auto" w:sz="4" w:space="0"/>
              <w:right w:val="single" w:color="auto" w:sz="4" w:space="0"/>
            </w:tcBorders>
            <w:shd w:val="clear" w:color="auto" w:fill="auto"/>
            <w:vAlign w:val="center"/>
          </w:tcPr>
          <w:p w14:paraId="7170651E">
            <w:pPr>
              <w:widowControl/>
              <w:jc w:val="right"/>
              <w:rPr>
                <w:rFonts w:ascii="宋体" w:hAnsi="宋体" w:eastAsia="宋体" w:cs="宋体"/>
                <w:kern w:val="0"/>
                <w:sz w:val="18"/>
                <w:szCs w:val="18"/>
              </w:rPr>
            </w:pPr>
            <w:r>
              <w:rPr>
                <w:rFonts w:hint="eastAsia" w:ascii="宋体" w:hAnsi="宋体" w:eastAsia="宋体" w:cs="宋体"/>
                <w:kern w:val="0"/>
                <w:sz w:val="18"/>
                <w:szCs w:val="18"/>
              </w:rPr>
              <w:t>0.00</w:t>
            </w:r>
          </w:p>
        </w:tc>
      </w:tr>
      <w:tr w14:paraId="1E5EE17C">
        <w:trPr>
          <w:trHeight w:val="461" w:hRule="atLeast"/>
        </w:trPr>
        <w:tc>
          <w:tcPr>
            <w:tcW w:w="7728" w:type="dxa"/>
            <w:tcBorders>
              <w:top w:val="nil"/>
              <w:left w:val="single" w:color="auto" w:sz="4" w:space="0"/>
              <w:bottom w:val="single" w:color="auto" w:sz="4" w:space="0"/>
              <w:right w:val="single" w:color="auto" w:sz="4" w:space="0"/>
            </w:tcBorders>
            <w:shd w:val="clear" w:color="000000" w:fill="D3D3D3"/>
            <w:vAlign w:val="center"/>
          </w:tcPr>
          <w:p w14:paraId="6FD6EA09">
            <w:pPr>
              <w:widowControl/>
              <w:rPr>
                <w:rFonts w:ascii="宋体" w:hAnsi="宋体" w:eastAsia="宋体" w:cs="宋体"/>
                <w:kern w:val="0"/>
                <w:sz w:val="18"/>
                <w:szCs w:val="18"/>
              </w:rPr>
            </w:pPr>
            <w:r>
              <w:rPr>
                <w:rFonts w:hint="eastAsia" w:ascii="宋体" w:hAnsi="宋体" w:eastAsia="宋体" w:cs="宋体"/>
                <w:kern w:val="0"/>
                <w:sz w:val="18"/>
                <w:szCs w:val="18"/>
              </w:rPr>
              <w:t>情况说明</w:t>
            </w:r>
          </w:p>
        </w:tc>
        <w:tc>
          <w:tcPr>
            <w:tcW w:w="1861" w:type="dxa"/>
            <w:tcBorders>
              <w:top w:val="nil"/>
              <w:left w:val="nil"/>
              <w:bottom w:val="single" w:color="auto" w:sz="4" w:space="0"/>
              <w:right w:val="single" w:color="auto" w:sz="4" w:space="0"/>
            </w:tcBorders>
            <w:shd w:val="clear" w:color="auto" w:fill="auto"/>
            <w:vAlign w:val="center"/>
          </w:tcPr>
          <w:p w14:paraId="22DD49A4">
            <w:pPr>
              <w:widowControl/>
              <w:rPr>
                <w:rFonts w:ascii="宋体" w:hAnsi="宋体" w:eastAsia="宋体" w:cs="宋体"/>
                <w:kern w:val="0"/>
                <w:sz w:val="18"/>
                <w:szCs w:val="18"/>
              </w:rPr>
            </w:pPr>
            <w:r>
              <w:rPr>
                <w:rFonts w:hint="eastAsia" w:ascii="宋体" w:hAnsi="宋体" w:eastAsia="宋体" w:cs="宋体"/>
                <w:kern w:val="0"/>
                <w:sz w:val="18"/>
                <w:szCs w:val="18"/>
              </w:rPr>
              <w:t>无</w:t>
            </w:r>
          </w:p>
        </w:tc>
      </w:tr>
    </w:tbl>
    <w:p w14:paraId="5C867CC5">
      <w:pPr>
        <w:spacing w:before="100" w:after="100" w:line="240" w:lineRule="exact"/>
        <w:jc w:val="right"/>
        <w:rPr>
          <w:rFonts w:ascii="宋体" w:hAnsi="宋体" w:eastAsia="宋体" w:cs="宋体"/>
          <w:sz w:val="18"/>
          <w:szCs w:val="18"/>
        </w:rPr>
      </w:pPr>
    </w:p>
    <w:p w14:paraId="2BA8B5A8">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024DC1BB">
      <w:pPr>
        <w:pStyle w:val="9"/>
        <w:spacing w:before="100" w:beforeAutospacing="0" w:after="100" w:afterAutospacing="0" w:line="20" w:lineRule="atLeast"/>
        <w:ind w:left="573" w:firstLine="482"/>
        <w:rPr>
          <w:sz w:val="18"/>
          <w:szCs w:val="18"/>
        </w:rPr>
      </w:pPr>
      <w:r>
        <w:rPr>
          <w:rFonts w:hint="eastAsia"/>
          <w:sz w:val="18"/>
          <w:szCs w:val="18"/>
        </w:rPr>
        <w:t>①本报告期无涉及政府补助的其他应收款。</w:t>
      </w:r>
    </w:p>
    <w:p w14:paraId="7C0DD249">
      <w:pPr>
        <w:pStyle w:val="9"/>
        <w:spacing w:before="100" w:beforeAutospacing="0" w:after="100" w:afterAutospacing="0" w:line="20" w:lineRule="atLeast"/>
        <w:ind w:left="573" w:firstLine="482"/>
        <w:rPr>
          <w:sz w:val="18"/>
          <w:szCs w:val="18"/>
        </w:rPr>
      </w:pPr>
      <w:r>
        <w:rPr>
          <w:rFonts w:hint="eastAsia"/>
          <w:sz w:val="18"/>
          <w:szCs w:val="18"/>
        </w:rPr>
        <w:t>②本报告期无因金融资产转移而终止确认的其他应收款。</w:t>
      </w:r>
    </w:p>
    <w:p w14:paraId="394932EF">
      <w:pPr>
        <w:pStyle w:val="9"/>
        <w:spacing w:before="100" w:beforeAutospacing="0" w:after="100" w:afterAutospacing="0" w:line="20" w:lineRule="atLeast"/>
        <w:ind w:left="573" w:firstLine="482"/>
        <w:rPr>
          <w:sz w:val="18"/>
          <w:szCs w:val="18"/>
        </w:rPr>
      </w:pPr>
      <w:r>
        <w:rPr>
          <w:rFonts w:hint="eastAsia"/>
          <w:sz w:val="18"/>
          <w:szCs w:val="18"/>
        </w:rPr>
        <w:t>③本报告期无转移其他应收款且继续涉入的金额。</w:t>
      </w:r>
    </w:p>
    <w:p w14:paraId="4833C155">
      <w:pPr>
        <w:pStyle w:val="3"/>
        <w:spacing w:after="100" w:line="280" w:lineRule="exact"/>
        <w:jc w:val="left"/>
        <w:rPr>
          <w:rFonts w:ascii="宋体" w:hAnsi="宋体" w:cs="宋体"/>
          <w:b/>
          <w:bCs/>
        </w:rPr>
      </w:pPr>
      <w:bookmarkStart w:id="217" w:name="_Toc989106"/>
      <w:r>
        <w:rPr>
          <w:rFonts w:ascii="宋体" w:hAnsi="宋体" w:cs="宋体"/>
          <w:b/>
          <w:bCs/>
        </w:rPr>
        <w:t>9、预付款项</w:t>
      </w:r>
      <w:bookmarkEnd w:id="217"/>
    </w:p>
    <w:p w14:paraId="048CB0CD">
      <w:pPr>
        <w:keepNext/>
        <w:keepLines/>
        <w:spacing w:before="300" w:after="100" w:line="280" w:lineRule="exact"/>
        <w:outlineLvl w:val="3"/>
        <w:rPr>
          <w:rFonts w:ascii="宋体" w:hAnsi="宋体" w:eastAsia="宋体" w:cs="宋体"/>
          <w:b/>
          <w:bCs/>
          <w:szCs w:val="21"/>
        </w:rPr>
      </w:pPr>
      <w:bookmarkStart w:id="218" w:name="_Toc989107"/>
      <w:r>
        <w:rPr>
          <w:rFonts w:ascii="宋体" w:hAnsi="宋体" w:eastAsia="宋体" w:cs="宋体"/>
          <w:b/>
          <w:bCs/>
          <w:szCs w:val="21"/>
        </w:rPr>
        <w:t>（1） 预付款项按账龄列示</w:t>
      </w:r>
      <w:bookmarkEnd w:id="218"/>
    </w:p>
    <w:p w14:paraId="2467509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F1544FF">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8A5E9C">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5C464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401408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6E1AD1B8">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E04CF31"/>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8D5B81">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FC090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F32EFA">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5E1A12">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r>
      <w:tr w14:paraId="507C0266">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EC6DFE">
            <w:pPr>
              <w:spacing w:before="40" w:after="40" w:line="240" w:lineRule="exact"/>
              <w:rPr>
                <w:rFonts w:ascii="宋体" w:hAnsi="宋体" w:eastAsia="宋体" w:cs="宋体"/>
                <w:sz w:val="18"/>
                <w:szCs w:val="18"/>
              </w:rPr>
            </w:pPr>
            <w:r>
              <w:rPr>
                <w:rFonts w:ascii="宋体" w:hAnsi="宋体" w:eastAsia="宋体" w:cs="宋体"/>
                <w:sz w:val="18"/>
                <w:szCs w:val="18"/>
              </w:rPr>
              <w:t>1年以内</w:t>
            </w:r>
          </w:p>
        </w:tc>
        <w:tc>
          <w:tcPr>
            <w:tcW w:w="1928" w:type="dxa"/>
            <w:tcBorders>
              <w:top w:val="single" w:color="auto" w:sz="2" w:space="0"/>
              <w:left w:val="single" w:color="auto" w:sz="2" w:space="0"/>
              <w:bottom w:val="single" w:color="auto" w:sz="2" w:space="0"/>
              <w:right w:val="single" w:color="auto" w:sz="2" w:space="0"/>
            </w:tcBorders>
            <w:vAlign w:val="center"/>
          </w:tcPr>
          <w:p w14:paraId="2A445D5A">
            <w:pPr>
              <w:spacing w:line="240" w:lineRule="exact"/>
              <w:jc w:val="right"/>
              <w:rPr>
                <w:rFonts w:ascii="宋体" w:hAnsi="宋体" w:eastAsia="宋体" w:cs="宋体"/>
                <w:sz w:val="18"/>
                <w:szCs w:val="18"/>
              </w:rPr>
            </w:pPr>
            <w:r>
              <w:rPr>
                <w:rFonts w:ascii="宋体" w:hAnsi="宋体" w:eastAsia="宋体" w:cs="宋体"/>
                <w:sz w:val="18"/>
                <w:szCs w:val="18"/>
              </w:rPr>
              <w:t>4,629,744.96</w:t>
            </w:r>
          </w:p>
        </w:tc>
        <w:tc>
          <w:tcPr>
            <w:tcW w:w="1928" w:type="dxa"/>
            <w:tcBorders>
              <w:top w:val="single" w:color="auto" w:sz="2" w:space="0"/>
              <w:left w:val="single" w:color="auto" w:sz="2" w:space="0"/>
              <w:bottom w:val="single" w:color="auto" w:sz="2" w:space="0"/>
              <w:right w:val="single" w:color="auto" w:sz="2" w:space="0"/>
            </w:tcBorders>
            <w:vAlign w:val="center"/>
          </w:tcPr>
          <w:p w14:paraId="1BBE0264">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928" w:type="dxa"/>
            <w:tcBorders>
              <w:top w:val="single" w:color="auto" w:sz="2" w:space="0"/>
              <w:left w:val="single" w:color="auto" w:sz="2" w:space="0"/>
              <w:bottom w:val="single" w:color="auto" w:sz="2" w:space="0"/>
              <w:right w:val="single" w:color="auto" w:sz="2" w:space="0"/>
            </w:tcBorders>
            <w:vAlign w:val="center"/>
          </w:tcPr>
          <w:p w14:paraId="636E6EBF">
            <w:pPr>
              <w:spacing w:line="240" w:lineRule="exact"/>
              <w:jc w:val="right"/>
              <w:rPr>
                <w:rFonts w:ascii="宋体" w:hAnsi="宋体" w:eastAsia="宋体" w:cs="宋体"/>
                <w:sz w:val="18"/>
                <w:szCs w:val="18"/>
              </w:rPr>
            </w:pPr>
            <w:r>
              <w:rPr>
                <w:rFonts w:ascii="宋体" w:hAnsi="宋体" w:eastAsia="宋体" w:cs="宋体"/>
                <w:sz w:val="18"/>
                <w:szCs w:val="18"/>
              </w:rPr>
              <w:t>3,933,531.64</w:t>
            </w:r>
          </w:p>
        </w:tc>
        <w:tc>
          <w:tcPr>
            <w:tcW w:w="1928" w:type="dxa"/>
            <w:tcBorders>
              <w:top w:val="single" w:color="auto" w:sz="2" w:space="0"/>
              <w:left w:val="single" w:color="auto" w:sz="2" w:space="0"/>
              <w:bottom w:val="single" w:color="auto" w:sz="2" w:space="0"/>
              <w:right w:val="single" w:color="auto" w:sz="2" w:space="0"/>
            </w:tcBorders>
            <w:vAlign w:val="center"/>
          </w:tcPr>
          <w:p w14:paraId="1E9B8CFA">
            <w:pPr>
              <w:spacing w:line="240" w:lineRule="exact"/>
              <w:jc w:val="right"/>
              <w:rPr>
                <w:rFonts w:ascii="宋体" w:hAnsi="宋体" w:eastAsia="宋体" w:cs="宋体"/>
                <w:sz w:val="18"/>
                <w:szCs w:val="18"/>
              </w:rPr>
            </w:pPr>
            <w:r>
              <w:rPr>
                <w:rFonts w:ascii="宋体" w:hAnsi="宋体" w:eastAsia="宋体" w:cs="宋体"/>
                <w:sz w:val="18"/>
                <w:szCs w:val="18"/>
              </w:rPr>
              <w:t>100.00%</w:t>
            </w:r>
          </w:p>
        </w:tc>
      </w:tr>
      <w:tr w14:paraId="22525DCA">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74EA0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6042183B">
            <w:pPr>
              <w:spacing w:line="240" w:lineRule="exact"/>
              <w:jc w:val="right"/>
              <w:rPr>
                <w:rFonts w:ascii="宋体" w:hAnsi="宋体" w:eastAsia="宋体" w:cs="宋体"/>
                <w:sz w:val="18"/>
                <w:szCs w:val="18"/>
              </w:rPr>
            </w:pPr>
            <w:r>
              <w:rPr>
                <w:rFonts w:ascii="宋体" w:hAnsi="宋体" w:eastAsia="宋体" w:cs="宋体"/>
                <w:sz w:val="18"/>
                <w:szCs w:val="18"/>
              </w:rPr>
              <w:t>4,629,744.96</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A8708A"/>
        </w:tc>
        <w:tc>
          <w:tcPr>
            <w:tcW w:w="1928" w:type="dxa"/>
            <w:tcBorders>
              <w:top w:val="single" w:color="auto" w:sz="2" w:space="0"/>
              <w:left w:val="single" w:color="auto" w:sz="2" w:space="0"/>
              <w:bottom w:val="single" w:color="auto" w:sz="2" w:space="0"/>
              <w:right w:val="single" w:color="auto" w:sz="2" w:space="0"/>
            </w:tcBorders>
            <w:vAlign w:val="center"/>
          </w:tcPr>
          <w:p w14:paraId="72F2478E">
            <w:pPr>
              <w:spacing w:line="240" w:lineRule="exact"/>
              <w:jc w:val="right"/>
              <w:rPr>
                <w:rFonts w:ascii="宋体" w:hAnsi="宋体" w:eastAsia="宋体" w:cs="宋体"/>
                <w:sz w:val="18"/>
                <w:szCs w:val="18"/>
              </w:rPr>
            </w:pPr>
            <w:r>
              <w:rPr>
                <w:rFonts w:ascii="宋体" w:hAnsi="宋体" w:eastAsia="宋体" w:cs="宋体"/>
                <w:sz w:val="18"/>
                <w:szCs w:val="18"/>
              </w:rPr>
              <w:t>3,933,531.64</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B0023A"/>
        </w:tc>
      </w:tr>
    </w:tbl>
    <w:p w14:paraId="2F264D63">
      <w:pPr>
        <w:spacing w:before="100" w:after="100" w:line="240" w:lineRule="exact"/>
      </w:pPr>
      <w:r>
        <w:rPr>
          <w:rFonts w:ascii="宋体" w:hAnsi="宋体" w:eastAsia="宋体" w:cs="宋体"/>
          <w:sz w:val="18"/>
          <w:szCs w:val="18"/>
        </w:rPr>
        <w:t>账龄超过1年且金额重要的预付款项未及时结算原因的说明：</w:t>
      </w:r>
    </w:p>
    <w:p w14:paraId="46A19F78">
      <w:pPr>
        <w:keepNext/>
        <w:keepLines/>
        <w:spacing w:before="300" w:after="300" w:line="280" w:lineRule="exact"/>
        <w:outlineLvl w:val="3"/>
        <w:rPr>
          <w:rFonts w:ascii="宋体" w:hAnsi="宋体" w:eastAsia="宋体" w:cs="宋体"/>
          <w:b/>
          <w:bCs/>
          <w:szCs w:val="21"/>
        </w:rPr>
      </w:pPr>
      <w:bookmarkStart w:id="219" w:name="_Toc989108"/>
      <w:r>
        <w:rPr>
          <w:rFonts w:ascii="宋体" w:hAnsi="宋体" w:eastAsia="宋体" w:cs="宋体"/>
          <w:b/>
          <w:bCs/>
          <w:szCs w:val="21"/>
        </w:rPr>
        <w:t>（2） 按预付对象归集的期末余额前五名的预付款情况</w:t>
      </w:r>
      <w:bookmarkEnd w:id="219"/>
    </w:p>
    <w:tbl>
      <w:tblPr>
        <w:tblStyle w:val="11"/>
        <w:tblW w:w="4998" w:type="pct"/>
        <w:tblInd w:w="0" w:type="dxa"/>
        <w:tblLayout w:type="autofit"/>
        <w:tblCellMar>
          <w:top w:w="0" w:type="dxa"/>
          <w:left w:w="0" w:type="dxa"/>
          <w:bottom w:w="0" w:type="dxa"/>
          <w:right w:w="0" w:type="dxa"/>
        </w:tblCellMar>
      </w:tblPr>
      <w:tblGrid>
        <w:gridCol w:w="3172"/>
        <w:gridCol w:w="1294"/>
        <w:gridCol w:w="1300"/>
        <w:gridCol w:w="2661"/>
        <w:gridCol w:w="1236"/>
      </w:tblGrid>
      <w:tr w14:paraId="3E4DCA0B">
        <w:trPr>
          <w:trHeight w:val="675" w:hRule="atLeast"/>
        </w:trPr>
        <w:tc>
          <w:tcPr>
            <w:tcW w:w="1640" w:type="pct"/>
            <w:tcBorders>
              <w:top w:val="single" w:color="auto" w:sz="8" w:space="0"/>
              <w:left w:val="single" w:color="auto" w:sz="8" w:space="0"/>
              <w:bottom w:val="single" w:color="auto" w:sz="8" w:space="0"/>
              <w:right w:val="single" w:color="auto" w:sz="8" w:space="0"/>
            </w:tcBorders>
            <w:tcMar>
              <w:top w:w="15" w:type="dxa"/>
              <w:left w:w="15" w:type="dxa"/>
              <w:bottom w:w="0" w:type="dxa"/>
              <w:right w:w="15" w:type="dxa"/>
            </w:tcMar>
            <w:vAlign w:val="center"/>
          </w:tcPr>
          <w:p w14:paraId="416F9E6D">
            <w:pPr>
              <w:pStyle w:val="9"/>
              <w:spacing w:before="0" w:beforeAutospacing="0" w:after="0" w:afterAutospacing="0"/>
              <w:jc w:val="center"/>
              <w:rPr>
                <w:rFonts w:ascii="宋体" w:hAnsi="宋体" w:eastAsia="宋体"/>
                <w:sz w:val="18"/>
                <w:szCs w:val="18"/>
              </w:rPr>
            </w:pPr>
            <w:r>
              <w:rPr>
                <w:rStyle w:val="13"/>
                <w:rFonts w:hint="eastAsia" w:ascii="宋体" w:hAnsi="宋体" w:eastAsia="宋体"/>
                <w:color w:val="000000"/>
                <w:sz w:val="18"/>
                <w:szCs w:val="18"/>
              </w:rPr>
              <w:t>单位名称</w:t>
            </w:r>
          </w:p>
        </w:tc>
        <w:tc>
          <w:tcPr>
            <w:tcW w:w="669" w:type="pct"/>
            <w:tcBorders>
              <w:top w:val="single" w:color="auto" w:sz="8" w:space="0"/>
              <w:left w:val="nil"/>
              <w:bottom w:val="single" w:color="auto" w:sz="8" w:space="0"/>
              <w:right w:val="single" w:color="auto" w:sz="8" w:space="0"/>
            </w:tcBorders>
            <w:tcMar>
              <w:top w:w="15" w:type="dxa"/>
              <w:left w:w="15" w:type="dxa"/>
              <w:bottom w:w="0" w:type="dxa"/>
              <w:right w:w="15" w:type="dxa"/>
            </w:tcMar>
            <w:vAlign w:val="center"/>
          </w:tcPr>
          <w:p w14:paraId="721DA1A6">
            <w:pPr>
              <w:pStyle w:val="9"/>
              <w:spacing w:before="0" w:beforeAutospacing="0" w:after="0" w:afterAutospacing="0"/>
              <w:jc w:val="center"/>
              <w:rPr>
                <w:rFonts w:ascii="宋体" w:hAnsi="宋体" w:eastAsia="宋体"/>
                <w:sz w:val="18"/>
                <w:szCs w:val="18"/>
              </w:rPr>
            </w:pPr>
            <w:r>
              <w:rPr>
                <w:rStyle w:val="13"/>
                <w:rFonts w:hint="eastAsia" w:ascii="宋体" w:hAnsi="宋体" w:eastAsia="宋体"/>
                <w:color w:val="000000"/>
                <w:sz w:val="18"/>
                <w:szCs w:val="18"/>
              </w:rPr>
              <w:t>与本公司关系</w:t>
            </w:r>
          </w:p>
        </w:tc>
        <w:tc>
          <w:tcPr>
            <w:tcW w:w="672" w:type="pct"/>
            <w:tcBorders>
              <w:top w:val="single" w:color="auto" w:sz="8" w:space="0"/>
              <w:left w:val="nil"/>
              <w:bottom w:val="single" w:color="auto" w:sz="8" w:space="0"/>
              <w:right w:val="single" w:color="auto" w:sz="8" w:space="0"/>
            </w:tcBorders>
            <w:tcMar>
              <w:top w:w="15" w:type="dxa"/>
              <w:left w:w="15" w:type="dxa"/>
              <w:bottom w:w="0" w:type="dxa"/>
              <w:right w:w="15" w:type="dxa"/>
            </w:tcMar>
            <w:vAlign w:val="center"/>
          </w:tcPr>
          <w:p w14:paraId="75CF4647">
            <w:pPr>
              <w:pStyle w:val="9"/>
              <w:spacing w:before="0" w:beforeAutospacing="0" w:after="0" w:afterAutospacing="0"/>
              <w:jc w:val="center"/>
              <w:rPr>
                <w:rFonts w:ascii="宋体" w:hAnsi="宋体" w:eastAsia="宋体"/>
                <w:sz w:val="18"/>
                <w:szCs w:val="18"/>
              </w:rPr>
            </w:pPr>
            <w:r>
              <w:rPr>
                <w:rStyle w:val="13"/>
                <w:rFonts w:hint="eastAsia" w:ascii="宋体" w:hAnsi="宋体" w:eastAsia="宋体"/>
                <w:color w:val="000000"/>
                <w:sz w:val="18"/>
                <w:szCs w:val="18"/>
              </w:rPr>
              <w:t>金额</w:t>
            </w:r>
          </w:p>
        </w:tc>
        <w:tc>
          <w:tcPr>
            <w:tcW w:w="1376" w:type="pct"/>
            <w:tcBorders>
              <w:top w:val="single" w:color="auto" w:sz="8" w:space="0"/>
              <w:left w:val="nil"/>
              <w:bottom w:val="single" w:color="auto" w:sz="8" w:space="0"/>
              <w:right w:val="single" w:color="auto" w:sz="8" w:space="0"/>
            </w:tcBorders>
            <w:tcMar>
              <w:top w:w="15" w:type="dxa"/>
              <w:left w:w="15" w:type="dxa"/>
              <w:bottom w:w="0" w:type="dxa"/>
              <w:right w:w="15" w:type="dxa"/>
            </w:tcMar>
            <w:vAlign w:val="center"/>
          </w:tcPr>
          <w:p w14:paraId="2BC7FE11">
            <w:pPr>
              <w:pStyle w:val="9"/>
              <w:spacing w:before="0" w:beforeAutospacing="0" w:after="0" w:afterAutospacing="0"/>
              <w:jc w:val="center"/>
              <w:rPr>
                <w:rFonts w:ascii="宋体" w:hAnsi="宋体" w:eastAsia="宋体"/>
                <w:sz w:val="18"/>
                <w:szCs w:val="18"/>
              </w:rPr>
            </w:pPr>
            <w:r>
              <w:rPr>
                <w:rStyle w:val="13"/>
                <w:rFonts w:hint="eastAsia" w:ascii="宋体" w:hAnsi="宋体" w:eastAsia="宋体"/>
                <w:color w:val="000000"/>
                <w:sz w:val="18"/>
                <w:szCs w:val="18"/>
              </w:rPr>
              <w:t>占预付账款总额的比例（</w:t>
            </w:r>
            <w:r>
              <w:rPr>
                <w:rStyle w:val="13"/>
                <w:rFonts w:ascii="宋体" w:hAnsi="宋体" w:eastAsia="宋体"/>
                <w:color w:val="000000"/>
                <w:sz w:val="18"/>
                <w:szCs w:val="18"/>
              </w:rPr>
              <w:t>%</w:t>
            </w:r>
            <w:r>
              <w:rPr>
                <w:rStyle w:val="13"/>
                <w:rFonts w:hint="eastAsia" w:ascii="宋体" w:hAnsi="宋体" w:eastAsia="宋体"/>
                <w:color w:val="000000"/>
                <w:sz w:val="18"/>
                <w:szCs w:val="18"/>
              </w:rPr>
              <w:t>）</w:t>
            </w:r>
          </w:p>
        </w:tc>
        <w:tc>
          <w:tcPr>
            <w:tcW w:w="639" w:type="pct"/>
            <w:tcBorders>
              <w:top w:val="single" w:color="auto" w:sz="8" w:space="0"/>
              <w:left w:val="nil"/>
              <w:bottom w:val="single" w:color="auto" w:sz="8" w:space="0"/>
              <w:right w:val="single" w:color="auto" w:sz="8" w:space="0"/>
            </w:tcBorders>
            <w:tcMar>
              <w:top w:w="15" w:type="dxa"/>
              <w:left w:w="15" w:type="dxa"/>
              <w:bottom w:w="0" w:type="dxa"/>
              <w:right w:w="15" w:type="dxa"/>
            </w:tcMar>
            <w:vAlign w:val="center"/>
          </w:tcPr>
          <w:p w14:paraId="326A97C9">
            <w:pPr>
              <w:pStyle w:val="9"/>
              <w:spacing w:before="0" w:beforeAutospacing="0" w:after="0" w:afterAutospacing="0"/>
              <w:jc w:val="center"/>
              <w:rPr>
                <w:rFonts w:ascii="宋体" w:hAnsi="宋体" w:eastAsia="宋体"/>
                <w:sz w:val="18"/>
                <w:szCs w:val="18"/>
              </w:rPr>
            </w:pPr>
            <w:r>
              <w:rPr>
                <w:rStyle w:val="13"/>
                <w:rFonts w:hint="eastAsia" w:ascii="宋体" w:hAnsi="宋体" w:eastAsia="宋体"/>
                <w:color w:val="000000"/>
                <w:sz w:val="18"/>
                <w:szCs w:val="18"/>
              </w:rPr>
              <w:t>账龄</w:t>
            </w:r>
          </w:p>
        </w:tc>
      </w:tr>
      <w:tr w14:paraId="633D2492">
        <w:trPr>
          <w:trHeight w:val="478" w:hRule="atLeast"/>
        </w:trPr>
        <w:tc>
          <w:tcPr>
            <w:tcW w:w="1640" w:type="pct"/>
            <w:tcBorders>
              <w:top w:val="nil"/>
              <w:left w:val="single" w:color="auto" w:sz="8" w:space="0"/>
              <w:bottom w:val="single" w:color="auto" w:sz="8" w:space="0"/>
              <w:right w:val="single" w:color="auto" w:sz="8" w:space="0"/>
            </w:tcBorders>
            <w:tcMar>
              <w:top w:w="15" w:type="dxa"/>
              <w:left w:w="15" w:type="dxa"/>
              <w:bottom w:w="0" w:type="dxa"/>
              <w:right w:w="15" w:type="dxa"/>
            </w:tcMar>
            <w:vAlign w:val="center"/>
          </w:tcPr>
          <w:p w14:paraId="494CE189">
            <w:pPr>
              <w:pStyle w:val="9"/>
              <w:spacing w:before="0" w:beforeAutospacing="0" w:after="0" w:afterAutospacing="0"/>
              <w:rPr>
                <w:rFonts w:ascii="宋体" w:hAnsi="宋体" w:eastAsia="宋体"/>
                <w:sz w:val="18"/>
                <w:szCs w:val="18"/>
              </w:rPr>
            </w:pPr>
            <w:r>
              <w:rPr>
                <w:rFonts w:hint="eastAsia" w:ascii="宋体" w:hAnsi="宋体" w:eastAsia="宋体"/>
                <w:color w:val="000000"/>
                <w:sz w:val="18"/>
                <w:szCs w:val="18"/>
              </w:rPr>
              <w:t>西藏宝钢包装有限责任公司</w:t>
            </w:r>
            <w:r>
              <w:rPr>
                <w:rFonts w:ascii="宋体" w:hAnsi="宋体" w:eastAsia="宋体"/>
                <w:color w:val="000000"/>
                <w:sz w:val="18"/>
                <w:szCs w:val="18"/>
              </w:rPr>
              <w:t> </w:t>
            </w:r>
          </w:p>
        </w:tc>
        <w:tc>
          <w:tcPr>
            <w:tcW w:w="669" w:type="pct"/>
            <w:tcBorders>
              <w:top w:val="nil"/>
              <w:left w:val="nil"/>
              <w:bottom w:val="single" w:color="auto" w:sz="8" w:space="0"/>
              <w:right w:val="single" w:color="auto" w:sz="8" w:space="0"/>
            </w:tcBorders>
            <w:tcMar>
              <w:top w:w="15" w:type="dxa"/>
              <w:left w:w="15" w:type="dxa"/>
              <w:bottom w:w="0" w:type="dxa"/>
              <w:right w:w="15" w:type="dxa"/>
            </w:tcMar>
            <w:vAlign w:val="center"/>
          </w:tcPr>
          <w:p w14:paraId="257520EF">
            <w:pPr>
              <w:pStyle w:val="9"/>
              <w:spacing w:before="0" w:beforeAutospacing="0" w:after="0" w:afterAutospacing="0"/>
              <w:jc w:val="right"/>
              <w:rPr>
                <w:rFonts w:ascii="宋体" w:hAnsi="宋体" w:eastAsia="宋体"/>
                <w:sz w:val="18"/>
                <w:szCs w:val="18"/>
              </w:rPr>
            </w:pPr>
            <w:r>
              <w:rPr>
                <w:rFonts w:hint="eastAsia" w:ascii="宋体" w:hAnsi="宋体" w:eastAsia="宋体"/>
                <w:color w:val="000000"/>
                <w:sz w:val="18"/>
                <w:szCs w:val="18"/>
              </w:rPr>
              <w:t>非关联方</w:t>
            </w:r>
          </w:p>
        </w:tc>
        <w:tc>
          <w:tcPr>
            <w:tcW w:w="672" w:type="pct"/>
            <w:tcBorders>
              <w:top w:val="nil"/>
              <w:left w:val="nil"/>
              <w:bottom w:val="single" w:color="auto" w:sz="8" w:space="0"/>
              <w:right w:val="single" w:color="auto" w:sz="8" w:space="0"/>
            </w:tcBorders>
            <w:tcMar>
              <w:top w:w="15" w:type="dxa"/>
              <w:left w:w="15" w:type="dxa"/>
              <w:bottom w:w="0" w:type="dxa"/>
              <w:right w:w="15" w:type="dxa"/>
            </w:tcMar>
            <w:vAlign w:val="center"/>
          </w:tcPr>
          <w:p w14:paraId="197D3456">
            <w:pPr>
              <w:pStyle w:val="9"/>
              <w:spacing w:before="0" w:beforeAutospacing="0" w:after="0" w:afterAutospacing="0"/>
              <w:jc w:val="right"/>
              <w:rPr>
                <w:rFonts w:ascii="宋体" w:hAnsi="宋体" w:eastAsia="宋体"/>
                <w:sz w:val="18"/>
                <w:szCs w:val="18"/>
              </w:rPr>
            </w:pPr>
            <w:r>
              <w:rPr>
                <w:rFonts w:ascii="宋体" w:hAnsi="宋体" w:eastAsia="宋体"/>
                <w:sz w:val="18"/>
                <w:szCs w:val="18"/>
              </w:rPr>
              <w:t>4,069,239.76</w:t>
            </w:r>
          </w:p>
        </w:tc>
        <w:tc>
          <w:tcPr>
            <w:tcW w:w="1376" w:type="pct"/>
            <w:tcBorders>
              <w:top w:val="nil"/>
              <w:left w:val="nil"/>
              <w:bottom w:val="single" w:color="auto" w:sz="8" w:space="0"/>
              <w:right w:val="single" w:color="auto" w:sz="8" w:space="0"/>
            </w:tcBorders>
            <w:tcMar>
              <w:top w:w="15" w:type="dxa"/>
              <w:left w:w="15" w:type="dxa"/>
              <w:bottom w:w="0" w:type="dxa"/>
              <w:right w:w="15" w:type="dxa"/>
            </w:tcMar>
            <w:vAlign w:val="center"/>
          </w:tcPr>
          <w:p w14:paraId="734D93F7">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87.89</w:t>
            </w:r>
          </w:p>
        </w:tc>
        <w:tc>
          <w:tcPr>
            <w:tcW w:w="639" w:type="pct"/>
            <w:tcBorders>
              <w:top w:val="nil"/>
              <w:left w:val="nil"/>
              <w:bottom w:val="single" w:color="auto" w:sz="8" w:space="0"/>
              <w:right w:val="single" w:color="auto" w:sz="8" w:space="0"/>
            </w:tcBorders>
            <w:tcMar>
              <w:top w:w="15" w:type="dxa"/>
              <w:left w:w="15" w:type="dxa"/>
              <w:bottom w:w="0" w:type="dxa"/>
              <w:right w:w="15" w:type="dxa"/>
            </w:tcMar>
            <w:vAlign w:val="center"/>
          </w:tcPr>
          <w:p w14:paraId="02326AF0">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 1</w:t>
            </w:r>
            <w:r>
              <w:rPr>
                <w:rFonts w:hint="eastAsia" w:ascii="宋体" w:hAnsi="宋体" w:eastAsia="宋体"/>
                <w:color w:val="000000"/>
                <w:sz w:val="18"/>
                <w:szCs w:val="18"/>
              </w:rPr>
              <w:t>年以内</w:t>
            </w:r>
            <w:r>
              <w:rPr>
                <w:rFonts w:ascii="宋体" w:hAnsi="宋体" w:eastAsia="宋体"/>
                <w:color w:val="000000"/>
                <w:sz w:val="18"/>
                <w:szCs w:val="18"/>
              </w:rPr>
              <w:t> </w:t>
            </w:r>
          </w:p>
        </w:tc>
      </w:tr>
      <w:tr w14:paraId="438F7A30">
        <w:trPr>
          <w:trHeight w:val="488" w:hRule="atLeast"/>
        </w:trPr>
        <w:tc>
          <w:tcPr>
            <w:tcW w:w="1640" w:type="pct"/>
            <w:tcBorders>
              <w:top w:val="nil"/>
              <w:left w:val="single" w:color="auto" w:sz="8" w:space="0"/>
              <w:bottom w:val="single" w:color="auto" w:sz="8" w:space="0"/>
              <w:right w:val="single" w:color="auto" w:sz="8" w:space="0"/>
            </w:tcBorders>
            <w:tcMar>
              <w:top w:w="15" w:type="dxa"/>
              <w:left w:w="15" w:type="dxa"/>
              <w:bottom w:w="0" w:type="dxa"/>
              <w:right w:w="15" w:type="dxa"/>
            </w:tcMar>
            <w:vAlign w:val="center"/>
          </w:tcPr>
          <w:p w14:paraId="3BB0D566">
            <w:pPr>
              <w:pStyle w:val="9"/>
              <w:spacing w:before="0" w:beforeAutospacing="0" w:after="0" w:afterAutospacing="0"/>
              <w:rPr>
                <w:rFonts w:ascii="宋体" w:hAnsi="宋体" w:eastAsia="宋体"/>
                <w:sz w:val="18"/>
                <w:szCs w:val="18"/>
              </w:rPr>
            </w:pPr>
            <w:r>
              <w:rPr>
                <w:rFonts w:hint="eastAsia" w:ascii="宋体" w:hAnsi="宋体" w:eastAsia="宋体"/>
                <w:sz w:val="18"/>
                <w:szCs w:val="18"/>
              </w:rPr>
              <w:t>南京乐惠芬纳赫包装机械有限公司</w:t>
            </w:r>
          </w:p>
        </w:tc>
        <w:tc>
          <w:tcPr>
            <w:tcW w:w="669" w:type="pct"/>
            <w:tcBorders>
              <w:top w:val="nil"/>
              <w:left w:val="nil"/>
              <w:bottom w:val="single" w:color="auto" w:sz="8" w:space="0"/>
              <w:right w:val="single" w:color="auto" w:sz="8" w:space="0"/>
            </w:tcBorders>
            <w:tcMar>
              <w:top w:w="15" w:type="dxa"/>
              <w:left w:w="15" w:type="dxa"/>
              <w:bottom w:w="0" w:type="dxa"/>
              <w:right w:w="15" w:type="dxa"/>
            </w:tcMar>
            <w:vAlign w:val="center"/>
          </w:tcPr>
          <w:p w14:paraId="09F78B2A">
            <w:pPr>
              <w:pStyle w:val="9"/>
              <w:spacing w:before="0" w:beforeAutospacing="0" w:after="0" w:afterAutospacing="0"/>
              <w:jc w:val="right"/>
              <w:rPr>
                <w:rFonts w:ascii="宋体" w:hAnsi="宋体" w:eastAsia="宋体"/>
                <w:sz w:val="18"/>
                <w:szCs w:val="18"/>
              </w:rPr>
            </w:pPr>
            <w:r>
              <w:rPr>
                <w:rFonts w:hint="eastAsia" w:ascii="宋体" w:hAnsi="宋体" w:eastAsia="宋体"/>
                <w:color w:val="000000"/>
                <w:sz w:val="18"/>
                <w:szCs w:val="18"/>
              </w:rPr>
              <w:t>非关联方</w:t>
            </w:r>
          </w:p>
        </w:tc>
        <w:tc>
          <w:tcPr>
            <w:tcW w:w="672" w:type="pct"/>
            <w:tcBorders>
              <w:top w:val="nil"/>
              <w:left w:val="nil"/>
              <w:bottom w:val="single" w:color="auto" w:sz="8" w:space="0"/>
              <w:right w:val="single" w:color="auto" w:sz="8" w:space="0"/>
            </w:tcBorders>
            <w:tcMar>
              <w:top w:w="15" w:type="dxa"/>
              <w:left w:w="15" w:type="dxa"/>
              <w:bottom w:w="0" w:type="dxa"/>
              <w:right w:w="15" w:type="dxa"/>
            </w:tcMar>
            <w:vAlign w:val="center"/>
          </w:tcPr>
          <w:p w14:paraId="78A28D51">
            <w:pPr>
              <w:pStyle w:val="9"/>
              <w:spacing w:before="0" w:beforeAutospacing="0" w:after="0" w:afterAutospacing="0"/>
              <w:jc w:val="right"/>
              <w:rPr>
                <w:rFonts w:ascii="宋体" w:hAnsi="宋体" w:eastAsia="宋体"/>
                <w:sz w:val="18"/>
                <w:szCs w:val="18"/>
              </w:rPr>
            </w:pPr>
            <w:r>
              <w:rPr>
                <w:rFonts w:ascii="宋体" w:hAnsi="宋体" w:eastAsia="宋体"/>
                <w:color w:val="000000"/>
                <w:sz w:val="18"/>
                <w:szCs w:val="18"/>
              </w:rPr>
              <w:t>243,060.20</w:t>
            </w:r>
          </w:p>
        </w:tc>
        <w:tc>
          <w:tcPr>
            <w:tcW w:w="1376" w:type="pct"/>
            <w:tcBorders>
              <w:top w:val="nil"/>
              <w:left w:val="nil"/>
              <w:bottom w:val="single" w:color="auto" w:sz="8" w:space="0"/>
              <w:right w:val="single" w:color="auto" w:sz="8" w:space="0"/>
            </w:tcBorders>
            <w:tcMar>
              <w:top w:w="15" w:type="dxa"/>
              <w:left w:w="15" w:type="dxa"/>
              <w:bottom w:w="0" w:type="dxa"/>
              <w:right w:w="15" w:type="dxa"/>
            </w:tcMar>
            <w:vAlign w:val="center"/>
          </w:tcPr>
          <w:p w14:paraId="0F144C12">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5.25</w:t>
            </w:r>
          </w:p>
        </w:tc>
        <w:tc>
          <w:tcPr>
            <w:tcW w:w="639" w:type="pct"/>
            <w:tcBorders>
              <w:top w:val="nil"/>
              <w:left w:val="nil"/>
              <w:bottom w:val="single" w:color="auto" w:sz="8" w:space="0"/>
              <w:right w:val="single" w:color="auto" w:sz="8" w:space="0"/>
            </w:tcBorders>
            <w:tcMar>
              <w:top w:w="15" w:type="dxa"/>
              <w:left w:w="15" w:type="dxa"/>
              <w:bottom w:w="0" w:type="dxa"/>
              <w:right w:w="15" w:type="dxa"/>
            </w:tcMar>
            <w:vAlign w:val="center"/>
          </w:tcPr>
          <w:p w14:paraId="18B71AE5">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 1</w:t>
            </w:r>
            <w:r>
              <w:rPr>
                <w:rFonts w:hint="eastAsia" w:ascii="宋体" w:hAnsi="宋体" w:eastAsia="宋体"/>
                <w:color w:val="000000"/>
                <w:sz w:val="18"/>
                <w:szCs w:val="18"/>
              </w:rPr>
              <w:t>年以内</w:t>
            </w:r>
            <w:r>
              <w:rPr>
                <w:rFonts w:ascii="宋体" w:hAnsi="宋体" w:eastAsia="宋体"/>
                <w:color w:val="000000"/>
                <w:sz w:val="18"/>
                <w:szCs w:val="18"/>
              </w:rPr>
              <w:t> </w:t>
            </w:r>
          </w:p>
        </w:tc>
      </w:tr>
      <w:tr w14:paraId="472D403F">
        <w:trPr>
          <w:trHeight w:val="475" w:hRule="atLeast"/>
        </w:trPr>
        <w:tc>
          <w:tcPr>
            <w:tcW w:w="1640" w:type="pct"/>
            <w:tcBorders>
              <w:top w:val="nil"/>
              <w:left w:val="single" w:color="auto" w:sz="8" w:space="0"/>
              <w:bottom w:val="single" w:color="auto" w:sz="8" w:space="0"/>
              <w:right w:val="single" w:color="auto" w:sz="8" w:space="0"/>
            </w:tcBorders>
            <w:tcMar>
              <w:top w:w="15" w:type="dxa"/>
              <w:left w:w="15" w:type="dxa"/>
              <w:bottom w:w="0" w:type="dxa"/>
              <w:right w:w="15" w:type="dxa"/>
            </w:tcMar>
            <w:vAlign w:val="center"/>
          </w:tcPr>
          <w:p w14:paraId="724F69B6">
            <w:pPr>
              <w:pStyle w:val="9"/>
              <w:spacing w:before="0" w:beforeAutospacing="0" w:after="0" w:afterAutospacing="0"/>
              <w:rPr>
                <w:rFonts w:ascii="宋体" w:hAnsi="宋体" w:eastAsia="宋体"/>
                <w:sz w:val="18"/>
                <w:szCs w:val="18"/>
              </w:rPr>
            </w:pPr>
            <w:r>
              <w:rPr>
                <w:rFonts w:hint="eastAsia" w:ascii="宋体" w:hAnsi="宋体" w:eastAsia="宋体"/>
                <w:sz w:val="18"/>
                <w:szCs w:val="18"/>
              </w:rPr>
              <w:t>深圳市卡尔赛商贸有限公司</w:t>
            </w:r>
          </w:p>
        </w:tc>
        <w:tc>
          <w:tcPr>
            <w:tcW w:w="669" w:type="pct"/>
            <w:tcBorders>
              <w:top w:val="nil"/>
              <w:left w:val="nil"/>
              <w:bottom w:val="single" w:color="auto" w:sz="8" w:space="0"/>
              <w:right w:val="single" w:color="auto" w:sz="8" w:space="0"/>
            </w:tcBorders>
            <w:tcMar>
              <w:top w:w="15" w:type="dxa"/>
              <w:left w:w="15" w:type="dxa"/>
              <w:bottom w:w="0" w:type="dxa"/>
              <w:right w:w="15" w:type="dxa"/>
            </w:tcMar>
            <w:vAlign w:val="center"/>
          </w:tcPr>
          <w:p w14:paraId="6B9768FF">
            <w:pPr>
              <w:pStyle w:val="9"/>
              <w:spacing w:before="0" w:beforeAutospacing="0" w:after="0" w:afterAutospacing="0"/>
              <w:jc w:val="right"/>
              <w:rPr>
                <w:rFonts w:ascii="宋体" w:hAnsi="宋体" w:eastAsia="宋体"/>
                <w:sz w:val="18"/>
                <w:szCs w:val="18"/>
              </w:rPr>
            </w:pPr>
            <w:r>
              <w:rPr>
                <w:rFonts w:hint="eastAsia" w:ascii="宋体" w:hAnsi="宋体" w:eastAsia="宋体"/>
                <w:color w:val="000000"/>
                <w:sz w:val="18"/>
                <w:szCs w:val="18"/>
              </w:rPr>
              <w:t>非关联方</w:t>
            </w:r>
          </w:p>
        </w:tc>
        <w:tc>
          <w:tcPr>
            <w:tcW w:w="672" w:type="pct"/>
            <w:tcBorders>
              <w:top w:val="nil"/>
              <w:left w:val="nil"/>
              <w:bottom w:val="single" w:color="auto" w:sz="8" w:space="0"/>
              <w:right w:val="single" w:color="auto" w:sz="8" w:space="0"/>
            </w:tcBorders>
            <w:tcMar>
              <w:top w:w="15" w:type="dxa"/>
              <w:left w:w="15" w:type="dxa"/>
              <w:bottom w:w="0" w:type="dxa"/>
              <w:right w:w="15" w:type="dxa"/>
            </w:tcMar>
            <w:vAlign w:val="center"/>
          </w:tcPr>
          <w:p w14:paraId="2AA3DE79">
            <w:pPr>
              <w:pStyle w:val="9"/>
              <w:spacing w:before="0" w:beforeAutospacing="0" w:after="0" w:afterAutospacing="0"/>
              <w:jc w:val="right"/>
              <w:rPr>
                <w:rFonts w:ascii="宋体" w:hAnsi="宋体" w:eastAsia="宋体"/>
                <w:sz w:val="18"/>
                <w:szCs w:val="18"/>
              </w:rPr>
            </w:pPr>
            <w:r>
              <w:rPr>
                <w:rFonts w:ascii="宋体" w:hAnsi="宋体" w:eastAsia="宋体"/>
                <w:color w:val="000000"/>
                <w:sz w:val="18"/>
                <w:szCs w:val="18"/>
              </w:rPr>
              <w:t>134,400.00</w:t>
            </w:r>
          </w:p>
        </w:tc>
        <w:tc>
          <w:tcPr>
            <w:tcW w:w="1376" w:type="pct"/>
            <w:tcBorders>
              <w:top w:val="nil"/>
              <w:left w:val="nil"/>
              <w:bottom w:val="single" w:color="auto" w:sz="8" w:space="0"/>
              <w:right w:val="single" w:color="auto" w:sz="8" w:space="0"/>
            </w:tcBorders>
            <w:tcMar>
              <w:top w:w="15" w:type="dxa"/>
              <w:left w:w="15" w:type="dxa"/>
              <w:bottom w:w="0" w:type="dxa"/>
              <w:right w:w="15" w:type="dxa"/>
            </w:tcMar>
            <w:vAlign w:val="center"/>
          </w:tcPr>
          <w:p w14:paraId="6B9A87B8">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2.90</w:t>
            </w:r>
          </w:p>
        </w:tc>
        <w:tc>
          <w:tcPr>
            <w:tcW w:w="639" w:type="pct"/>
            <w:tcBorders>
              <w:top w:val="nil"/>
              <w:left w:val="nil"/>
              <w:bottom w:val="single" w:color="auto" w:sz="8" w:space="0"/>
              <w:right w:val="single" w:color="auto" w:sz="8" w:space="0"/>
            </w:tcBorders>
            <w:tcMar>
              <w:top w:w="15" w:type="dxa"/>
              <w:left w:w="15" w:type="dxa"/>
              <w:bottom w:w="0" w:type="dxa"/>
              <w:right w:w="15" w:type="dxa"/>
            </w:tcMar>
            <w:vAlign w:val="center"/>
          </w:tcPr>
          <w:p w14:paraId="22558DCA">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 1</w:t>
            </w:r>
            <w:r>
              <w:rPr>
                <w:rFonts w:hint="eastAsia" w:ascii="宋体" w:hAnsi="宋体" w:eastAsia="宋体"/>
                <w:color w:val="000000"/>
                <w:sz w:val="18"/>
                <w:szCs w:val="18"/>
              </w:rPr>
              <w:t>年以内</w:t>
            </w:r>
            <w:r>
              <w:rPr>
                <w:rFonts w:ascii="宋体" w:hAnsi="宋体" w:eastAsia="宋体"/>
                <w:color w:val="000000"/>
                <w:sz w:val="18"/>
                <w:szCs w:val="18"/>
              </w:rPr>
              <w:t> </w:t>
            </w:r>
          </w:p>
        </w:tc>
      </w:tr>
      <w:tr w14:paraId="5E9BC462">
        <w:trPr>
          <w:trHeight w:val="451" w:hRule="atLeast"/>
        </w:trPr>
        <w:tc>
          <w:tcPr>
            <w:tcW w:w="1640" w:type="pct"/>
            <w:tcBorders>
              <w:top w:val="nil"/>
              <w:left w:val="single" w:color="auto" w:sz="8" w:space="0"/>
              <w:bottom w:val="single" w:color="auto" w:sz="8" w:space="0"/>
              <w:right w:val="single" w:color="auto" w:sz="8" w:space="0"/>
            </w:tcBorders>
            <w:tcMar>
              <w:top w:w="15" w:type="dxa"/>
              <w:left w:w="15" w:type="dxa"/>
              <w:bottom w:w="0" w:type="dxa"/>
              <w:right w:w="15" w:type="dxa"/>
            </w:tcMar>
            <w:vAlign w:val="center"/>
          </w:tcPr>
          <w:p w14:paraId="2E067DC4">
            <w:pPr>
              <w:pStyle w:val="9"/>
              <w:spacing w:before="0" w:beforeAutospacing="0" w:after="0" w:afterAutospacing="0"/>
              <w:rPr>
                <w:rFonts w:ascii="宋体" w:hAnsi="宋体" w:eastAsia="宋体"/>
                <w:sz w:val="18"/>
                <w:szCs w:val="18"/>
              </w:rPr>
            </w:pPr>
            <w:r>
              <w:rPr>
                <w:rFonts w:hint="eastAsia" w:ascii="宋体" w:hAnsi="宋体" w:eastAsia="宋体"/>
                <w:sz w:val="18"/>
                <w:szCs w:val="18"/>
              </w:rPr>
              <w:t>建德市广鑫塑业有限公司</w:t>
            </w:r>
          </w:p>
        </w:tc>
        <w:tc>
          <w:tcPr>
            <w:tcW w:w="669" w:type="pct"/>
            <w:tcBorders>
              <w:top w:val="nil"/>
              <w:left w:val="nil"/>
              <w:bottom w:val="single" w:color="auto" w:sz="8" w:space="0"/>
              <w:right w:val="single" w:color="auto" w:sz="8" w:space="0"/>
            </w:tcBorders>
            <w:tcMar>
              <w:top w:w="15" w:type="dxa"/>
              <w:left w:w="15" w:type="dxa"/>
              <w:bottom w:w="0" w:type="dxa"/>
              <w:right w:w="15" w:type="dxa"/>
            </w:tcMar>
            <w:vAlign w:val="center"/>
          </w:tcPr>
          <w:p w14:paraId="4A13899E">
            <w:pPr>
              <w:pStyle w:val="9"/>
              <w:spacing w:before="0" w:beforeAutospacing="0" w:after="0" w:afterAutospacing="0"/>
              <w:jc w:val="right"/>
              <w:rPr>
                <w:rFonts w:ascii="宋体" w:hAnsi="宋体" w:eastAsia="宋体"/>
                <w:sz w:val="18"/>
                <w:szCs w:val="18"/>
              </w:rPr>
            </w:pPr>
            <w:r>
              <w:rPr>
                <w:rFonts w:hint="eastAsia" w:ascii="宋体" w:hAnsi="宋体" w:eastAsia="宋体"/>
                <w:color w:val="000000"/>
                <w:sz w:val="18"/>
                <w:szCs w:val="18"/>
              </w:rPr>
              <w:t>非关联方</w:t>
            </w:r>
          </w:p>
        </w:tc>
        <w:tc>
          <w:tcPr>
            <w:tcW w:w="672" w:type="pct"/>
            <w:tcBorders>
              <w:top w:val="nil"/>
              <w:left w:val="nil"/>
              <w:bottom w:val="single" w:color="auto" w:sz="8" w:space="0"/>
              <w:right w:val="single" w:color="auto" w:sz="8" w:space="0"/>
            </w:tcBorders>
            <w:tcMar>
              <w:top w:w="15" w:type="dxa"/>
              <w:left w:w="15" w:type="dxa"/>
              <w:bottom w:w="0" w:type="dxa"/>
              <w:right w:w="15" w:type="dxa"/>
            </w:tcMar>
            <w:vAlign w:val="center"/>
          </w:tcPr>
          <w:p w14:paraId="6A933BD3">
            <w:pPr>
              <w:pStyle w:val="9"/>
              <w:spacing w:before="0" w:beforeAutospacing="0" w:after="0" w:afterAutospacing="0"/>
              <w:jc w:val="right"/>
              <w:rPr>
                <w:rFonts w:ascii="宋体" w:hAnsi="宋体" w:eastAsia="宋体"/>
                <w:sz w:val="18"/>
                <w:szCs w:val="18"/>
              </w:rPr>
            </w:pPr>
            <w:r>
              <w:rPr>
                <w:rFonts w:ascii="宋体" w:hAnsi="宋体" w:eastAsia="宋体"/>
                <w:color w:val="000000"/>
                <w:sz w:val="18"/>
                <w:szCs w:val="18"/>
              </w:rPr>
              <w:t>50,895.00</w:t>
            </w:r>
          </w:p>
        </w:tc>
        <w:tc>
          <w:tcPr>
            <w:tcW w:w="1376" w:type="pct"/>
            <w:tcBorders>
              <w:top w:val="nil"/>
              <w:left w:val="nil"/>
              <w:bottom w:val="single" w:color="auto" w:sz="8" w:space="0"/>
              <w:right w:val="single" w:color="auto" w:sz="8" w:space="0"/>
            </w:tcBorders>
            <w:tcMar>
              <w:top w:w="15" w:type="dxa"/>
              <w:left w:w="15" w:type="dxa"/>
              <w:bottom w:w="0" w:type="dxa"/>
              <w:right w:w="15" w:type="dxa"/>
            </w:tcMar>
            <w:vAlign w:val="center"/>
          </w:tcPr>
          <w:p w14:paraId="2D6B0E28">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1.10</w:t>
            </w:r>
          </w:p>
        </w:tc>
        <w:tc>
          <w:tcPr>
            <w:tcW w:w="639" w:type="pct"/>
            <w:tcBorders>
              <w:top w:val="nil"/>
              <w:left w:val="nil"/>
              <w:bottom w:val="single" w:color="auto" w:sz="8" w:space="0"/>
              <w:right w:val="single" w:color="auto" w:sz="8" w:space="0"/>
            </w:tcBorders>
            <w:tcMar>
              <w:top w:w="15" w:type="dxa"/>
              <w:left w:w="15" w:type="dxa"/>
              <w:bottom w:w="0" w:type="dxa"/>
              <w:right w:w="15" w:type="dxa"/>
            </w:tcMar>
            <w:vAlign w:val="center"/>
          </w:tcPr>
          <w:p w14:paraId="7F0ADBB6">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 1</w:t>
            </w:r>
            <w:r>
              <w:rPr>
                <w:rFonts w:hint="eastAsia" w:ascii="宋体" w:hAnsi="宋体" w:eastAsia="宋体"/>
                <w:color w:val="000000"/>
                <w:sz w:val="18"/>
                <w:szCs w:val="18"/>
              </w:rPr>
              <w:t>年以内</w:t>
            </w:r>
            <w:r>
              <w:rPr>
                <w:rFonts w:ascii="宋体" w:hAnsi="宋体" w:eastAsia="宋体"/>
                <w:color w:val="000000"/>
                <w:sz w:val="18"/>
                <w:szCs w:val="18"/>
              </w:rPr>
              <w:t> </w:t>
            </w:r>
          </w:p>
        </w:tc>
      </w:tr>
      <w:tr w14:paraId="520C1D40">
        <w:trPr>
          <w:trHeight w:val="461" w:hRule="atLeast"/>
        </w:trPr>
        <w:tc>
          <w:tcPr>
            <w:tcW w:w="1640" w:type="pct"/>
            <w:tcBorders>
              <w:top w:val="nil"/>
              <w:left w:val="single" w:color="auto" w:sz="8" w:space="0"/>
              <w:bottom w:val="single" w:color="auto" w:sz="8" w:space="0"/>
              <w:right w:val="single" w:color="auto" w:sz="8" w:space="0"/>
            </w:tcBorders>
            <w:tcMar>
              <w:top w:w="15" w:type="dxa"/>
              <w:left w:w="15" w:type="dxa"/>
              <w:bottom w:w="0" w:type="dxa"/>
              <w:right w:w="15" w:type="dxa"/>
            </w:tcMar>
            <w:vAlign w:val="center"/>
          </w:tcPr>
          <w:p w14:paraId="18C9D9C4">
            <w:pPr>
              <w:pStyle w:val="9"/>
              <w:spacing w:before="0" w:beforeAutospacing="0" w:after="0" w:afterAutospacing="0"/>
              <w:rPr>
                <w:rFonts w:ascii="宋体" w:hAnsi="宋体" w:eastAsia="宋体"/>
                <w:sz w:val="18"/>
                <w:szCs w:val="18"/>
              </w:rPr>
            </w:pPr>
            <w:r>
              <w:rPr>
                <w:rFonts w:hint="eastAsia" w:ascii="宋体" w:hAnsi="宋体" w:eastAsia="宋体"/>
                <w:sz w:val="18"/>
                <w:szCs w:val="18"/>
              </w:rPr>
              <w:t>秦皇岛中德实业有限公司</w:t>
            </w:r>
          </w:p>
        </w:tc>
        <w:tc>
          <w:tcPr>
            <w:tcW w:w="669" w:type="pct"/>
            <w:tcBorders>
              <w:top w:val="nil"/>
              <w:left w:val="nil"/>
              <w:bottom w:val="single" w:color="auto" w:sz="8" w:space="0"/>
              <w:right w:val="single" w:color="auto" w:sz="8" w:space="0"/>
            </w:tcBorders>
            <w:tcMar>
              <w:top w:w="15" w:type="dxa"/>
              <w:left w:w="15" w:type="dxa"/>
              <w:bottom w:w="0" w:type="dxa"/>
              <w:right w:w="15" w:type="dxa"/>
            </w:tcMar>
            <w:vAlign w:val="center"/>
          </w:tcPr>
          <w:p w14:paraId="12B3F8D7">
            <w:pPr>
              <w:pStyle w:val="9"/>
              <w:spacing w:before="0" w:beforeAutospacing="0" w:after="0" w:afterAutospacing="0"/>
              <w:jc w:val="right"/>
              <w:rPr>
                <w:rFonts w:ascii="宋体" w:hAnsi="宋体" w:eastAsia="宋体"/>
                <w:sz w:val="18"/>
                <w:szCs w:val="18"/>
              </w:rPr>
            </w:pPr>
            <w:r>
              <w:rPr>
                <w:rFonts w:hint="eastAsia" w:ascii="宋体" w:hAnsi="宋体" w:eastAsia="宋体"/>
                <w:color w:val="000000"/>
                <w:sz w:val="18"/>
                <w:szCs w:val="18"/>
              </w:rPr>
              <w:t>非关联方</w:t>
            </w:r>
          </w:p>
        </w:tc>
        <w:tc>
          <w:tcPr>
            <w:tcW w:w="672" w:type="pct"/>
            <w:tcBorders>
              <w:top w:val="nil"/>
              <w:left w:val="nil"/>
              <w:bottom w:val="single" w:color="auto" w:sz="8" w:space="0"/>
              <w:right w:val="single" w:color="auto" w:sz="8" w:space="0"/>
            </w:tcBorders>
            <w:tcMar>
              <w:top w:w="15" w:type="dxa"/>
              <w:left w:w="15" w:type="dxa"/>
              <w:bottom w:w="0" w:type="dxa"/>
              <w:right w:w="15" w:type="dxa"/>
            </w:tcMar>
            <w:vAlign w:val="center"/>
          </w:tcPr>
          <w:p w14:paraId="1D5E1245">
            <w:pPr>
              <w:pStyle w:val="9"/>
              <w:spacing w:before="0" w:beforeAutospacing="0" w:after="0" w:afterAutospacing="0"/>
              <w:jc w:val="right"/>
              <w:rPr>
                <w:rFonts w:ascii="宋体" w:hAnsi="宋体" w:eastAsia="宋体"/>
                <w:sz w:val="18"/>
                <w:szCs w:val="18"/>
              </w:rPr>
            </w:pPr>
            <w:r>
              <w:rPr>
                <w:rFonts w:ascii="宋体" w:hAnsi="宋体" w:eastAsia="宋体"/>
                <w:sz w:val="18"/>
                <w:szCs w:val="18"/>
              </w:rPr>
              <w:t>45,680.00</w:t>
            </w:r>
          </w:p>
        </w:tc>
        <w:tc>
          <w:tcPr>
            <w:tcW w:w="1376" w:type="pct"/>
            <w:tcBorders>
              <w:top w:val="nil"/>
              <w:left w:val="nil"/>
              <w:bottom w:val="single" w:color="auto" w:sz="8" w:space="0"/>
              <w:right w:val="single" w:color="auto" w:sz="8" w:space="0"/>
            </w:tcBorders>
            <w:tcMar>
              <w:top w:w="15" w:type="dxa"/>
              <w:left w:w="15" w:type="dxa"/>
              <w:bottom w:w="0" w:type="dxa"/>
              <w:right w:w="15" w:type="dxa"/>
            </w:tcMar>
            <w:vAlign w:val="center"/>
          </w:tcPr>
          <w:p w14:paraId="3CEFA374">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0.99</w:t>
            </w:r>
          </w:p>
        </w:tc>
        <w:tc>
          <w:tcPr>
            <w:tcW w:w="639" w:type="pct"/>
            <w:tcBorders>
              <w:top w:val="nil"/>
              <w:left w:val="nil"/>
              <w:bottom w:val="single" w:color="auto" w:sz="8" w:space="0"/>
              <w:right w:val="single" w:color="auto" w:sz="8" w:space="0"/>
            </w:tcBorders>
            <w:tcMar>
              <w:top w:w="15" w:type="dxa"/>
              <w:left w:w="15" w:type="dxa"/>
              <w:bottom w:w="0" w:type="dxa"/>
              <w:right w:w="15" w:type="dxa"/>
            </w:tcMar>
            <w:vAlign w:val="center"/>
          </w:tcPr>
          <w:p w14:paraId="505E706E">
            <w:pPr>
              <w:pStyle w:val="9"/>
              <w:spacing w:before="0" w:beforeAutospacing="0" w:after="0" w:afterAutospacing="0"/>
              <w:jc w:val="center"/>
              <w:rPr>
                <w:rFonts w:ascii="宋体" w:hAnsi="宋体" w:eastAsia="宋体"/>
                <w:sz w:val="18"/>
                <w:szCs w:val="18"/>
              </w:rPr>
            </w:pPr>
            <w:r>
              <w:rPr>
                <w:rFonts w:ascii="宋体" w:hAnsi="宋体" w:eastAsia="宋体"/>
                <w:color w:val="000000"/>
                <w:sz w:val="18"/>
                <w:szCs w:val="18"/>
              </w:rPr>
              <w:t> 1</w:t>
            </w:r>
            <w:r>
              <w:rPr>
                <w:rFonts w:hint="eastAsia" w:ascii="宋体" w:hAnsi="宋体" w:eastAsia="宋体"/>
                <w:color w:val="000000"/>
                <w:sz w:val="18"/>
                <w:szCs w:val="18"/>
              </w:rPr>
              <w:t>年以内</w:t>
            </w:r>
            <w:r>
              <w:rPr>
                <w:rFonts w:ascii="宋体" w:hAnsi="宋体" w:eastAsia="宋体"/>
                <w:color w:val="000000"/>
                <w:sz w:val="18"/>
                <w:szCs w:val="18"/>
              </w:rPr>
              <w:t> </w:t>
            </w:r>
          </w:p>
        </w:tc>
      </w:tr>
      <w:tr w14:paraId="4F96199C">
        <w:trPr>
          <w:trHeight w:val="285" w:hRule="atLeast"/>
        </w:trPr>
        <w:tc>
          <w:tcPr>
            <w:tcW w:w="1640" w:type="pct"/>
            <w:tcBorders>
              <w:top w:val="nil"/>
              <w:left w:val="single" w:color="auto" w:sz="8" w:space="0"/>
              <w:bottom w:val="single" w:color="auto" w:sz="8" w:space="0"/>
              <w:right w:val="single" w:color="auto" w:sz="8" w:space="0"/>
            </w:tcBorders>
            <w:tcMar>
              <w:top w:w="15" w:type="dxa"/>
              <w:left w:w="15" w:type="dxa"/>
              <w:bottom w:w="0" w:type="dxa"/>
              <w:right w:w="15" w:type="dxa"/>
            </w:tcMar>
            <w:vAlign w:val="center"/>
          </w:tcPr>
          <w:p w14:paraId="35CB12AB">
            <w:pPr>
              <w:pStyle w:val="9"/>
              <w:spacing w:before="0" w:beforeAutospacing="0" w:after="0" w:afterAutospacing="0"/>
              <w:jc w:val="center"/>
              <w:rPr>
                <w:rFonts w:ascii="宋体" w:hAnsi="宋体" w:eastAsia="宋体"/>
                <w:sz w:val="18"/>
                <w:szCs w:val="18"/>
              </w:rPr>
            </w:pPr>
            <w:r>
              <w:rPr>
                <w:rStyle w:val="13"/>
                <w:rFonts w:hint="eastAsia" w:ascii="宋体" w:hAnsi="宋体" w:eastAsia="宋体"/>
                <w:color w:val="000000"/>
                <w:sz w:val="18"/>
                <w:szCs w:val="18"/>
              </w:rPr>
              <w:t>合计</w:t>
            </w:r>
          </w:p>
        </w:tc>
        <w:tc>
          <w:tcPr>
            <w:tcW w:w="669" w:type="pct"/>
            <w:tcBorders>
              <w:top w:val="nil"/>
              <w:left w:val="nil"/>
              <w:bottom w:val="single" w:color="auto" w:sz="8" w:space="0"/>
              <w:right w:val="single" w:color="auto" w:sz="8" w:space="0"/>
            </w:tcBorders>
            <w:tcMar>
              <w:top w:w="15" w:type="dxa"/>
              <w:left w:w="15" w:type="dxa"/>
              <w:bottom w:w="0" w:type="dxa"/>
              <w:right w:w="15" w:type="dxa"/>
            </w:tcMar>
            <w:vAlign w:val="center"/>
          </w:tcPr>
          <w:p w14:paraId="4A97EB9C">
            <w:pPr>
              <w:pStyle w:val="9"/>
              <w:spacing w:before="0" w:beforeAutospacing="0" w:after="0" w:afterAutospacing="0"/>
              <w:jc w:val="right"/>
              <w:rPr>
                <w:rFonts w:ascii="宋体" w:hAnsi="宋体" w:eastAsia="宋体"/>
                <w:sz w:val="18"/>
                <w:szCs w:val="18"/>
              </w:rPr>
            </w:pPr>
            <w:r>
              <w:rPr>
                <w:rStyle w:val="13"/>
                <w:rFonts w:hint="eastAsia" w:ascii="宋体" w:hAnsi="宋体" w:eastAsia="宋体"/>
                <w:color w:val="000000"/>
                <w:sz w:val="18"/>
                <w:szCs w:val="18"/>
              </w:rPr>
              <w:t>　</w:t>
            </w:r>
          </w:p>
        </w:tc>
        <w:tc>
          <w:tcPr>
            <w:tcW w:w="672" w:type="pct"/>
            <w:tcBorders>
              <w:top w:val="nil"/>
              <w:left w:val="nil"/>
              <w:bottom w:val="single" w:color="auto" w:sz="8" w:space="0"/>
              <w:right w:val="single" w:color="auto" w:sz="8" w:space="0"/>
            </w:tcBorders>
            <w:tcMar>
              <w:top w:w="15" w:type="dxa"/>
              <w:left w:w="15" w:type="dxa"/>
              <w:bottom w:w="0" w:type="dxa"/>
              <w:right w:w="15" w:type="dxa"/>
            </w:tcMar>
            <w:vAlign w:val="center"/>
          </w:tcPr>
          <w:p w14:paraId="41369012">
            <w:pPr>
              <w:pStyle w:val="9"/>
              <w:spacing w:before="0" w:beforeAutospacing="0" w:after="0" w:afterAutospacing="0"/>
              <w:jc w:val="right"/>
              <w:rPr>
                <w:rFonts w:ascii="宋体" w:hAnsi="宋体" w:eastAsia="宋体"/>
                <w:sz w:val="18"/>
                <w:szCs w:val="18"/>
              </w:rPr>
            </w:pPr>
            <w:r>
              <w:rPr>
                <w:rStyle w:val="13"/>
                <w:rFonts w:ascii="宋体" w:hAnsi="宋体" w:eastAsia="宋体"/>
                <w:color w:val="000000"/>
                <w:sz w:val="18"/>
                <w:szCs w:val="18"/>
              </w:rPr>
              <w:t>4,543,274.96</w:t>
            </w:r>
          </w:p>
        </w:tc>
        <w:tc>
          <w:tcPr>
            <w:tcW w:w="1376" w:type="pct"/>
            <w:tcBorders>
              <w:top w:val="nil"/>
              <w:left w:val="nil"/>
              <w:bottom w:val="single" w:color="auto" w:sz="8" w:space="0"/>
              <w:right w:val="single" w:color="auto" w:sz="8" w:space="0"/>
            </w:tcBorders>
            <w:tcMar>
              <w:top w:w="15" w:type="dxa"/>
              <w:left w:w="15" w:type="dxa"/>
              <w:bottom w:w="0" w:type="dxa"/>
              <w:right w:w="15" w:type="dxa"/>
            </w:tcMar>
            <w:vAlign w:val="center"/>
          </w:tcPr>
          <w:p w14:paraId="6541D88E">
            <w:pPr>
              <w:pStyle w:val="9"/>
              <w:spacing w:before="0" w:beforeAutospacing="0" w:after="0" w:afterAutospacing="0"/>
              <w:jc w:val="center"/>
              <w:rPr>
                <w:rFonts w:ascii="宋体" w:hAnsi="宋体" w:eastAsia="宋体"/>
                <w:sz w:val="18"/>
                <w:szCs w:val="18"/>
              </w:rPr>
            </w:pPr>
            <w:r>
              <w:rPr>
                <w:rStyle w:val="13"/>
                <w:rFonts w:ascii="宋体" w:hAnsi="宋体" w:eastAsia="宋体"/>
                <w:color w:val="000000"/>
                <w:sz w:val="18"/>
                <w:szCs w:val="18"/>
              </w:rPr>
              <w:t>98.13</w:t>
            </w:r>
          </w:p>
        </w:tc>
        <w:tc>
          <w:tcPr>
            <w:tcW w:w="639" w:type="pct"/>
            <w:tcBorders>
              <w:top w:val="nil"/>
              <w:left w:val="nil"/>
              <w:bottom w:val="single" w:color="auto" w:sz="8" w:space="0"/>
              <w:right w:val="single" w:color="auto" w:sz="8" w:space="0"/>
            </w:tcBorders>
            <w:tcMar>
              <w:top w:w="15" w:type="dxa"/>
              <w:left w:w="15" w:type="dxa"/>
              <w:bottom w:w="0" w:type="dxa"/>
              <w:right w:w="15" w:type="dxa"/>
            </w:tcMar>
            <w:vAlign w:val="center"/>
          </w:tcPr>
          <w:p w14:paraId="2A1DAD82">
            <w:pPr>
              <w:pStyle w:val="9"/>
              <w:spacing w:before="0" w:beforeAutospacing="0" w:after="0" w:afterAutospacing="0"/>
              <w:jc w:val="right"/>
              <w:rPr>
                <w:rFonts w:ascii="宋体" w:hAnsi="宋体" w:eastAsia="宋体"/>
                <w:sz w:val="18"/>
                <w:szCs w:val="18"/>
              </w:rPr>
            </w:pPr>
            <w:r>
              <w:rPr>
                <w:rStyle w:val="13"/>
                <w:rFonts w:hint="eastAsia" w:ascii="宋体" w:hAnsi="宋体" w:eastAsia="宋体"/>
                <w:color w:val="000000"/>
                <w:sz w:val="18"/>
                <w:szCs w:val="18"/>
              </w:rPr>
              <w:t>　</w:t>
            </w:r>
          </w:p>
        </w:tc>
      </w:tr>
    </w:tbl>
    <w:p w14:paraId="77BAE293">
      <w:pPr>
        <w:spacing w:before="100" w:after="100" w:line="240" w:lineRule="exact"/>
      </w:pPr>
      <w:r>
        <w:rPr>
          <w:rFonts w:ascii="宋体" w:hAnsi="宋体" w:eastAsia="宋体" w:cs="宋体"/>
          <w:sz w:val="18"/>
          <w:szCs w:val="18"/>
        </w:rPr>
        <w:t>其他说明：</w:t>
      </w:r>
    </w:p>
    <w:p w14:paraId="579315D7">
      <w:pPr>
        <w:pStyle w:val="3"/>
        <w:spacing w:after="100" w:line="280" w:lineRule="exact"/>
        <w:jc w:val="left"/>
        <w:rPr>
          <w:rFonts w:ascii="宋体" w:hAnsi="宋体" w:cs="宋体"/>
          <w:b/>
          <w:bCs/>
        </w:rPr>
      </w:pPr>
      <w:bookmarkStart w:id="220" w:name="_Toc989109"/>
      <w:r>
        <w:rPr>
          <w:rFonts w:ascii="宋体" w:hAnsi="宋体" w:cs="宋体"/>
          <w:b/>
          <w:bCs/>
        </w:rPr>
        <w:t>10、存货</w:t>
      </w:r>
      <w:bookmarkEnd w:id="220"/>
    </w:p>
    <w:p w14:paraId="40B9BD6F">
      <w:pPr>
        <w:spacing w:before="100" w:after="100" w:line="240" w:lineRule="exact"/>
        <w:rPr>
          <w:rFonts w:ascii="宋体" w:hAnsi="宋体" w:eastAsia="宋体" w:cs="宋体"/>
          <w:sz w:val="18"/>
          <w:szCs w:val="18"/>
        </w:rPr>
      </w:pPr>
      <w:r>
        <w:rPr>
          <w:rFonts w:ascii="宋体" w:hAnsi="宋体" w:eastAsia="宋体" w:cs="宋体"/>
          <w:sz w:val="18"/>
          <w:szCs w:val="18"/>
        </w:rPr>
        <w:t>公司是否需要遵守房地产行业的披露要求</w:t>
      </w:r>
    </w:p>
    <w:p w14:paraId="30A52D7B">
      <w:pPr>
        <w:spacing w:before="100" w:after="100" w:line="240" w:lineRule="exact"/>
        <w:rPr>
          <w:rFonts w:ascii="宋体" w:hAnsi="宋体" w:eastAsia="宋体" w:cs="宋体"/>
          <w:sz w:val="18"/>
          <w:szCs w:val="18"/>
        </w:rPr>
      </w:pPr>
      <w:r>
        <w:rPr>
          <w:rFonts w:ascii="宋体" w:hAnsi="宋体" w:eastAsia="宋体" w:cs="宋体"/>
          <w:sz w:val="18"/>
          <w:szCs w:val="18"/>
        </w:rPr>
        <w:t>否</w:t>
      </w:r>
    </w:p>
    <w:p w14:paraId="4BCE9F93">
      <w:pPr>
        <w:keepNext/>
        <w:keepLines/>
        <w:spacing w:before="100" w:after="100" w:line="280" w:lineRule="exact"/>
        <w:outlineLvl w:val="3"/>
        <w:rPr>
          <w:rFonts w:ascii="宋体" w:hAnsi="宋体" w:eastAsia="宋体" w:cs="宋体"/>
          <w:b/>
          <w:bCs/>
          <w:szCs w:val="21"/>
        </w:rPr>
      </w:pPr>
      <w:bookmarkStart w:id="221" w:name="_Toc989110"/>
      <w:r>
        <w:rPr>
          <w:rFonts w:ascii="宋体" w:hAnsi="宋体" w:eastAsia="宋体" w:cs="宋体"/>
          <w:b/>
          <w:bCs/>
          <w:szCs w:val="21"/>
        </w:rPr>
        <w:t>（1） 存货分类</w:t>
      </w:r>
      <w:bookmarkEnd w:id="221"/>
    </w:p>
    <w:p w14:paraId="50CCA6B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EF71A7E">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6248BE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318EDF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E6D378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3367D0A">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C02A51"/>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24376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B6E12F4">
            <w:pPr>
              <w:spacing w:before="40" w:after="40" w:line="240" w:lineRule="exact"/>
              <w:jc w:val="center"/>
              <w:rPr>
                <w:rFonts w:ascii="宋体" w:hAnsi="宋体" w:eastAsia="宋体" w:cs="宋体"/>
                <w:sz w:val="18"/>
                <w:szCs w:val="18"/>
              </w:rPr>
            </w:pPr>
            <w:r>
              <w:rPr>
                <w:rFonts w:ascii="宋体" w:hAnsi="宋体" w:eastAsia="宋体" w:cs="宋体"/>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8D9FED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119282">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32E655D">
            <w:pPr>
              <w:spacing w:before="40" w:after="40" w:line="240" w:lineRule="exact"/>
              <w:jc w:val="center"/>
              <w:rPr>
                <w:rFonts w:ascii="宋体" w:hAnsi="宋体" w:eastAsia="宋体" w:cs="宋体"/>
                <w:sz w:val="18"/>
                <w:szCs w:val="18"/>
              </w:rPr>
            </w:pPr>
            <w:r>
              <w:rPr>
                <w:rFonts w:ascii="宋体" w:hAnsi="宋体" w:eastAsia="宋体" w:cs="宋体"/>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F355FB">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7FE64D3F">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C67B00A">
            <w:pPr>
              <w:spacing w:before="40" w:after="40" w:line="240" w:lineRule="exact"/>
              <w:rPr>
                <w:rFonts w:ascii="宋体" w:hAnsi="宋体" w:eastAsia="宋体" w:cs="宋体"/>
                <w:sz w:val="18"/>
                <w:szCs w:val="18"/>
              </w:rPr>
            </w:pPr>
            <w:r>
              <w:rPr>
                <w:rFonts w:ascii="宋体" w:hAnsi="宋体" w:eastAsia="宋体" w:cs="宋体"/>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20D94D72">
            <w:pPr>
              <w:spacing w:line="240" w:lineRule="exact"/>
              <w:jc w:val="right"/>
              <w:rPr>
                <w:rFonts w:ascii="宋体" w:hAnsi="宋体" w:eastAsia="宋体" w:cs="宋体"/>
                <w:sz w:val="18"/>
                <w:szCs w:val="18"/>
              </w:rPr>
            </w:pPr>
            <w:r>
              <w:rPr>
                <w:rFonts w:ascii="宋体" w:hAnsi="宋体" w:eastAsia="宋体" w:cs="宋体"/>
                <w:sz w:val="18"/>
                <w:szCs w:val="18"/>
              </w:rPr>
              <w:t>6,666,473.90</w:t>
            </w:r>
          </w:p>
        </w:tc>
        <w:tc>
          <w:tcPr>
            <w:tcW w:w="1377" w:type="dxa"/>
            <w:tcBorders>
              <w:top w:val="single" w:color="auto" w:sz="2" w:space="0"/>
              <w:left w:val="single" w:color="auto" w:sz="2" w:space="0"/>
              <w:bottom w:val="single" w:color="auto" w:sz="2" w:space="0"/>
              <w:right w:val="single" w:color="auto" w:sz="2" w:space="0"/>
            </w:tcBorders>
            <w:vAlign w:val="center"/>
          </w:tcPr>
          <w:p w14:paraId="4B7CD1C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887E16">
            <w:pPr>
              <w:spacing w:line="240" w:lineRule="exact"/>
              <w:jc w:val="right"/>
              <w:rPr>
                <w:rFonts w:ascii="宋体" w:hAnsi="宋体" w:eastAsia="宋体" w:cs="宋体"/>
                <w:sz w:val="18"/>
                <w:szCs w:val="18"/>
              </w:rPr>
            </w:pPr>
            <w:r>
              <w:rPr>
                <w:rFonts w:ascii="宋体" w:hAnsi="宋体" w:eastAsia="宋体" w:cs="宋体"/>
                <w:sz w:val="18"/>
                <w:szCs w:val="18"/>
              </w:rPr>
              <w:t>6,666,473.90</w:t>
            </w:r>
          </w:p>
        </w:tc>
        <w:tc>
          <w:tcPr>
            <w:tcW w:w="1377" w:type="dxa"/>
            <w:tcBorders>
              <w:top w:val="single" w:color="auto" w:sz="2" w:space="0"/>
              <w:left w:val="single" w:color="auto" w:sz="2" w:space="0"/>
              <w:bottom w:val="single" w:color="auto" w:sz="2" w:space="0"/>
              <w:right w:val="single" w:color="auto" w:sz="2" w:space="0"/>
            </w:tcBorders>
            <w:vAlign w:val="center"/>
          </w:tcPr>
          <w:p w14:paraId="2559CDB6">
            <w:pPr>
              <w:spacing w:line="240" w:lineRule="exact"/>
              <w:jc w:val="right"/>
              <w:rPr>
                <w:rFonts w:ascii="宋体" w:hAnsi="宋体" w:eastAsia="宋体" w:cs="宋体"/>
                <w:sz w:val="18"/>
                <w:szCs w:val="18"/>
              </w:rPr>
            </w:pPr>
            <w:r>
              <w:rPr>
                <w:rFonts w:ascii="宋体" w:hAnsi="宋体" w:eastAsia="宋体" w:cs="宋体"/>
                <w:sz w:val="18"/>
                <w:szCs w:val="18"/>
              </w:rPr>
              <w:t>8,833,055.68</w:t>
            </w:r>
          </w:p>
        </w:tc>
        <w:tc>
          <w:tcPr>
            <w:tcW w:w="1377" w:type="dxa"/>
            <w:tcBorders>
              <w:top w:val="single" w:color="auto" w:sz="2" w:space="0"/>
              <w:left w:val="single" w:color="auto" w:sz="2" w:space="0"/>
              <w:bottom w:val="single" w:color="auto" w:sz="2" w:space="0"/>
              <w:right w:val="single" w:color="auto" w:sz="2" w:space="0"/>
            </w:tcBorders>
            <w:vAlign w:val="center"/>
          </w:tcPr>
          <w:p w14:paraId="0135900B">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1377" w:type="dxa"/>
            <w:tcBorders>
              <w:top w:val="single" w:color="auto" w:sz="2" w:space="0"/>
              <w:left w:val="single" w:color="auto" w:sz="2" w:space="0"/>
              <w:bottom w:val="single" w:color="auto" w:sz="2" w:space="0"/>
              <w:right w:val="single" w:color="auto" w:sz="2" w:space="0"/>
            </w:tcBorders>
            <w:vAlign w:val="center"/>
          </w:tcPr>
          <w:p w14:paraId="7EE3B010">
            <w:pPr>
              <w:spacing w:line="240" w:lineRule="exact"/>
              <w:jc w:val="right"/>
              <w:rPr>
                <w:rFonts w:ascii="宋体" w:hAnsi="宋体" w:eastAsia="宋体" w:cs="宋体"/>
                <w:sz w:val="18"/>
                <w:szCs w:val="18"/>
              </w:rPr>
            </w:pPr>
            <w:r>
              <w:rPr>
                <w:rFonts w:ascii="宋体" w:hAnsi="宋体" w:eastAsia="宋体" w:cs="宋体"/>
                <w:sz w:val="18"/>
                <w:szCs w:val="18"/>
              </w:rPr>
              <w:t>8,809,575.68</w:t>
            </w:r>
          </w:p>
        </w:tc>
      </w:tr>
      <w:tr w14:paraId="19EBFCE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2E63CC">
            <w:pPr>
              <w:spacing w:before="40" w:after="40" w:line="240" w:lineRule="exact"/>
              <w:rPr>
                <w:rFonts w:ascii="宋体" w:hAnsi="宋体" w:eastAsia="宋体" w:cs="宋体"/>
                <w:sz w:val="18"/>
                <w:szCs w:val="18"/>
              </w:rPr>
            </w:pPr>
            <w:r>
              <w:rPr>
                <w:rFonts w:ascii="宋体" w:hAnsi="宋体" w:eastAsia="宋体" w:cs="宋体"/>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2BB750F8">
            <w:pPr>
              <w:spacing w:line="240" w:lineRule="exact"/>
              <w:jc w:val="right"/>
              <w:rPr>
                <w:rFonts w:ascii="宋体" w:hAnsi="宋体" w:eastAsia="宋体" w:cs="宋体"/>
                <w:sz w:val="18"/>
                <w:szCs w:val="18"/>
              </w:rPr>
            </w:pPr>
            <w:r>
              <w:rPr>
                <w:rFonts w:ascii="宋体" w:hAnsi="宋体" w:eastAsia="宋体" w:cs="宋体"/>
                <w:sz w:val="18"/>
                <w:szCs w:val="18"/>
              </w:rPr>
              <w:t>2,894,037.59</w:t>
            </w:r>
          </w:p>
        </w:tc>
        <w:tc>
          <w:tcPr>
            <w:tcW w:w="1377" w:type="dxa"/>
            <w:tcBorders>
              <w:top w:val="single" w:color="auto" w:sz="2" w:space="0"/>
              <w:left w:val="single" w:color="auto" w:sz="2" w:space="0"/>
              <w:bottom w:val="single" w:color="auto" w:sz="2" w:space="0"/>
              <w:right w:val="single" w:color="auto" w:sz="2" w:space="0"/>
            </w:tcBorders>
            <w:vAlign w:val="center"/>
          </w:tcPr>
          <w:p w14:paraId="32A9F4F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D285EE8">
            <w:pPr>
              <w:spacing w:line="240" w:lineRule="exact"/>
              <w:jc w:val="right"/>
              <w:rPr>
                <w:rFonts w:ascii="宋体" w:hAnsi="宋体" w:eastAsia="宋体" w:cs="宋体"/>
                <w:sz w:val="18"/>
                <w:szCs w:val="18"/>
              </w:rPr>
            </w:pPr>
            <w:r>
              <w:rPr>
                <w:rFonts w:ascii="宋体" w:hAnsi="宋体" w:eastAsia="宋体" w:cs="宋体"/>
                <w:sz w:val="18"/>
                <w:szCs w:val="18"/>
              </w:rPr>
              <w:t>2,894,037.59</w:t>
            </w:r>
          </w:p>
        </w:tc>
        <w:tc>
          <w:tcPr>
            <w:tcW w:w="1377" w:type="dxa"/>
            <w:tcBorders>
              <w:top w:val="single" w:color="auto" w:sz="2" w:space="0"/>
              <w:left w:val="single" w:color="auto" w:sz="2" w:space="0"/>
              <w:bottom w:val="single" w:color="auto" w:sz="2" w:space="0"/>
              <w:right w:val="single" w:color="auto" w:sz="2" w:space="0"/>
            </w:tcBorders>
            <w:vAlign w:val="center"/>
          </w:tcPr>
          <w:p w14:paraId="50CDD1AE">
            <w:pPr>
              <w:spacing w:line="240" w:lineRule="exact"/>
              <w:jc w:val="right"/>
              <w:rPr>
                <w:rFonts w:ascii="宋体" w:hAnsi="宋体" w:eastAsia="宋体" w:cs="宋体"/>
                <w:sz w:val="18"/>
                <w:szCs w:val="18"/>
              </w:rPr>
            </w:pPr>
            <w:r>
              <w:rPr>
                <w:rFonts w:ascii="宋体" w:hAnsi="宋体" w:eastAsia="宋体" w:cs="宋体"/>
                <w:sz w:val="18"/>
                <w:szCs w:val="18"/>
              </w:rPr>
              <w:t>4,599,159.43</w:t>
            </w:r>
          </w:p>
        </w:tc>
        <w:tc>
          <w:tcPr>
            <w:tcW w:w="1377" w:type="dxa"/>
            <w:tcBorders>
              <w:top w:val="single" w:color="auto" w:sz="2" w:space="0"/>
              <w:left w:val="single" w:color="auto" w:sz="2" w:space="0"/>
              <w:bottom w:val="single" w:color="auto" w:sz="2" w:space="0"/>
              <w:right w:val="single" w:color="auto" w:sz="2" w:space="0"/>
            </w:tcBorders>
            <w:vAlign w:val="center"/>
          </w:tcPr>
          <w:p w14:paraId="02F1F38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184A6D">
            <w:pPr>
              <w:spacing w:line="240" w:lineRule="exact"/>
              <w:jc w:val="right"/>
              <w:rPr>
                <w:rFonts w:ascii="宋体" w:hAnsi="宋体" w:eastAsia="宋体" w:cs="宋体"/>
                <w:sz w:val="18"/>
                <w:szCs w:val="18"/>
              </w:rPr>
            </w:pPr>
            <w:r>
              <w:rPr>
                <w:rFonts w:ascii="宋体" w:hAnsi="宋体" w:eastAsia="宋体" w:cs="宋体"/>
                <w:sz w:val="18"/>
                <w:szCs w:val="18"/>
              </w:rPr>
              <w:t>4,599,159.43</w:t>
            </w:r>
          </w:p>
        </w:tc>
      </w:tr>
      <w:tr w14:paraId="7A8C6663">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5241CD">
            <w:pPr>
              <w:spacing w:before="40" w:after="40" w:line="240" w:lineRule="exact"/>
              <w:rPr>
                <w:rFonts w:ascii="宋体" w:hAnsi="宋体" w:eastAsia="宋体" w:cs="宋体"/>
                <w:sz w:val="18"/>
                <w:szCs w:val="18"/>
              </w:rPr>
            </w:pPr>
            <w:r>
              <w:rPr>
                <w:rFonts w:ascii="宋体" w:hAnsi="宋体" w:eastAsia="宋体" w:cs="宋体"/>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27B31012">
            <w:pPr>
              <w:spacing w:line="240" w:lineRule="exact"/>
              <w:jc w:val="right"/>
              <w:rPr>
                <w:rFonts w:ascii="宋体" w:hAnsi="宋体" w:eastAsia="宋体" w:cs="宋体"/>
                <w:sz w:val="18"/>
                <w:szCs w:val="18"/>
              </w:rPr>
            </w:pPr>
            <w:r>
              <w:rPr>
                <w:rFonts w:ascii="宋体" w:hAnsi="宋体" w:eastAsia="宋体" w:cs="宋体"/>
                <w:sz w:val="18"/>
                <w:szCs w:val="18"/>
              </w:rPr>
              <w:t>2,131,120.23</w:t>
            </w:r>
          </w:p>
        </w:tc>
        <w:tc>
          <w:tcPr>
            <w:tcW w:w="1377" w:type="dxa"/>
            <w:tcBorders>
              <w:top w:val="single" w:color="auto" w:sz="2" w:space="0"/>
              <w:left w:val="single" w:color="auto" w:sz="2" w:space="0"/>
              <w:bottom w:val="single" w:color="auto" w:sz="2" w:space="0"/>
              <w:right w:val="single" w:color="auto" w:sz="2" w:space="0"/>
            </w:tcBorders>
            <w:vAlign w:val="center"/>
          </w:tcPr>
          <w:p w14:paraId="1B7C37A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704649">
            <w:pPr>
              <w:spacing w:line="240" w:lineRule="exact"/>
              <w:jc w:val="right"/>
              <w:rPr>
                <w:rFonts w:ascii="宋体" w:hAnsi="宋体" w:eastAsia="宋体" w:cs="宋体"/>
                <w:sz w:val="18"/>
                <w:szCs w:val="18"/>
              </w:rPr>
            </w:pPr>
            <w:r>
              <w:rPr>
                <w:rFonts w:ascii="宋体" w:hAnsi="宋体" w:eastAsia="宋体" w:cs="宋体"/>
                <w:sz w:val="18"/>
                <w:szCs w:val="18"/>
              </w:rPr>
              <w:t>2,131,120.23</w:t>
            </w:r>
          </w:p>
        </w:tc>
        <w:tc>
          <w:tcPr>
            <w:tcW w:w="1377" w:type="dxa"/>
            <w:tcBorders>
              <w:top w:val="single" w:color="auto" w:sz="2" w:space="0"/>
              <w:left w:val="single" w:color="auto" w:sz="2" w:space="0"/>
              <w:bottom w:val="single" w:color="auto" w:sz="2" w:space="0"/>
              <w:right w:val="single" w:color="auto" w:sz="2" w:space="0"/>
            </w:tcBorders>
            <w:vAlign w:val="center"/>
          </w:tcPr>
          <w:p w14:paraId="7945039B">
            <w:pPr>
              <w:spacing w:line="240" w:lineRule="exact"/>
              <w:jc w:val="right"/>
              <w:rPr>
                <w:rFonts w:ascii="宋体" w:hAnsi="宋体" w:eastAsia="宋体" w:cs="宋体"/>
                <w:sz w:val="18"/>
                <w:szCs w:val="18"/>
              </w:rPr>
            </w:pPr>
            <w:r>
              <w:rPr>
                <w:rFonts w:ascii="宋体" w:hAnsi="宋体" w:eastAsia="宋体" w:cs="宋体"/>
                <w:sz w:val="18"/>
                <w:szCs w:val="18"/>
              </w:rPr>
              <w:t>2,438,322.95</w:t>
            </w:r>
          </w:p>
        </w:tc>
        <w:tc>
          <w:tcPr>
            <w:tcW w:w="1377" w:type="dxa"/>
            <w:tcBorders>
              <w:top w:val="single" w:color="auto" w:sz="2" w:space="0"/>
              <w:left w:val="single" w:color="auto" w:sz="2" w:space="0"/>
              <w:bottom w:val="single" w:color="auto" w:sz="2" w:space="0"/>
              <w:right w:val="single" w:color="auto" w:sz="2" w:space="0"/>
            </w:tcBorders>
            <w:vAlign w:val="center"/>
          </w:tcPr>
          <w:p w14:paraId="67A84E2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ECA863B">
            <w:pPr>
              <w:spacing w:line="240" w:lineRule="exact"/>
              <w:jc w:val="right"/>
              <w:rPr>
                <w:rFonts w:ascii="宋体" w:hAnsi="宋体" w:eastAsia="宋体" w:cs="宋体"/>
                <w:sz w:val="18"/>
                <w:szCs w:val="18"/>
              </w:rPr>
            </w:pPr>
            <w:r>
              <w:rPr>
                <w:rFonts w:ascii="宋体" w:hAnsi="宋体" w:eastAsia="宋体" w:cs="宋体"/>
                <w:sz w:val="18"/>
                <w:szCs w:val="18"/>
              </w:rPr>
              <w:t>2,438,322.95</w:t>
            </w:r>
          </w:p>
        </w:tc>
      </w:tr>
      <w:tr w14:paraId="5800094D">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40E5D0">
            <w:pPr>
              <w:spacing w:before="40" w:after="40" w:line="240" w:lineRule="exact"/>
              <w:rPr>
                <w:rFonts w:ascii="宋体" w:hAnsi="宋体" w:eastAsia="宋体" w:cs="宋体"/>
                <w:sz w:val="18"/>
                <w:szCs w:val="18"/>
              </w:rPr>
            </w:pPr>
            <w:r>
              <w:rPr>
                <w:rFonts w:ascii="宋体" w:hAnsi="宋体" w:eastAsia="宋体" w:cs="宋体"/>
                <w:sz w:val="18"/>
                <w:szCs w:val="18"/>
              </w:rPr>
              <w:t>周转材料</w:t>
            </w:r>
          </w:p>
        </w:tc>
        <w:tc>
          <w:tcPr>
            <w:tcW w:w="1377" w:type="dxa"/>
            <w:tcBorders>
              <w:top w:val="single" w:color="auto" w:sz="2" w:space="0"/>
              <w:left w:val="single" w:color="auto" w:sz="2" w:space="0"/>
              <w:bottom w:val="single" w:color="auto" w:sz="2" w:space="0"/>
              <w:right w:val="single" w:color="auto" w:sz="2" w:space="0"/>
            </w:tcBorders>
            <w:vAlign w:val="center"/>
          </w:tcPr>
          <w:p w14:paraId="0FBD5487">
            <w:pPr>
              <w:spacing w:line="240" w:lineRule="exact"/>
              <w:jc w:val="right"/>
              <w:rPr>
                <w:rFonts w:ascii="宋体" w:hAnsi="宋体" w:eastAsia="宋体" w:cs="宋体"/>
                <w:sz w:val="18"/>
                <w:szCs w:val="18"/>
              </w:rPr>
            </w:pPr>
            <w:r>
              <w:rPr>
                <w:rFonts w:ascii="宋体" w:hAnsi="宋体" w:eastAsia="宋体" w:cs="宋体"/>
                <w:sz w:val="18"/>
                <w:szCs w:val="18"/>
              </w:rPr>
              <w:t>438,222.74</w:t>
            </w:r>
          </w:p>
        </w:tc>
        <w:tc>
          <w:tcPr>
            <w:tcW w:w="1377" w:type="dxa"/>
            <w:tcBorders>
              <w:top w:val="single" w:color="auto" w:sz="2" w:space="0"/>
              <w:left w:val="single" w:color="auto" w:sz="2" w:space="0"/>
              <w:bottom w:val="single" w:color="auto" w:sz="2" w:space="0"/>
              <w:right w:val="single" w:color="auto" w:sz="2" w:space="0"/>
            </w:tcBorders>
            <w:vAlign w:val="center"/>
          </w:tcPr>
          <w:p w14:paraId="6D606B2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FC76AA">
            <w:pPr>
              <w:spacing w:line="240" w:lineRule="exact"/>
              <w:jc w:val="right"/>
              <w:rPr>
                <w:rFonts w:ascii="宋体" w:hAnsi="宋体" w:eastAsia="宋体" w:cs="宋体"/>
                <w:sz w:val="18"/>
                <w:szCs w:val="18"/>
              </w:rPr>
            </w:pPr>
            <w:r>
              <w:rPr>
                <w:rFonts w:ascii="宋体" w:hAnsi="宋体" w:eastAsia="宋体" w:cs="宋体"/>
                <w:sz w:val="18"/>
                <w:szCs w:val="18"/>
              </w:rPr>
              <w:t>438,222.74</w:t>
            </w:r>
          </w:p>
        </w:tc>
        <w:tc>
          <w:tcPr>
            <w:tcW w:w="1377" w:type="dxa"/>
            <w:tcBorders>
              <w:top w:val="single" w:color="auto" w:sz="2" w:space="0"/>
              <w:left w:val="single" w:color="auto" w:sz="2" w:space="0"/>
              <w:bottom w:val="single" w:color="auto" w:sz="2" w:space="0"/>
              <w:right w:val="single" w:color="auto" w:sz="2" w:space="0"/>
            </w:tcBorders>
            <w:vAlign w:val="center"/>
          </w:tcPr>
          <w:p w14:paraId="3E611F04">
            <w:pPr>
              <w:spacing w:line="240" w:lineRule="exact"/>
              <w:jc w:val="right"/>
              <w:rPr>
                <w:rFonts w:ascii="宋体" w:hAnsi="宋体" w:eastAsia="宋体" w:cs="宋体"/>
                <w:sz w:val="18"/>
                <w:szCs w:val="18"/>
              </w:rPr>
            </w:pPr>
            <w:r>
              <w:rPr>
                <w:rFonts w:ascii="宋体" w:hAnsi="宋体" w:eastAsia="宋体" w:cs="宋体"/>
                <w:sz w:val="18"/>
                <w:szCs w:val="18"/>
              </w:rPr>
              <w:t>525,867.26</w:t>
            </w:r>
          </w:p>
        </w:tc>
        <w:tc>
          <w:tcPr>
            <w:tcW w:w="1377" w:type="dxa"/>
            <w:tcBorders>
              <w:top w:val="single" w:color="auto" w:sz="2" w:space="0"/>
              <w:left w:val="single" w:color="auto" w:sz="2" w:space="0"/>
              <w:bottom w:val="single" w:color="auto" w:sz="2" w:space="0"/>
              <w:right w:val="single" w:color="auto" w:sz="2" w:space="0"/>
            </w:tcBorders>
            <w:vAlign w:val="center"/>
          </w:tcPr>
          <w:p w14:paraId="2EEFAC5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B2DE1E">
            <w:pPr>
              <w:spacing w:line="240" w:lineRule="exact"/>
              <w:jc w:val="right"/>
              <w:rPr>
                <w:rFonts w:ascii="宋体" w:hAnsi="宋体" w:eastAsia="宋体" w:cs="宋体"/>
                <w:sz w:val="18"/>
                <w:szCs w:val="18"/>
              </w:rPr>
            </w:pPr>
            <w:r>
              <w:rPr>
                <w:rFonts w:ascii="宋体" w:hAnsi="宋体" w:eastAsia="宋体" w:cs="宋体"/>
                <w:sz w:val="18"/>
                <w:szCs w:val="18"/>
              </w:rPr>
              <w:t>525,867.26</w:t>
            </w:r>
          </w:p>
        </w:tc>
      </w:tr>
      <w:tr w14:paraId="22D902C9">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471B81A">
            <w:pPr>
              <w:spacing w:line="240" w:lineRule="exact"/>
              <w:rPr>
                <w:rFonts w:ascii="宋体" w:hAnsi="宋体" w:eastAsia="宋体" w:cs="宋体"/>
                <w:sz w:val="18"/>
                <w:szCs w:val="18"/>
              </w:rPr>
            </w:pPr>
            <w:r>
              <w:rPr>
                <w:rFonts w:ascii="宋体" w:hAnsi="宋体" w:eastAsia="宋体" w:cs="宋体"/>
                <w:sz w:val="18"/>
                <w:szCs w:val="18"/>
              </w:rPr>
              <w:t> 包装物</w:t>
            </w:r>
          </w:p>
        </w:tc>
        <w:tc>
          <w:tcPr>
            <w:tcW w:w="1377" w:type="dxa"/>
            <w:tcBorders>
              <w:top w:val="single" w:color="auto" w:sz="2" w:space="0"/>
              <w:left w:val="single" w:color="auto" w:sz="2" w:space="0"/>
              <w:bottom w:val="single" w:color="auto" w:sz="2" w:space="0"/>
              <w:right w:val="single" w:color="auto" w:sz="2" w:space="0"/>
            </w:tcBorders>
            <w:vAlign w:val="center"/>
          </w:tcPr>
          <w:p w14:paraId="69B06ADA">
            <w:pPr>
              <w:spacing w:line="240" w:lineRule="exact"/>
              <w:jc w:val="right"/>
              <w:rPr>
                <w:rFonts w:ascii="宋体" w:hAnsi="宋体" w:eastAsia="宋体" w:cs="宋体"/>
                <w:sz w:val="18"/>
                <w:szCs w:val="18"/>
              </w:rPr>
            </w:pPr>
            <w:r>
              <w:rPr>
                <w:rFonts w:ascii="宋体" w:hAnsi="宋体" w:eastAsia="宋体" w:cs="宋体"/>
                <w:sz w:val="18"/>
                <w:szCs w:val="18"/>
              </w:rPr>
              <w:t>12,561,323.72</w:t>
            </w:r>
          </w:p>
        </w:tc>
        <w:tc>
          <w:tcPr>
            <w:tcW w:w="1377" w:type="dxa"/>
            <w:tcBorders>
              <w:top w:val="single" w:color="auto" w:sz="2" w:space="0"/>
              <w:left w:val="single" w:color="auto" w:sz="2" w:space="0"/>
              <w:bottom w:val="single" w:color="auto" w:sz="2" w:space="0"/>
              <w:right w:val="single" w:color="auto" w:sz="2" w:space="0"/>
            </w:tcBorders>
            <w:vAlign w:val="center"/>
          </w:tcPr>
          <w:p w14:paraId="300009E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87F108">
            <w:pPr>
              <w:spacing w:line="240" w:lineRule="exact"/>
              <w:jc w:val="right"/>
              <w:rPr>
                <w:rFonts w:ascii="宋体" w:hAnsi="宋体" w:eastAsia="宋体" w:cs="宋体"/>
                <w:sz w:val="18"/>
                <w:szCs w:val="18"/>
              </w:rPr>
            </w:pPr>
            <w:r>
              <w:rPr>
                <w:rFonts w:ascii="宋体" w:hAnsi="宋体" w:eastAsia="宋体" w:cs="宋体"/>
                <w:sz w:val="18"/>
                <w:szCs w:val="18"/>
              </w:rPr>
              <w:t>12,561,323.72</w:t>
            </w:r>
          </w:p>
        </w:tc>
        <w:tc>
          <w:tcPr>
            <w:tcW w:w="1377" w:type="dxa"/>
            <w:tcBorders>
              <w:top w:val="single" w:color="auto" w:sz="2" w:space="0"/>
              <w:left w:val="single" w:color="auto" w:sz="2" w:space="0"/>
              <w:bottom w:val="single" w:color="auto" w:sz="2" w:space="0"/>
              <w:right w:val="single" w:color="auto" w:sz="2" w:space="0"/>
            </w:tcBorders>
            <w:vAlign w:val="center"/>
          </w:tcPr>
          <w:p w14:paraId="56366FC9">
            <w:pPr>
              <w:spacing w:line="240" w:lineRule="exact"/>
              <w:jc w:val="right"/>
              <w:rPr>
                <w:rFonts w:ascii="宋体" w:hAnsi="宋体" w:eastAsia="宋体" w:cs="宋体"/>
                <w:sz w:val="18"/>
                <w:szCs w:val="18"/>
              </w:rPr>
            </w:pPr>
            <w:r>
              <w:rPr>
                <w:rFonts w:ascii="宋体" w:hAnsi="宋体" w:eastAsia="宋体" w:cs="宋体"/>
                <w:sz w:val="18"/>
                <w:szCs w:val="18"/>
              </w:rPr>
              <w:t>14,013,924.66</w:t>
            </w:r>
          </w:p>
        </w:tc>
        <w:tc>
          <w:tcPr>
            <w:tcW w:w="1377" w:type="dxa"/>
            <w:tcBorders>
              <w:top w:val="single" w:color="auto" w:sz="2" w:space="0"/>
              <w:left w:val="single" w:color="auto" w:sz="2" w:space="0"/>
              <w:bottom w:val="single" w:color="auto" w:sz="2" w:space="0"/>
              <w:right w:val="single" w:color="auto" w:sz="2" w:space="0"/>
            </w:tcBorders>
            <w:vAlign w:val="center"/>
          </w:tcPr>
          <w:p w14:paraId="016B4E7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AEA412">
            <w:pPr>
              <w:spacing w:line="240" w:lineRule="exact"/>
              <w:jc w:val="right"/>
              <w:rPr>
                <w:rFonts w:ascii="宋体" w:hAnsi="宋体" w:eastAsia="宋体" w:cs="宋体"/>
                <w:sz w:val="18"/>
                <w:szCs w:val="18"/>
              </w:rPr>
            </w:pPr>
            <w:r>
              <w:rPr>
                <w:rFonts w:ascii="宋体" w:hAnsi="宋体" w:eastAsia="宋体" w:cs="宋体"/>
                <w:sz w:val="18"/>
                <w:szCs w:val="18"/>
              </w:rPr>
              <w:t>14,013,924.66</w:t>
            </w:r>
          </w:p>
        </w:tc>
      </w:tr>
      <w:tr w14:paraId="5B65B86F">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4C997E">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7A96F5E">
            <w:pPr>
              <w:spacing w:line="240" w:lineRule="exact"/>
              <w:jc w:val="right"/>
              <w:rPr>
                <w:rFonts w:ascii="宋体" w:hAnsi="宋体" w:eastAsia="宋体" w:cs="宋体"/>
                <w:sz w:val="18"/>
                <w:szCs w:val="18"/>
              </w:rPr>
            </w:pPr>
            <w:r>
              <w:rPr>
                <w:rFonts w:ascii="宋体" w:hAnsi="宋体" w:eastAsia="宋体" w:cs="宋体"/>
                <w:sz w:val="18"/>
                <w:szCs w:val="18"/>
              </w:rPr>
              <w:t>24,691,178.18</w:t>
            </w:r>
          </w:p>
        </w:tc>
        <w:tc>
          <w:tcPr>
            <w:tcW w:w="1377" w:type="dxa"/>
            <w:tcBorders>
              <w:top w:val="single" w:color="auto" w:sz="2" w:space="0"/>
              <w:left w:val="single" w:color="auto" w:sz="2" w:space="0"/>
              <w:bottom w:val="single" w:color="auto" w:sz="2" w:space="0"/>
              <w:right w:val="single" w:color="auto" w:sz="2" w:space="0"/>
            </w:tcBorders>
            <w:vAlign w:val="center"/>
          </w:tcPr>
          <w:p w14:paraId="6A2263A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455FD32">
            <w:pPr>
              <w:spacing w:line="240" w:lineRule="exact"/>
              <w:jc w:val="right"/>
              <w:rPr>
                <w:rFonts w:ascii="宋体" w:hAnsi="宋体" w:eastAsia="宋体" w:cs="宋体"/>
                <w:sz w:val="18"/>
                <w:szCs w:val="18"/>
              </w:rPr>
            </w:pPr>
            <w:r>
              <w:rPr>
                <w:rFonts w:ascii="宋体" w:hAnsi="宋体" w:eastAsia="宋体" w:cs="宋体"/>
                <w:sz w:val="18"/>
                <w:szCs w:val="18"/>
              </w:rPr>
              <w:t>24,691,178.18</w:t>
            </w:r>
          </w:p>
        </w:tc>
        <w:tc>
          <w:tcPr>
            <w:tcW w:w="1377" w:type="dxa"/>
            <w:tcBorders>
              <w:top w:val="single" w:color="auto" w:sz="2" w:space="0"/>
              <w:left w:val="single" w:color="auto" w:sz="2" w:space="0"/>
              <w:bottom w:val="single" w:color="auto" w:sz="2" w:space="0"/>
              <w:right w:val="single" w:color="auto" w:sz="2" w:space="0"/>
            </w:tcBorders>
            <w:vAlign w:val="center"/>
          </w:tcPr>
          <w:p w14:paraId="31DF46D9">
            <w:pPr>
              <w:spacing w:line="240" w:lineRule="exact"/>
              <w:jc w:val="right"/>
              <w:rPr>
                <w:rFonts w:ascii="宋体" w:hAnsi="宋体" w:eastAsia="宋体" w:cs="宋体"/>
                <w:sz w:val="18"/>
                <w:szCs w:val="18"/>
              </w:rPr>
            </w:pPr>
            <w:r>
              <w:rPr>
                <w:rFonts w:ascii="宋体" w:hAnsi="宋体" w:eastAsia="宋体" w:cs="宋体"/>
                <w:sz w:val="18"/>
                <w:szCs w:val="18"/>
              </w:rPr>
              <w:t>30,410,329.98</w:t>
            </w:r>
          </w:p>
        </w:tc>
        <w:tc>
          <w:tcPr>
            <w:tcW w:w="1377" w:type="dxa"/>
            <w:tcBorders>
              <w:top w:val="single" w:color="auto" w:sz="2" w:space="0"/>
              <w:left w:val="single" w:color="auto" w:sz="2" w:space="0"/>
              <w:bottom w:val="single" w:color="auto" w:sz="2" w:space="0"/>
              <w:right w:val="single" w:color="auto" w:sz="2" w:space="0"/>
            </w:tcBorders>
            <w:vAlign w:val="center"/>
          </w:tcPr>
          <w:p w14:paraId="5DADCAF2">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1377" w:type="dxa"/>
            <w:tcBorders>
              <w:top w:val="single" w:color="auto" w:sz="2" w:space="0"/>
              <w:left w:val="single" w:color="auto" w:sz="2" w:space="0"/>
              <w:bottom w:val="single" w:color="auto" w:sz="2" w:space="0"/>
              <w:right w:val="single" w:color="auto" w:sz="2" w:space="0"/>
            </w:tcBorders>
            <w:vAlign w:val="center"/>
          </w:tcPr>
          <w:p w14:paraId="6F4F9721">
            <w:pPr>
              <w:spacing w:line="240" w:lineRule="exact"/>
              <w:jc w:val="right"/>
              <w:rPr>
                <w:rFonts w:ascii="宋体" w:hAnsi="宋体" w:eastAsia="宋体" w:cs="宋体"/>
                <w:sz w:val="18"/>
                <w:szCs w:val="18"/>
              </w:rPr>
            </w:pPr>
            <w:r>
              <w:rPr>
                <w:rFonts w:ascii="宋体" w:hAnsi="宋体" w:eastAsia="宋体" w:cs="宋体"/>
                <w:sz w:val="18"/>
                <w:szCs w:val="18"/>
              </w:rPr>
              <w:t>30,386,849.98</w:t>
            </w:r>
          </w:p>
        </w:tc>
      </w:tr>
    </w:tbl>
    <w:p w14:paraId="4E95BF2D">
      <w:pPr>
        <w:spacing w:before="100" w:after="100" w:line="240" w:lineRule="exact"/>
      </w:pPr>
      <w:r>
        <w:rPr>
          <w:rFonts w:ascii="宋体" w:hAnsi="宋体" w:eastAsia="宋体" w:cs="宋体"/>
          <w:sz w:val="18"/>
          <w:szCs w:val="18"/>
        </w:rPr>
        <w:t>公司需遵守《深圳证券交易所上市公司自律监管指引第3号——行业信息披露》中的“食品及酒制造相关业务”的披露要求</w:t>
      </w:r>
    </w:p>
    <w:p w14:paraId="5DD5912C">
      <w:pPr>
        <w:keepNext/>
        <w:keepLines/>
        <w:spacing w:before="100" w:after="100" w:line="280" w:lineRule="exact"/>
        <w:outlineLvl w:val="3"/>
        <w:rPr>
          <w:rFonts w:ascii="宋体" w:hAnsi="宋体" w:eastAsia="宋体" w:cs="宋体"/>
          <w:b/>
          <w:bCs/>
          <w:szCs w:val="21"/>
        </w:rPr>
      </w:pPr>
      <w:bookmarkStart w:id="222" w:name="_Toc989111"/>
      <w:r>
        <w:rPr>
          <w:rFonts w:ascii="宋体" w:hAnsi="宋体" w:eastAsia="宋体" w:cs="宋体"/>
          <w:b/>
          <w:bCs/>
          <w:szCs w:val="21"/>
        </w:rPr>
        <w:t>（2） 确认为存货的数据资源</w:t>
      </w:r>
      <w:bookmarkEnd w:id="222"/>
    </w:p>
    <w:p w14:paraId="652F21F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F81E136">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3710E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8FE6F3">
            <w:pPr>
              <w:spacing w:before="40" w:after="40" w:line="240" w:lineRule="exact"/>
              <w:jc w:val="center"/>
              <w:rPr>
                <w:rFonts w:ascii="宋体" w:hAnsi="宋体" w:eastAsia="宋体" w:cs="宋体"/>
                <w:sz w:val="18"/>
                <w:szCs w:val="18"/>
              </w:rPr>
            </w:pPr>
            <w:r>
              <w:rPr>
                <w:rFonts w:ascii="宋体" w:hAnsi="宋体" w:eastAsia="宋体" w:cs="宋体"/>
                <w:sz w:val="18"/>
                <w:szCs w:val="18"/>
              </w:rPr>
              <w:t>外购的数据资源存货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9BD63C">
            <w:pPr>
              <w:spacing w:before="40" w:after="40" w:line="240" w:lineRule="exact"/>
              <w:jc w:val="center"/>
              <w:rPr>
                <w:rFonts w:ascii="宋体" w:hAnsi="宋体" w:eastAsia="宋体" w:cs="宋体"/>
                <w:sz w:val="18"/>
                <w:szCs w:val="18"/>
              </w:rPr>
            </w:pPr>
            <w:r>
              <w:rPr>
                <w:rFonts w:ascii="宋体" w:hAnsi="宋体" w:eastAsia="宋体" w:cs="宋体"/>
                <w:sz w:val="18"/>
                <w:szCs w:val="18"/>
              </w:rPr>
              <w:t>自行加工的数据资源存货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76B375">
            <w:pPr>
              <w:spacing w:before="40" w:after="40" w:line="240" w:lineRule="exact"/>
              <w:jc w:val="center"/>
              <w:rPr>
                <w:rFonts w:ascii="宋体" w:hAnsi="宋体" w:eastAsia="宋体" w:cs="宋体"/>
                <w:sz w:val="18"/>
                <w:szCs w:val="18"/>
              </w:rPr>
            </w:pPr>
            <w:r>
              <w:rPr>
                <w:rFonts w:ascii="宋体" w:hAnsi="宋体" w:eastAsia="宋体" w:cs="宋体"/>
                <w:sz w:val="18"/>
                <w:szCs w:val="18"/>
              </w:rPr>
              <w:t>其他方式取得的数据资源存货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BCF6C7E">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bl>
    <w:p w14:paraId="199432D6">
      <w:pPr>
        <w:keepNext/>
        <w:keepLines/>
        <w:spacing w:before="300" w:after="100" w:line="280" w:lineRule="exact"/>
        <w:outlineLvl w:val="3"/>
        <w:rPr>
          <w:rFonts w:ascii="宋体" w:hAnsi="宋体" w:eastAsia="宋体" w:cs="宋体"/>
          <w:b/>
          <w:bCs/>
          <w:szCs w:val="21"/>
        </w:rPr>
      </w:pPr>
      <w:bookmarkStart w:id="223" w:name="_Toc989112"/>
      <w:r>
        <w:rPr>
          <w:rFonts w:ascii="宋体" w:hAnsi="宋体" w:eastAsia="宋体" w:cs="宋体"/>
          <w:b/>
          <w:bCs/>
          <w:szCs w:val="21"/>
        </w:rPr>
        <w:t>（3） 存货跌价准备和合同履约成本减值准备</w:t>
      </w:r>
      <w:bookmarkEnd w:id="223"/>
    </w:p>
    <w:p w14:paraId="656F0D0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BACF263">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54158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CB585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8085878">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336D826">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0EFA8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9109D7D">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DBC3C4"/>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F1FD28"/>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89E841">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A0083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667F089">
            <w:pPr>
              <w:spacing w:before="40" w:after="40" w:line="240" w:lineRule="exact"/>
              <w:jc w:val="center"/>
              <w:rPr>
                <w:rFonts w:ascii="宋体" w:hAnsi="宋体" w:eastAsia="宋体" w:cs="宋体"/>
                <w:sz w:val="18"/>
                <w:szCs w:val="18"/>
              </w:rPr>
            </w:pPr>
            <w:r>
              <w:rPr>
                <w:rFonts w:ascii="宋体" w:hAnsi="宋体" w:eastAsia="宋体" w:cs="宋体"/>
                <w:sz w:val="18"/>
                <w:szCs w:val="18"/>
              </w:rPr>
              <w:t>转回或转销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C838759">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CEC1C90"/>
        </w:tc>
      </w:tr>
      <w:tr w14:paraId="5AB9D17C">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D76860C">
            <w:pPr>
              <w:spacing w:before="40" w:after="40" w:line="240" w:lineRule="exact"/>
              <w:rPr>
                <w:rFonts w:ascii="宋体" w:hAnsi="宋体" w:eastAsia="宋体" w:cs="宋体"/>
                <w:sz w:val="18"/>
                <w:szCs w:val="18"/>
              </w:rPr>
            </w:pPr>
            <w:r>
              <w:rPr>
                <w:rFonts w:ascii="宋体" w:hAnsi="宋体" w:eastAsia="宋体" w:cs="宋体"/>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370158B2">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1377" w:type="dxa"/>
            <w:tcBorders>
              <w:top w:val="single" w:color="auto" w:sz="2" w:space="0"/>
              <w:left w:val="single" w:color="auto" w:sz="2" w:space="0"/>
              <w:bottom w:val="single" w:color="auto" w:sz="2" w:space="0"/>
              <w:right w:val="single" w:color="auto" w:sz="2" w:space="0"/>
            </w:tcBorders>
            <w:vAlign w:val="center"/>
          </w:tcPr>
          <w:p w14:paraId="49B4727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A97215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2E784C4">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1377" w:type="dxa"/>
            <w:tcBorders>
              <w:top w:val="single" w:color="auto" w:sz="2" w:space="0"/>
              <w:left w:val="single" w:color="auto" w:sz="2" w:space="0"/>
              <w:bottom w:val="single" w:color="auto" w:sz="2" w:space="0"/>
              <w:right w:val="single" w:color="auto" w:sz="2" w:space="0"/>
            </w:tcBorders>
            <w:vAlign w:val="center"/>
          </w:tcPr>
          <w:p w14:paraId="06DD0B7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0E0A9B">
            <w:pPr>
              <w:spacing w:line="240" w:lineRule="exact"/>
              <w:jc w:val="right"/>
              <w:rPr>
                <w:rFonts w:ascii="宋体" w:hAnsi="宋体" w:eastAsia="宋体" w:cs="宋体"/>
                <w:sz w:val="18"/>
                <w:szCs w:val="18"/>
              </w:rPr>
            </w:pPr>
          </w:p>
        </w:tc>
      </w:tr>
      <w:tr w14:paraId="4F9F607A">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A67643">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7E13B79C">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1377" w:type="dxa"/>
            <w:tcBorders>
              <w:top w:val="single" w:color="auto" w:sz="2" w:space="0"/>
              <w:left w:val="single" w:color="auto" w:sz="2" w:space="0"/>
              <w:bottom w:val="single" w:color="auto" w:sz="2" w:space="0"/>
              <w:right w:val="single" w:color="auto" w:sz="2" w:space="0"/>
            </w:tcBorders>
            <w:vAlign w:val="center"/>
          </w:tcPr>
          <w:p w14:paraId="5577E29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3DA67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F28A9C8">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1377" w:type="dxa"/>
            <w:tcBorders>
              <w:top w:val="single" w:color="auto" w:sz="2" w:space="0"/>
              <w:left w:val="single" w:color="auto" w:sz="2" w:space="0"/>
              <w:bottom w:val="single" w:color="auto" w:sz="2" w:space="0"/>
              <w:right w:val="single" w:color="auto" w:sz="2" w:space="0"/>
            </w:tcBorders>
            <w:vAlign w:val="center"/>
          </w:tcPr>
          <w:p w14:paraId="7606231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47DF7FC">
            <w:pPr>
              <w:spacing w:line="240" w:lineRule="exact"/>
              <w:jc w:val="right"/>
              <w:rPr>
                <w:rFonts w:ascii="宋体" w:hAnsi="宋体" w:eastAsia="宋体" w:cs="宋体"/>
                <w:sz w:val="18"/>
                <w:szCs w:val="18"/>
              </w:rPr>
            </w:pPr>
          </w:p>
        </w:tc>
      </w:tr>
    </w:tbl>
    <w:p w14:paraId="304511AC"/>
    <w:p w14:paraId="64C3B5CB">
      <w:pPr>
        <w:spacing w:before="100" w:after="100" w:line="240" w:lineRule="exact"/>
        <w:rPr>
          <w:rFonts w:ascii="宋体" w:hAnsi="宋体" w:eastAsia="宋体" w:cs="宋体"/>
          <w:sz w:val="18"/>
          <w:szCs w:val="18"/>
        </w:rPr>
      </w:pPr>
      <w:r>
        <w:rPr>
          <w:rFonts w:ascii="宋体" w:hAnsi="宋体" w:eastAsia="宋体" w:cs="宋体"/>
          <w:sz w:val="18"/>
          <w:szCs w:val="18"/>
        </w:rPr>
        <w:t>按组合计提存货跌价准备</w:t>
      </w:r>
    </w:p>
    <w:p w14:paraId="4322236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565EE39">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B62860">
            <w:pPr>
              <w:spacing w:before="40" w:after="40" w:line="240" w:lineRule="exact"/>
              <w:jc w:val="center"/>
              <w:rPr>
                <w:rFonts w:ascii="宋体" w:hAnsi="宋体" w:eastAsia="宋体" w:cs="宋体"/>
                <w:sz w:val="18"/>
                <w:szCs w:val="18"/>
              </w:rPr>
            </w:pPr>
            <w:r>
              <w:rPr>
                <w:rFonts w:ascii="宋体" w:hAnsi="宋体" w:eastAsia="宋体" w:cs="宋体"/>
                <w:sz w:val="18"/>
                <w:szCs w:val="18"/>
              </w:rPr>
              <w:t>组合名称</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A37B68D">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6632A99">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r>
      <w:tr w14:paraId="6DF629B2">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270D4D9"/>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A2885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561142">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3E0D0BD">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B4D29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E00462C">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B90D2DD">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跌价准备计提比例</w:t>
            </w:r>
          </w:p>
        </w:tc>
      </w:tr>
    </w:tbl>
    <w:p w14:paraId="17AA8176">
      <w:pPr>
        <w:spacing w:before="100" w:after="100" w:line="240" w:lineRule="exact"/>
        <w:rPr>
          <w:rFonts w:ascii="宋体" w:hAnsi="宋体" w:eastAsia="宋体" w:cs="宋体"/>
          <w:sz w:val="18"/>
          <w:szCs w:val="18"/>
        </w:rPr>
      </w:pPr>
      <w:r>
        <w:rPr>
          <w:rFonts w:ascii="宋体" w:hAnsi="宋体" w:eastAsia="宋体" w:cs="宋体"/>
          <w:sz w:val="18"/>
          <w:szCs w:val="18"/>
        </w:rPr>
        <w:t>按组合计提存货跌价准备的计提标准</w:t>
      </w:r>
    </w:p>
    <w:p w14:paraId="3C4F731D">
      <w:pPr>
        <w:keepNext/>
        <w:keepLines/>
        <w:spacing w:before="100" w:after="100" w:line="280" w:lineRule="exact"/>
        <w:outlineLvl w:val="3"/>
      </w:pPr>
      <w:bookmarkStart w:id="224" w:name="_Toc989113"/>
      <w:r>
        <w:rPr>
          <w:rFonts w:ascii="宋体" w:hAnsi="宋体" w:eastAsia="宋体" w:cs="宋体"/>
          <w:b/>
          <w:bCs/>
          <w:szCs w:val="21"/>
        </w:rPr>
        <w:t>（4） 存货期末余额含有借款费用资本化金额的说明</w:t>
      </w:r>
      <w:bookmarkEnd w:id="224"/>
    </w:p>
    <w:p w14:paraId="626D9022">
      <w:pPr>
        <w:keepNext/>
        <w:keepLines/>
        <w:spacing w:before="100" w:after="100" w:line="280" w:lineRule="exact"/>
        <w:outlineLvl w:val="3"/>
        <w:rPr>
          <w:rFonts w:ascii="宋体" w:hAnsi="宋体" w:eastAsia="宋体" w:cs="宋体"/>
          <w:b/>
          <w:bCs/>
          <w:szCs w:val="21"/>
        </w:rPr>
      </w:pPr>
      <w:bookmarkStart w:id="225" w:name="_Toc989114"/>
      <w:r>
        <w:rPr>
          <w:rFonts w:ascii="宋体" w:hAnsi="宋体" w:eastAsia="宋体" w:cs="宋体"/>
          <w:b/>
          <w:bCs/>
          <w:szCs w:val="21"/>
        </w:rPr>
        <w:t>（5） 合同履约成本本期摊销金额的说明</w:t>
      </w:r>
      <w:bookmarkEnd w:id="225"/>
    </w:p>
    <w:p w14:paraId="36064189">
      <w:pPr>
        <w:pStyle w:val="3"/>
        <w:spacing w:after="100" w:line="280" w:lineRule="exact"/>
        <w:jc w:val="left"/>
        <w:rPr>
          <w:rFonts w:ascii="宋体" w:hAnsi="宋体" w:cs="宋体"/>
          <w:b/>
          <w:bCs/>
        </w:rPr>
      </w:pPr>
      <w:bookmarkStart w:id="226" w:name="_Toc989115"/>
      <w:r>
        <w:rPr>
          <w:rFonts w:ascii="宋体" w:hAnsi="宋体" w:cs="宋体"/>
          <w:b/>
          <w:bCs/>
        </w:rPr>
        <w:t>11、持有待售资产</w:t>
      </w:r>
      <w:bookmarkEnd w:id="226"/>
    </w:p>
    <w:p w14:paraId="290CE6B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350B0EA">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EFB81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A7AE3D">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D4241D">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7A5116">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885B00E">
            <w:pPr>
              <w:spacing w:before="40" w:after="40" w:line="240" w:lineRule="exact"/>
              <w:jc w:val="center"/>
              <w:rPr>
                <w:rFonts w:ascii="宋体" w:hAnsi="宋体" w:eastAsia="宋体" w:cs="宋体"/>
                <w:sz w:val="18"/>
                <w:szCs w:val="18"/>
              </w:rPr>
            </w:pPr>
            <w:r>
              <w:rPr>
                <w:rFonts w:ascii="宋体" w:hAnsi="宋体" w:eastAsia="宋体" w:cs="宋体"/>
                <w:sz w:val="18"/>
                <w:szCs w:val="18"/>
              </w:rPr>
              <w:t>公允价值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BBFD49C">
            <w:pPr>
              <w:spacing w:before="40" w:after="40" w:line="240" w:lineRule="exact"/>
              <w:jc w:val="center"/>
              <w:rPr>
                <w:rFonts w:ascii="宋体" w:hAnsi="宋体" w:eastAsia="宋体" w:cs="宋体"/>
                <w:sz w:val="18"/>
                <w:szCs w:val="18"/>
              </w:rPr>
            </w:pPr>
            <w:r>
              <w:rPr>
                <w:rFonts w:ascii="宋体" w:hAnsi="宋体" w:eastAsia="宋体" w:cs="宋体"/>
                <w:sz w:val="18"/>
                <w:szCs w:val="18"/>
              </w:rPr>
              <w:t>预计处置费用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4C6879">
            <w:pPr>
              <w:spacing w:before="40" w:after="40" w:line="240" w:lineRule="exact"/>
              <w:jc w:val="center"/>
              <w:rPr>
                <w:rFonts w:ascii="宋体" w:hAnsi="宋体" w:eastAsia="宋体" w:cs="宋体"/>
                <w:sz w:val="18"/>
                <w:szCs w:val="18"/>
              </w:rPr>
            </w:pPr>
            <w:r>
              <w:rPr>
                <w:rFonts w:ascii="宋体" w:hAnsi="宋体" w:eastAsia="宋体" w:cs="宋体"/>
                <w:sz w:val="18"/>
                <w:szCs w:val="18"/>
              </w:rPr>
              <w:t>预计处置时间</w:t>
            </w:r>
          </w:p>
        </w:tc>
      </w:tr>
    </w:tbl>
    <w:p w14:paraId="599FDB5F">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41BD7B7D">
      <w:pPr>
        <w:pStyle w:val="3"/>
        <w:spacing w:after="100" w:line="280" w:lineRule="exact"/>
        <w:jc w:val="left"/>
        <w:rPr>
          <w:rFonts w:ascii="宋体" w:hAnsi="宋体" w:cs="宋体"/>
          <w:b/>
          <w:bCs/>
        </w:rPr>
      </w:pPr>
      <w:bookmarkStart w:id="227" w:name="_Toc989116"/>
      <w:r>
        <w:rPr>
          <w:rFonts w:ascii="宋体" w:hAnsi="宋体" w:cs="宋体"/>
          <w:b/>
          <w:bCs/>
        </w:rPr>
        <w:t>12、一年内到期的非流动资产</w:t>
      </w:r>
      <w:bookmarkEnd w:id="227"/>
    </w:p>
    <w:p w14:paraId="1D373B4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86B28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E92C7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5AC03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8DF89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217C3160">
      <w:pPr>
        <w:keepNext/>
        <w:keepLines/>
        <w:spacing w:before="300" w:after="100" w:line="280" w:lineRule="exact"/>
        <w:outlineLvl w:val="3"/>
        <w:rPr>
          <w:rFonts w:ascii="宋体" w:hAnsi="宋体" w:eastAsia="宋体" w:cs="宋体"/>
          <w:b/>
          <w:bCs/>
          <w:szCs w:val="21"/>
        </w:rPr>
      </w:pPr>
      <w:bookmarkStart w:id="228" w:name="_Toc989117"/>
      <w:r>
        <w:rPr>
          <w:rFonts w:ascii="宋体" w:hAnsi="宋体" w:eastAsia="宋体" w:cs="宋体"/>
          <w:b/>
          <w:bCs/>
          <w:szCs w:val="21"/>
        </w:rPr>
        <w:t>（1） 一年内到期的债权投资</w:t>
      </w:r>
      <w:bookmarkEnd w:id="228"/>
    </w:p>
    <w:p w14:paraId="347EF02A">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D04F42">
      <w:pPr>
        <w:keepNext/>
        <w:keepLines/>
        <w:spacing w:before="300" w:after="100" w:line="280" w:lineRule="exact"/>
        <w:outlineLvl w:val="3"/>
        <w:rPr>
          <w:rFonts w:ascii="宋体" w:hAnsi="宋体" w:eastAsia="宋体" w:cs="宋体"/>
          <w:b/>
          <w:bCs/>
          <w:szCs w:val="21"/>
        </w:rPr>
      </w:pPr>
      <w:bookmarkStart w:id="229" w:name="_Toc989118"/>
      <w:r>
        <w:rPr>
          <w:rFonts w:ascii="宋体" w:hAnsi="宋体" w:eastAsia="宋体" w:cs="宋体"/>
          <w:b/>
          <w:bCs/>
          <w:szCs w:val="21"/>
        </w:rPr>
        <w:t>（2） 一年内到期的其他债权投资</w:t>
      </w:r>
      <w:bookmarkEnd w:id="229"/>
    </w:p>
    <w:p w14:paraId="467D3BD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D6D8F08">
      <w:pPr>
        <w:pStyle w:val="3"/>
        <w:spacing w:after="100" w:line="280" w:lineRule="exact"/>
        <w:jc w:val="left"/>
        <w:rPr>
          <w:rFonts w:ascii="宋体" w:hAnsi="宋体" w:cs="宋体"/>
          <w:b/>
          <w:bCs/>
        </w:rPr>
      </w:pPr>
      <w:bookmarkStart w:id="230" w:name="_Toc989119"/>
      <w:r>
        <w:rPr>
          <w:rFonts w:ascii="宋体" w:hAnsi="宋体" w:cs="宋体"/>
          <w:b/>
          <w:bCs/>
        </w:rPr>
        <w:t>13、其他流动资产</w:t>
      </w:r>
      <w:bookmarkEnd w:id="230"/>
    </w:p>
    <w:p w14:paraId="7F14FD4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649995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45385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8EB68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FCFB8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38DC43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08CAD1E">
            <w:pPr>
              <w:spacing w:line="240" w:lineRule="exact"/>
              <w:rPr>
                <w:rFonts w:ascii="宋体" w:hAnsi="宋体" w:eastAsia="宋体" w:cs="宋体"/>
                <w:sz w:val="18"/>
                <w:szCs w:val="18"/>
              </w:rPr>
            </w:pPr>
            <w:r>
              <w:rPr>
                <w:rFonts w:ascii="宋体" w:hAnsi="宋体" w:eastAsia="宋体" w:cs="宋体"/>
                <w:sz w:val="18"/>
                <w:szCs w:val="18"/>
              </w:rPr>
              <w:t>待抵扣进项税</w:t>
            </w:r>
          </w:p>
        </w:tc>
        <w:tc>
          <w:tcPr>
            <w:tcW w:w="3213" w:type="dxa"/>
            <w:tcBorders>
              <w:top w:val="single" w:color="auto" w:sz="2" w:space="0"/>
              <w:left w:val="single" w:color="auto" w:sz="2" w:space="0"/>
              <w:bottom w:val="single" w:color="auto" w:sz="2" w:space="0"/>
              <w:right w:val="single" w:color="auto" w:sz="2" w:space="0"/>
            </w:tcBorders>
            <w:vAlign w:val="center"/>
          </w:tcPr>
          <w:p w14:paraId="5FDA442B">
            <w:pPr>
              <w:spacing w:line="240" w:lineRule="exact"/>
              <w:jc w:val="right"/>
              <w:rPr>
                <w:rFonts w:ascii="宋体" w:hAnsi="宋体" w:eastAsia="宋体" w:cs="宋体"/>
                <w:sz w:val="18"/>
                <w:szCs w:val="18"/>
              </w:rPr>
            </w:pPr>
            <w:r>
              <w:rPr>
                <w:rFonts w:ascii="宋体" w:hAnsi="宋体" w:eastAsia="宋体" w:cs="宋体"/>
                <w:sz w:val="18"/>
                <w:szCs w:val="18"/>
              </w:rPr>
              <w:t>154,689.58</w:t>
            </w:r>
          </w:p>
        </w:tc>
        <w:tc>
          <w:tcPr>
            <w:tcW w:w="3213" w:type="dxa"/>
            <w:tcBorders>
              <w:top w:val="single" w:color="auto" w:sz="2" w:space="0"/>
              <w:left w:val="single" w:color="auto" w:sz="2" w:space="0"/>
              <w:bottom w:val="single" w:color="auto" w:sz="2" w:space="0"/>
              <w:right w:val="single" w:color="auto" w:sz="2" w:space="0"/>
            </w:tcBorders>
            <w:vAlign w:val="center"/>
          </w:tcPr>
          <w:p w14:paraId="53761198">
            <w:pPr>
              <w:spacing w:line="240" w:lineRule="exact"/>
              <w:jc w:val="right"/>
              <w:rPr>
                <w:rFonts w:ascii="宋体" w:hAnsi="宋体" w:eastAsia="宋体" w:cs="宋体"/>
                <w:sz w:val="18"/>
                <w:szCs w:val="18"/>
              </w:rPr>
            </w:pPr>
            <w:r>
              <w:rPr>
                <w:rFonts w:ascii="宋体" w:hAnsi="宋体" w:eastAsia="宋体" w:cs="宋体"/>
                <w:sz w:val="18"/>
                <w:szCs w:val="18"/>
              </w:rPr>
              <w:t>133,640.37</w:t>
            </w:r>
          </w:p>
        </w:tc>
      </w:tr>
      <w:tr w14:paraId="4059C67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AE5811">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B753A0C">
            <w:pPr>
              <w:spacing w:line="240" w:lineRule="exact"/>
              <w:jc w:val="right"/>
              <w:rPr>
                <w:rFonts w:ascii="宋体" w:hAnsi="宋体" w:eastAsia="宋体" w:cs="宋体"/>
                <w:sz w:val="18"/>
                <w:szCs w:val="18"/>
              </w:rPr>
            </w:pPr>
            <w:r>
              <w:rPr>
                <w:rFonts w:ascii="宋体" w:hAnsi="宋体" w:eastAsia="宋体" w:cs="宋体"/>
                <w:sz w:val="18"/>
                <w:szCs w:val="18"/>
              </w:rPr>
              <w:t>154,689.58</w:t>
            </w:r>
          </w:p>
        </w:tc>
        <w:tc>
          <w:tcPr>
            <w:tcW w:w="3213" w:type="dxa"/>
            <w:tcBorders>
              <w:top w:val="single" w:color="auto" w:sz="2" w:space="0"/>
              <w:left w:val="single" w:color="auto" w:sz="2" w:space="0"/>
              <w:bottom w:val="single" w:color="auto" w:sz="2" w:space="0"/>
              <w:right w:val="single" w:color="auto" w:sz="2" w:space="0"/>
            </w:tcBorders>
            <w:vAlign w:val="center"/>
          </w:tcPr>
          <w:p w14:paraId="3B40CF34">
            <w:pPr>
              <w:spacing w:line="240" w:lineRule="exact"/>
              <w:jc w:val="right"/>
              <w:rPr>
                <w:rFonts w:ascii="宋体" w:hAnsi="宋体" w:eastAsia="宋体" w:cs="宋体"/>
                <w:sz w:val="18"/>
                <w:szCs w:val="18"/>
              </w:rPr>
            </w:pPr>
            <w:r>
              <w:rPr>
                <w:rFonts w:ascii="宋体" w:hAnsi="宋体" w:eastAsia="宋体" w:cs="宋体"/>
                <w:sz w:val="18"/>
                <w:szCs w:val="18"/>
              </w:rPr>
              <w:t>133,640.37</w:t>
            </w:r>
          </w:p>
        </w:tc>
      </w:tr>
    </w:tbl>
    <w:p w14:paraId="4F20D05A">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65097B9D">
      <w:pPr>
        <w:pStyle w:val="3"/>
        <w:spacing w:after="100" w:line="280" w:lineRule="exact"/>
        <w:jc w:val="left"/>
        <w:rPr>
          <w:rFonts w:ascii="宋体" w:hAnsi="宋体" w:cs="宋体"/>
          <w:b/>
          <w:bCs/>
        </w:rPr>
      </w:pPr>
      <w:bookmarkStart w:id="231" w:name="_Toc989120"/>
      <w:r>
        <w:rPr>
          <w:rFonts w:ascii="宋体" w:hAnsi="宋体" w:cs="宋体"/>
          <w:b/>
          <w:bCs/>
        </w:rPr>
        <w:t>14、债权投资</w:t>
      </w:r>
      <w:bookmarkEnd w:id="231"/>
    </w:p>
    <w:p w14:paraId="37D82C7F">
      <w:pPr>
        <w:keepNext/>
        <w:keepLines/>
        <w:spacing w:before="300" w:after="100" w:line="280" w:lineRule="exact"/>
        <w:outlineLvl w:val="3"/>
        <w:rPr>
          <w:rFonts w:ascii="宋体" w:hAnsi="宋体" w:eastAsia="宋体" w:cs="宋体"/>
          <w:b/>
          <w:bCs/>
          <w:szCs w:val="21"/>
        </w:rPr>
      </w:pPr>
      <w:bookmarkStart w:id="232" w:name="_Toc989121"/>
      <w:r>
        <w:rPr>
          <w:rFonts w:ascii="宋体" w:hAnsi="宋体" w:eastAsia="宋体" w:cs="宋体"/>
          <w:b/>
          <w:bCs/>
          <w:szCs w:val="21"/>
        </w:rPr>
        <w:t>（1） 债权投资的情况</w:t>
      </w:r>
      <w:bookmarkEnd w:id="232"/>
    </w:p>
    <w:p w14:paraId="7B2FE4A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D2C4766">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6365F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B4C388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620A37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729E256">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BC0A5F"/>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6E68AB7">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649521">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B9D63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5B39BF">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C31858">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F89DE81">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1CDCF787">
      <w:pPr>
        <w:spacing w:before="100" w:after="100" w:line="240" w:lineRule="exact"/>
        <w:rPr>
          <w:rFonts w:ascii="宋体" w:hAnsi="宋体" w:eastAsia="宋体" w:cs="宋体"/>
          <w:sz w:val="18"/>
          <w:szCs w:val="18"/>
        </w:rPr>
      </w:pPr>
      <w:r>
        <w:rPr>
          <w:rFonts w:ascii="宋体" w:hAnsi="宋体" w:eastAsia="宋体" w:cs="宋体"/>
          <w:sz w:val="18"/>
          <w:szCs w:val="18"/>
        </w:rPr>
        <w:t>债权投资减值准备本期变动情况</w:t>
      </w:r>
    </w:p>
    <w:p w14:paraId="6410BA4D">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EBD1909">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C8080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E87EC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55A0B2">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E0289CE">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6D861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77764676">
      <w:pPr>
        <w:keepNext/>
        <w:keepLines/>
        <w:spacing w:before="300" w:after="100" w:line="280" w:lineRule="exact"/>
        <w:outlineLvl w:val="3"/>
        <w:rPr>
          <w:rFonts w:ascii="宋体" w:hAnsi="宋体" w:eastAsia="宋体" w:cs="宋体"/>
          <w:b/>
          <w:bCs/>
          <w:szCs w:val="21"/>
        </w:rPr>
      </w:pPr>
      <w:bookmarkStart w:id="233" w:name="_Toc989122"/>
      <w:r>
        <w:rPr>
          <w:rFonts w:ascii="宋体" w:hAnsi="宋体" w:eastAsia="宋体" w:cs="宋体"/>
          <w:b/>
          <w:bCs/>
          <w:szCs w:val="21"/>
        </w:rPr>
        <w:t>（2） 期末重要的债权投资</w:t>
      </w:r>
      <w:bookmarkEnd w:id="233"/>
    </w:p>
    <w:p w14:paraId="0F7A05B2">
      <w:pPr>
        <w:spacing w:before="100" w:after="100" w:line="240" w:lineRule="exact"/>
        <w:rPr>
          <w:rFonts w:ascii="宋体" w:hAnsi="宋体" w:eastAsia="宋体" w:cs="宋体"/>
          <w:sz w:val="18"/>
          <w:szCs w:val="18"/>
        </w:rPr>
      </w:pPr>
      <w:r>
        <w:rPr>
          <w:rFonts w:ascii="宋体" w:hAnsi="宋体" w:eastAsia="宋体" w:cs="宋体"/>
          <w:sz w:val="18"/>
          <w:szCs w:val="18"/>
        </w:rPr>
        <w:t>重要的债权投资</w:t>
      </w:r>
    </w:p>
    <w:p w14:paraId="573935A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7"/>
        <w:gridCol w:w="876"/>
        <w:gridCol w:w="876"/>
        <w:gridCol w:w="876"/>
        <w:gridCol w:w="876"/>
        <w:gridCol w:w="877"/>
        <w:gridCol w:w="876"/>
        <w:gridCol w:w="876"/>
        <w:gridCol w:w="876"/>
        <w:gridCol w:w="876"/>
        <w:gridCol w:w="877"/>
      </w:tblGrid>
      <w:tr w14:paraId="7CFD633A">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CB7BFD">
            <w:pPr>
              <w:spacing w:before="40" w:after="40" w:line="240" w:lineRule="exact"/>
              <w:jc w:val="center"/>
              <w:rPr>
                <w:rFonts w:ascii="宋体" w:hAnsi="宋体" w:eastAsia="宋体" w:cs="宋体"/>
                <w:sz w:val="18"/>
                <w:szCs w:val="18"/>
              </w:rPr>
            </w:pPr>
            <w:r>
              <w:rPr>
                <w:rFonts w:ascii="宋体" w:hAnsi="宋体" w:eastAsia="宋体" w:cs="宋体"/>
                <w:sz w:val="18"/>
                <w:szCs w:val="18"/>
              </w:rPr>
              <w:t>债权项目</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160879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F3E1D7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9BECCFC">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D491B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8E71E2E">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7D987D">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E4FBBB8">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E14030">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36829B6">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14EE68">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40AC39B">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BFED126">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AA6F5B">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7EB3A6">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r>
    </w:tbl>
    <w:p w14:paraId="47CAA5AE">
      <w:pPr>
        <w:keepNext/>
        <w:keepLines/>
        <w:spacing w:before="300" w:after="100" w:line="280" w:lineRule="exact"/>
        <w:outlineLvl w:val="3"/>
        <w:rPr>
          <w:rFonts w:ascii="宋体" w:hAnsi="宋体" w:eastAsia="宋体" w:cs="宋体"/>
          <w:b/>
          <w:bCs/>
          <w:szCs w:val="21"/>
        </w:rPr>
      </w:pPr>
      <w:bookmarkStart w:id="234" w:name="_Toc989123"/>
      <w:r>
        <w:rPr>
          <w:rFonts w:ascii="宋体" w:hAnsi="宋体" w:eastAsia="宋体" w:cs="宋体"/>
          <w:b/>
          <w:bCs/>
          <w:szCs w:val="21"/>
        </w:rPr>
        <w:t>（3） 减值准备计提情况</w:t>
      </w:r>
      <w:bookmarkEnd w:id="234"/>
    </w:p>
    <w:p w14:paraId="4442DEA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C2C48E7">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64695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B2ACD35">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0F3B7A">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698D43">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5D2A4B">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0B757A09">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F58E9A"/>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6C64C4">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627D3B">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E6B2BF5">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0822295"/>
        </w:tc>
      </w:tr>
      <w:tr w14:paraId="1F8B32BD">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D75ED2">
            <w:pPr>
              <w:spacing w:before="40" w:after="40" w:line="240" w:lineRule="exac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5D76EE"/>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A85DBB"/>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209D89"/>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485901"/>
        </w:tc>
      </w:tr>
    </w:tbl>
    <w:p w14:paraId="3A26390E">
      <w:pPr>
        <w:spacing w:before="100" w:after="100" w:line="240" w:lineRule="exact"/>
        <w:rPr>
          <w:rFonts w:ascii="宋体" w:hAnsi="宋体" w:eastAsia="宋体" w:cs="宋体"/>
          <w:sz w:val="18"/>
          <w:szCs w:val="18"/>
        </w:rPr>
      </w:pPr>
      <w:r>
        <w:rPr>
          <w:rFonts w:ascii="宋体" w:hAnsi="宋体" w:eastAsia="宋体" w:cs="宋体"/>
          <w:sz w:val="18"/>
          <w:szCs w:val="18"/>
        </w:rPr>
        <w:t>各阶段划分依据和坏账准备计提比例</w:t>
      </w:r>
    </w:p>
    <w:p w14:paraId="0B326859">
      <w:pPr>
        <w:keepNext/>
        <w:keepLines/>
        <w:spacing w:before="300" w:after="100" w:line="280" w:lineRule="exact"/>
        <w:outlineLvl w:val="3"/>
        <w:rPr>
          <w:rFonts w:ascii="宋体" w:hAnsi="宋体" w:eastAsia="宋体" w:cs="宋体"/>
          <w:b/>
          <w:bCs/>
          <w:szCs w:val="21"/>
        </w:rPr>
      </w:pPr>
      <w:bookmarkStart w:id="235" w:name="_Toc989124"/>
      <w:r>
        <w:rPr>
          <w:rFonts w:ascii="宋体" w:hAnsi="宋体" w:eastAsia="宋体" w:cs="宋体"/>
          <w:b/>
          <w:bCs/>
          <w:szCs w:val="21"/>
        </w:rPr>
        <w:t>（4） 本期实际核销的债权投资情况</w:t>
      </w:r>
      <w:bookmarkEnd w:id="235"/>
    </w:p>
    <w:p w14:paraId="27D9CC6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7D7E7E0A">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983CD2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635347">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33B275FC">
      <w:pPr>
        <w:spacing w:before="100" w:after="100" w:line="240" w:lineRule="exact"/>
      </w:pPr>
      <w:r>
        <w:rPr>
          <w:rFonts w:ascii="宋体" w:hAnsi="宋体" w:eastAsia="宋体" w:cs="宋体"/>
          <w:sz w:val="18"/>
          <w:szCs w:val="18"/>
        </w:rPr>
        <w:t>其中重要的债权投资核销情况</w:t>
      </w:r>
    </w:p>
    <w:p w14:paraId="4C84BB8C">
      <w:pPr>
        <w:spacing w:before="100" w:after="100" w:line="240" w:lineRule="exact"/>
      </w:pPr>
      <w:r>
        <w:rPr>
          <w:rFonts w:ascii="宋体" w:hAnsi="宋体" w:eastAsia="宋体" w:cs="宋体"/>
          <w:sz w:val="18"/>
          <w:szCs w:val="18"/>
        </w:rPr>
        <w:t>债权投资核销说明：</w:t>
      </w:r>
    </w:p>
    <w:p w14:paraId="59B39F30">
      <w:pPr>
        <w:spacing w:before="100" w:after="100" w:line="240" w:lineRule="exac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5AEEDB03">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E391E23">
      <w:pPr>
        <w:spacing w:before="100" w:after="100" w:line="240" w:lineRule="exact"/>
      </w:pPr>
      <w:r>
        <w:rPr>
          <w:rFonts w:ascii="宋体" w:hAnsi="宋体" w:eastAsia="宋体" w:cs="宋体"/>
          <w:sz w:val="18"/>
          <w:szCs w:val="18"/>
        </w:rPr>
        <w:t>其他说明：</w:t>
      </w:r>
    </w:p>
    <w:p w14:paraId="3730FD75">
      <w:pPr>
        <w:pStyle w:val="3"/>
        <w:spacing w:after="100" w:line="280" w:lineRule="exact"/>
        <w:jc w:val="left"/>
        <w:rPr>
          <w:rFonts w:ascii="宋体" w:hAnsi="宋体" w:cs="宋体"/>
          <w:b/>
          <w:bCs/>
        </w:rPr>
      </w:pPr>
      <w:bookmarkStart w:id="236" w:name="_Toc989125"/>
      <w:r>
        <w:rPr>
          <w:rFonts w:ascii="宋体" w:hAnsi="宋体" w:cs="宋体"/>
          <w:b/>
          <w:bCs/>
        </w:rPr>
        <w:t>15、其他债权投资</w:t>
      </w:r>
      <w:bookmarkEnd w:id="236"/>
    </w:p>
    <w:p w14:paraId="6D784C64">
      <w:pPr>
        <w:keepNext/>
        <w:keepLines/>
        <w:spacing w:before="300" w:after="100" w:line="280" w:lineRule="exact"/>
        <w:outlineLvl w:val="3"/>
        <w:rPr>
          <w:rFonts w:ascii="宋体" w:hAnsi="宋体" w:eastAsia="宋体" w:cs="宋体"/>
          <w:b/>
          <w:bCs/>
          <w:szCs w:val="21"/>
        </w:rPr>
      </w:pPr>
      <w:bookmarkStart w:id="237" w:name="_Toc989126"/>
      <w:r>
        <w:rPr>
          <w:rFonts w:ascii="宋体" w:hAnsi="宋体" w:eastAsia="宋体" w:cs="宋体"/>
          <w:b/>
          <w:bCs/>
          <w:szCs w:val="21"/>
        </w:rPr>
        <w:t>（1） 其他债权投资的情况</w:t>
      </w:r>
      <w:bookmarkEnd w:id="237"/>
    </w:p>
    <w:p w14:paraId="3B177ED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3"/>
        <w:gridCol w:w="964"/>
        <w:gridCol w:w="964"/>
        <w:gridCol w:w="964"/>
        <w:gridCol w:w="964"/>
        <w:gridCol w:w="964"/>
        <w:gridCol w:w="964"/>
        <w:gridCol w:w="964"/>
        <w:gridCol w:w="964"/>
        <w:gridCol w:w="964"/>
      </w:tblGrid>
      <w:tr w14:paraId="225FC330">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F69777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C17D72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9A600B6">
            <w:pPr>
              <w:spacing w:before="40" w:after="40" w:line="240" w:lineRule="exact"/>
              <w:jc w:val="center"/>
              <w:rPr>
                <w:rFonts w:ascii="宋体" w:hAnsi="宋体" w:eastAsia="宋体" w:cs="宋体"/>
                <w:sz w:val="18"/>
                <w:szCs w:val="18"/>
              </w:rPr>
            </w:pPr>
            <w:r>
              <w:rPr>
                <w:rFonts w:ascii="宋体" w:hAnsi="宋体" w:eastAsia="宋体" w:cs="宋体"/>
                <w:sz w:val="18"/>
                <w:szCs w:val="18"/>
              </w:rPr>
              <w:t>应计利息</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075FE2B">
            <w:pPr>
              <w:spacing w:before="40" w:after="40" w:line="240" w:lineRule="exact"/>
              <w:jc w:val="center"/>
              <w:rPr>
                <w:rFonts w:ascii="宋体" w:hAnsi="宋体" w:eastAsia="宋体" w:cs="宋体"/>
                <w:sz w:val="18"/>
                <w:szCs w:val="18"/>
              </w:rPr>
            </w:pPr>
            <w:r>
              <w:rPr>
                <w:rFonts w:ascii="宋体" w:hAnsi="宋体" w:eastAsia="宋体" w:cs="宋体"/>
                <w:sz w:val="18"/>
                <w:szCs w:val="18"/>
              </w:rPr>
              <w:t>利息调整</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9A46601">
            <w:pPr>
              <w:spacing w:before="40" w:after="40" w:line="240" w:lineRule="exact"/>
              <w:jc w:val="center"/>
              <w:rPr>
                <w:rFonts w:ascii="宋体" w:hAnsi="宋体" w:eastAsia="宋体" w:cs="宋体"/>
                <w:sz w:val="18"/>
                <w:szCs w:val="18"/>
              </w:rPr>
            </w:pPr>
            <w:r>
              <w:rPr>
                <w:rFonts w:ascii="宋体" w:hAnsi="宋体" w:eastAsia="宋体" w:cs="宋体"/>
                <w:sz w:val="18"/>
                <w:szCs w:val="18"/>
              </w:rPr>
              <w:t>本期公允价值变动</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2E9F88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4F0F7EF">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B648D4D">
            <w:pPr>
              <w:spacing w:before="40" w:after="40" w:line="240" w:lineRule="exact"/>
              <w:jc w:val="center"/>
              <w:rPr>
                <w:rFonts w:ascii="宋体" w:hAnsi="宋体" w:eastAsia="宋体" w:cs="宋体"/>
                <w:sz w:val="18"/>
                <w:szCs w:val="18"/>
              </w:rPr>
            </w:pPr>
            <w:r>
              <w:rPr>
                <w:rFonts w:ascii="宋体" w:hAnsi="宋体" w:eastAsia="宋体" w:cs="宋体"/>
                <w:sz w:val="18"/>
                <w:szCs w:val="18"/>
              </w:rPr>
              <w:t>累计公允价值变动</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B8D9804">
            <w:pPr>
              <w:spacing w:before="40" w:after="40" w:line="240" w:lineRule="exact"/>
              <w:jc w:val="center"/>
              <w:rPr>
                <w:rFonts w:ascii="宋体" w:hAnsi="宋体" w:eastAsia="宋体" w:cs="宋体"/>
                <w:sz w:val="18"/>
                <w:szCs w:val="18"/>
              </w:rPr>
            </w:pPr>
            <w:r>
              <w:rPr>
                <w:rFonts w:ascii="宋体" w:hAnsi="宋体" w:eastAsia="宋体" w:cs="宋体"/>
                <w:sz w:val="18"/>
                <w:szCs w:val="18"/>
              </w:rPr>
              <w:t>累计在其他综合收益中确认的减值准备</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20DB183">
            <w:pPr>
              <w:spacing w:before="40" w:after="40" w:line="240" w:lineRule="exact"/>
              <w:jc w:val="center"/>
              <w:rPr>
                <w:rFonts w:ascii="宋体" w:hAnsi="宋体" w:eastAsia="宋体" w:cs="宋体"/>
                <w:sz w:val="18"/>
                <w:szCs w:val="18"/>
              </w:rPr>
            </w:pPr>
            <w:r>
              <w:rPr>
                <w:rFonts w:ascii="宋体" w:hAnsi="宋体" w:eastAsia="宋体" w:cs="宋体"/>
                <w:sz w:val="18"/>
                <w:szCs w:val="18"/>
              </w:rPr>
              <w:t>备注</w:t>
            </w:r>
          </w:p>
        </w:tc>
      </w:tr>
    </w:tbl>
    <w:p w14:paraId="4ECFBEAF">
      <w:pPr>
        <w:spacing w:before="100" w:after="100" w:line="240" w:lineRule="exact"/>
        <w:rPr>
          <w:rFonts w:ascii="宋体" w:hAnsi="宋体" w:eastAsia="宋体" w:cs="宋体"/>
          <w:sz w:val="18"/>
          <w:szCs w:val="18"/>
        </w:rPr>
      </w:pPr>
      <w:r>
        <w:rPr>
          <w:rFonts w:ascii="宋体" w:hAnsi="宋体" w:eastAsia="宋体" w:cs="宋体"/>
          <w:sz w:val="18"/>
          <w:szCs w:val="18"/>
        </w:rPr>
        <w:t>其他债权投资减值准备本期变动情况</w:t>
      </w:r>
    </w:p>
    <w:p w14:paraId="12D32CE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43BCBE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6E278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F04EA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06FF63">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80702C">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5C47D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750A58D9">
      <w:pPr>
        <w:keepNext/>
        <w:keepLines/>
        <w:spacing w:before="300" w:after="100" w:line="280" w:lineRule="exact"/>
        <w:outlineLvl w:val="3"/>
        <w:rPr>
          <w:rFonts w:ascii="宋体" w:hAnsi="宋体" w:eastAsia="宋体" w:cs="宋体"/>
          <w:b/>
          <w:bCs/>
          <w:szCs w:val="21"/>
        </w:rPr>
      </w:pPr>
      <w:bookmarkStart w:id="238" w:name="_Toc989127"/>
      <w:r>
        <w:rPr>
          <w:rFonts w:ascii="宋体" w:hAnsi="宋体" w:eastAsia="宋体" w:cs="宋体"/>
          <w:b/>
          <w:bCs/>
          <w:szCs w:val="21"/>
        </w:rPr>
        <w:t>（2） 期末重要的其他债权投资</w:t>
      </w:r>
      <w:bookmarkEnd w:id="238"/>
    </w:p>
    <w:p w14:paraId="28FF674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7"/>
        <w:gridCol w:w="876"/>
        <w:gridCol w:w="876"/>
        <w:gridCol w:w="876"/>
        <w:gridCol w:w="876"/>
        <w:gridCol w:w="877"/>
        <w:gridCol w:w="876"/>
        <w:gridCol w:w="876"/>
        <w:gridCol w:w="876"/>
        <w:gridCol w:w="876"/>
        <w:gridCol w:w="877"/>
      </w:tblGrid>
      <w:tr w14:paraId="62F0593D">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2AF985">
            <w:pPr>
              <w:spacing w:before="40" w:after="40" w:line="240" w:lineRule="exact"/>
              <w:jc w:val="center"/>
              <w:rPr>
                <w:rFonts w:ascii="宋体" w:hAnsi="宋体" w:eastAsia="宋体" w:cs="宋体"/>
                <w:sz w:val="18"/>
                <w:szCs w:val="18"/>
              </w:rPr>
            </w:pPr>
            <w:r>
              <w:rPr>
                <w:rFonts w:ascii="宋体" w:hAnsi="宋体" w:eastAsia="宋体" w:cs="宋体"/>
                <w:sz w:val="18"/>
                <w:szCs w:val="18"/>
              </w:rPr>
              <w:t>其他债权项目</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0B3498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91843D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4EAE7D4">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9C5ED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EF243D">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74E1298">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2C5AA4">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59DFE27">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2BD6F7">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1E28F6E">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A556AA">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FA7A39">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42F949B">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64C51E">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r>
    </w:tbl>
    <w:p w14:paraId="02CC7C99">
      <w:pPr>
        <w:keepNext/>
        <w:keepLines/>
        <w:spacing w:before="300" w:after="100" w:line="280" w:lineRule="exact"/>
        <w:outlineLvl w:val="3"/>
        <w:rPr>
          <w:rFonts w:ascii="宋体" w:hAnsi="宋体" w:eastAsia="宋体" w:cs="宋体"/>
          <w:b/>
          <w:bCs/>
          <w:szCs w:val="21"/>
        </w:rPr>
      </w:pPr>
      <w:bookmarkStart w:id="239" w:name="_Toc989128"/>
      <w:r>
        <w:rPr>
          <w:rFonts w:ascii="宋体" w:hAnsi="宋体" w:eastAsia="宋体" w:cs="宋体"/>
          <w:b/>
          <w:bCs/>
          <w:szCs w:val="21"/>
        </w:rPr>
        <w:t>（3） 减值准备计提情况</w:t>
      </w:r>
      <w:bookmarkEnd w:id="239"/>
    </w:p>
    <w:p w14:paraId="79D49F1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ABAEFD6">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E9422D">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9CA811">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E8676C">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D46C82">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537BA4">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14C33114">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8FB37F"/>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E5BEF1">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DAF90C">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910A00">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3992D8"/>
        </w:tc>
      </w:tr>
      <w:tr w14:paraId="2B2B0E7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3E801E">
            <w:pPr>
              <w:spacing w:before="40" w:after="40" w:line="240" w:lineRule="exac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C5CD0D"/>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583082"/>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49BB54"/>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A43FAA"/>
        </w:tc>
      </w:tr>
    </w:tbl>
    <w:p w14:paraId="777308E9">
      <w:pPr>
        <w:spacing w:before="100" w:after="100" w:line="240" w:lineRule="exact"/>
      </w:pPr>
      <w:r>
        <w:rPr>
          <w:rFonts w:ascii="宋体" w:hAnsi="宋体" w:eastAsia="宋体" w:cs="宋体"/>
          <w:sz w:val="18"/>
          <w:szCs w:val="18"/>
        </w:rPr>
        <w:t>各阶段划分依据和坏账准备计提比例</w:t>
      </w:r>
    </w:p>
    <w:p w14:paraId="34FFE7E8">
      <w:pPr>
        <w:keepNext/>
        <w:keepLines/>
        <w:spacing w:before="300" w:after="100" w:line="280" w:lineRule="exact"/>
        <w:outlineLvl w:val="3"/>
        <w:rPr>
          <w:rFonts w:ascii="宋体" w:hAnsi="宋体" w:eastAsia="宋体" w:cs="宋体"/>
          <w:b/>
          <w:bCs/>
          <w:szCs w:val="21"/>
        </w:rPr>
      </w:pPr>
      <w:bookmarkStart w:id="240" w:name="_Toc989129"/>
      <w:r>
        <w:rPr>
          <w:rFonts w:ascii="宋体" w:hAnsi="宋体" w:eastAsia="宋体" w:cs="宋体"/>
          <w:b/>
          <w:bCs/>
          <w:szCs w:val="21"/>
        </w:rPr>
        <w:t>（4） 本期实际核销的其他债权投资情况</w:t>
      </w:r>
      <w:bookmarkEnd w:id="240"/>
    </w:p>
    <w:p w14:paraId="587082D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F02D03F">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F57C6C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5725A67">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4BE9C17A">
      <w:pPr>
        <w:spacing w:before="100" w:after="100" w:line="240" w:lineRule="exact"/>
      </w:pPr>
      <w:r>
        <w:rPr>
          <w:rFonts w:ascii="宋体" w:hAnsi="宋体" w:eastAsia="宋体" w:cs="宋体"/>
          <w:sz w:val="18"/>
          <w:szCs w:val="18"/>
        </w:rPr>
        <w:t>其中重要的其他债权投资核销情况</w:t>
      </w:r>
    </w:p>
    <w:p w14:paraId="314C5D5D">
      <w:pPr>
        <w:spacing w:before="100" w:after="100" w:line="240" w:lineRule="exact"/>
      </w:pPr>
      <w:r>
        <w:rPr>
          <w:rFonts w:ascii="宋体" w:hAnsi="宋体" w:eastAsia="宋体" w:cs="宋体"/>
          <w:sz w:val="18"/>
          <w:szCs w:val="18"/>
        </w:rPr>
        <w:t>其他债权投资核销说明：</w:t>
      </w:r>
    </w:p>
    <w:p w14:paraId="373504CF">
      <w:pPr>
        <w:spacing w:before="100" w:after="100" w:line="240" w:lineRule="exac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08065909">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24EAD9F">
      <w:pPr>
        <w:spacing w:before="100" w:after="100" w:line="240" w:lineRule="exact"/>
      </w:pPr>
      <w:r>
        <w:rPr>
          <w:rFonts w:ascii="宋体" w:hAnsi="宋体" w:eastAsia="宋体" w:cs="宋体"/>
          <w:sz w:val="18"/>
          <w:szCs w:val="18"/>
        </w:rPr>
        <w:t>其他说明：</w:t>
      </w:r>
    </w:p>
    <w:p w14:paraId="6043BB17">
      <w:pPr>
        <w:pStyle w:val="3"/>
        <w:spacing w:after="100" w:line="280" w:lineRule="exact"/>
        <w:jc w:val="left"/>
        <w:rPr>
          <w:rFonts w:ascii="宋体" w:hAnsi="宋体" w:cs="宋体"/>
          <w:b/>
          <w:bCs/>
        </w:rPr>
      </w:pPr>
      <w:bookmarkStart w:id="241" w:name="_Toc989130"/>
      <w:r>
        <w:rPr>
          <w:rFonts w:ascii="宋体" w:hAnsi="宋体" w:cs="宋体"/>
          <w:b/>
          <w:bCs/>
        </w:rPr>
        <w:t>16、其他权益工具投资</w:t>
      </w:r>
      <w:bookmarkEnd w:id="241"/>
    </w:p>
    <w:p w14:paraId="216D4D4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22C72CAC">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9397FAA">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E3A0C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9BF499">
            <w:pPr>
              <w:spacing w:before="40" w:after="40" w:line="240" w:lineRule="exact"/>
              <w:jc w:val="center"/>
              <w:rPr>
                <w:rFonts w:ascii="宋体" w:hAnsi="宋体" w:eastAsia="宋体" w:cs="宋体"/>
                <w:sz w:val="18"/>
                <w:szCs w:val="18"/>
              </w:rPr>
            </w:pPr>
            <w:r>
              <w:rPr>
                <w:rFonts w:ascii="宋体" w:hAnsi="宋体" w:eastAsia="宋体" w:cs="宋体"/>
                <w:sz w:val="18"/>
                <w:szCs w:val="18"/>
              </w:rPr>
              <w:t>本期计入其他综合收益的利得</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A034030">
            <w:pPr>
              <w:spacing w:before="40" w:after="40" w:line="240" w:lineRule="exact"/>
              <w:jc w:val="center"/>
              <w:rPr>
                <w:rFonts w:ascii="宋体" w:hAnsi="宋体" w:eastAsia="宋体" w:cs="宋体"/>
                <w:sz w:val="18"/>
                <w:szCs w:val="18"/>
              </w:rPr>
            </w:pPr>
            <w:r>
              <w:rPr>
                <w:rFonts w:ascii="宋体" w:hAnsi="宋体" w:eastAsia="宋体" w:cs="宋体"/>
                <w:sz w:val="18"/>
                <w:szCs w:val="18"/>
              </w:rPr>
              <w:t>本期计入其他综合收益的损失</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9C24A86">
            <w:pPr>
              <w:spacing w:before="40" w:after="40" w:line="240" w:lineRule="exact"/>
              <w:jc w:val="center"/>
              <w:rPr>
                <w:rFonts w:ascii="宋体" w:hAnsi="宋体" w:eastAsia="宋体" w:cs="宋体"/>
                <w:sz w:val="18"/>
                <w:szCs w:val="18"/>
              </w:rPr>
            </w:pPr>
            <w:r>
              <w:rPr>
                <w:rFonts w:ascii="宋体" w:hAnsi="宋体" w:eastAsia="宋体" w:cs="宋体"/>
                <w:sz w:val="18"/>
                <w:szCs w:val="18"/>
              </w:rPr>
              <w:t>本期末累计计入其他综合收益的利得</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B1F5C2">
            <w:pPr>
              <w:spacing w:before="40" w:after="40" w:line="240" w:lineRule="exact"/>
              <w:jc w:val="center"/>
              <w:rPr>
                <w:rFonts w:ascii="宋体" w:hAnsi="宋体" w:eastAsia="宋体" w:cs="宋体"/>
                <w:sz w:val="18"/>
                <w:szCs w:val="18"/>
              </w:rPr>
            </w:pPr>
            <w:r>
              <w:rPr>
                <w:rFonts w:ascii="宋体" w:hAnsi="宋体" w:eastAsia="宋体" w:cs="宋体"/>
                <w:sz w:val="18"/>
                <w:szCs w:val="18"/>
              </w:rPr>
              <w:t>本期末累计计入其他综合收益的损失</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F2DEFB7">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本期确认的股利收入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05209F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654EAF9">
            <w:pPr>
              <w:spacing w:before="40" w:after="40" w:line="240" w:lineRule="exact"/>
              <w:jc w:val="center"/>
              <w:rPr>
                <w:rFonts w:ascii="宋体" w:hAnsi="宋体" w:eastAsia="宋体" w:cs="宋体"/>
                <w:sz w:val="18"/>
                <w:szCs w:val="18"/>
              </w:rPr>
            </w:pPr>
            <w:r>
              <w:rPr>
                <w:rFonts w:ascii="宋体" w:hAnsi="宋体" w:eastAsia="宋体" w:cs="宋体"/>
                <w:sz w:val="18"/>
                <w:szCs w:val="18"/>
              </w:rPr>
              <w:t>指定为以公允价值计量且其变动计入其他综合收益的原因</w:t>
            </w:r>
          </w:p>
        </w:tc>
      </w:tr>
    </w:tbl>
    <w:p w14:paraId="4E0990A2">
      <w:pPr>
        <w:spacing w:before="100" w:after="100" w:line="240" w:lineRule="exact"/>
        <w:rPr>
          <w:rFonts w:ascii="宋体" w:hAnsi="宋体" w:eastAsia="宋体" w:cs="宋体"/>
          <w:sz w:val="18"/>
          <w:szCs w:val="18"/>
        </w:rPr>
      </w:pPr>
      <w:r>
        <w:rPr>
          <w:rFonts w:ascii="宋体" w:hAnsi="宋体" w:eastAsia="宋体" w:cs="宋体"/>
          <w:sz w:val="18"/>
          <w:szCs w:val="18"/>
        </w:rPr>
        <w:t>本期存在终止确认</w:t>
      </w:r>
    </w:p>
    <w:p w14:paraId="5FFE81F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7440A441">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CE0A19">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664198">
            <w:pPr>
              <w:spacing w:before="40" w:after="40" w:line="240" w:lineRule="exact"/>
              <w:jc w:val="center"/>
              <w:rPr>
                <w:rFonts w:ascii="宋体" w:hAnsi="宋体" w:eastAsia="宋体" w:cs="宋体"/>
                <w:sz w:val="18"/>
                <w:szCs w:val="18"/>
              </w:rPr>
            </w:pPr>
            <w:r>
              <w:rPr>
                <w:rFonts w:ascii="宋体" w:hAnsi="宋体" w:eastAsia="宋体" w:cs="宋体"/>
                <w:sz w:val="18"/>
                <w:szCs w:val="18"/>
              </w:rPr>
              <w:t>转入留存收益的累计利得</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5EF15E6">
            <w:pPr>
              <w:spacing w:before="40" w:after="40" w:line="240" w:lineRule="exact"/>
              <w:jc w:val="center"/>
              <w:rPr>
                <w:rFonts w:ascii="宋体" w:hAnsi="宋体" w:eastAsia="宋体" w:cs="宋体"/>
                <w:sz w:val="18"/>
                <w:szCs w:val="18"/>
              </w:rPr>
            </w:pPr>
            <w:r>
              <w:rPr>
                <w:rFonts w:ascii="宋体" w:hAnsi="宋体" w:eastAsia="宋体" w:cs="宋体"/>
                <w:sz w:val="18"/>
                <w:szCs w:val="18"/>
              </w:rPr>
              <w:t>转入留存收益的累计损失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027DC70">
            <w:pPr>
              <w:spacing w:before="40" w:after="40" w:line="240" w:lineRule="exact"/>
              <w:jc w:val="center"/>
              <w:rPr>
                <w:rFonts w:ascii="宋体" w:hAnsi="宋体" w:eastAsia="宋体" w:cs="宋体"/>
                <w:sz w:val="18"/>
                <w:szCs w:val="18"/>
              </w:rPr>
            </w:pPr>
            <w:r>
              <w:rPr>
                <w:rFonts w:ascii="宋体" w:hAnsi="宋体" w:eastAsia="宋体" w:cs="宋体"/>
                <w:sz w:val="18"/>
                <w:szCs w:val="18"/>
              </w:rPr>
              <w:t>终止确认的原因</w:t>
            </w:r>
          </w:p>
        </w:tc>
      </w:tr>
    </w:tbl>
    <w:p w14:paraId="6EEA3D35">
      <w:pPr>
        <w:spacing w:before="100" w:after="100" w:line="240" w:lineRule="exact"/>
        <w:rPr>
          <w:rFonts w:ascii="宋体" w:hAnsi="宋体" w:eastAsia="宋体" w:cs="宋体"/>
          <w:sz w:val="18"/>
          <w:szCs w:val="18"/>
        </w:rPr>
      </w:pPr>
      <w:r>
        <w:rPr>
          <w:rFonts w:ascii="宋体" w:hAnsi="宋体" w:eastAsia="宋体" w:cs="宋体"/>
          <w:sz w:val="18"/>
          <w:szCs w:val="18"/>
        </w:rPr>
        <w:t>分项披露本期非交易性权益工具投资</w:t>
      </w:r>
    </w:p>
    <w:p w14:paraId="2B3B142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6CA65EA">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81571E">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F7D4CB">
            <w:pPr>
              <w:spacing w:before="40" w:after="40" w:line="240" w:lineRule="exact"/>
              <w:jc w:val="center"/>
              <w:rPr>
                <w:rFonts w:ascii="宋体" w:hAnsi="宋体" w:eastAsia="宋体" w:cs="宋体"/>
                <w:sz w:val="18"/>
                <w:szCs w:val="18"/>
              </w:rPr>
            </w:pPr>
            <w:r>
              <w:rPr>
                <w:rFonts w:ascii="宋体" w:hAnsi="宋体" w:eastAsia="宋体" w:cs="宋体"/>
                <w:sz w:val="18"/>
                <w:szCs w:val="18"/>
              </w:rPr>
              <w:t>确认的股利收入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AB40BD">
            <w:pPr>
              <w:spacing w:before="40" w:after="40" w:line="240" w:lineRule="exact"/>
              <w:jc w:val="center"/>
              <w:rPr>
                <w:rFonts w:ascii="宋体" w:hAnsi="宋体" w:eastAsia="宋体" w:cs="宋体"/>
                <w:sz w:val="18"/>
                <w:szCs w:val="18"/>
              </w:rPr>
            </w:pPr>
            <w:r>
              <w:rPr>
                <w:rFonts w:ascii="宋体" w:hAnsi="宋体" w:eastAsia="宋体" w:cs="宋体"/>
                <w:sz w:val="18"/>
                <w:szCs w:val="18"/>
              </w:rPr>
              <w:t>累计利得</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DFA06E">
            <w:pPr>
              <w:spacing w:before="40" w:after="40" w:line="240" w:lineRule="exact"/>
              <w:jc w:val="center"/>
              <w:rPr>
                <w:rFonts w:ascii="宋体" w:hAnsi="宋体" w:eastAsia="宋体" w:cs="宋体"/>
                <w:sz w:val="18"/>
                <w:szCs w:val="18"/>
              </w:rPr>
            </w:pPr>
            <w:r>
              <w:rPr>
                <w:rFonts w:ascii="宋体" w:hAnsi="宋体" w:eastAsia="宋体" w:cs="宋体"/>
                <w:sz w:val="18"/>
                <w:szCs w:val="18"/>
              </w:rPr>
              <w:t>累计损失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1A428D">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其他综合收益转入留存收益的金额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77E39A">
            <w:pPr>
              <w:spacing w:before="40" w:after="40" w:line="240" w:lineRule="exact"/>
              <w:jc w:val="center"/>
              <w:rPr>
                <w:rFonts w:ascii="宋体" w:hAnsi="宋体" w:eastAsia="宋体" w:cs="宋体"/>
                <w:sz w:val="18"/>
                <w:szCs w:val="18"/>
              </w:rPr>
            </w:pPr>
            <w:r>
              <w:rPr>
                <w:rFonts w:ascii="宋体" w:hAnsi="宋体" w:eastAsia="宋体" w:cs="宋体"/>
                <w:sz w:val="18"/>
                <w:szCs w:val="18"/>
              </w:rPr>
              <w:t>指定为以公允价值计量且其变动计入其他综合收益的原因</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463769D">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其他综合收益转入留存收益的原因</w:t>
            </w:r>
          </w:p>
        </w:tc>
      </w:tr>
    </w:tbl>
    <w:p w14:paraId="2FFF83E6">
      <w:pPr>
        <w:spacing w:before="100" w:after="100" w:line="240" w:lineRule="exact"/>
      </w:pPr>
      <w:r>
        <w:rPr>
          <w:rFonts w:ascii="宋体" w:hAnsi="宋体" w:eastAsia="宋体" w:cs="宋体"/>
          <w:sz w:val="18"/>
          <w:szCs w:val="18"/>
        </w:rPr>
        <w:t>其他说明：</w:t>
      </w:r>
    </w:p>
    <w:p w14:paraId="222EAF9E">
      <w:pPr>
        <w:pStyle w:val="3"/>
        <w:spacing w:after="100" w:line="280" w:lineRule="exact"/>
        <w:jc w:val="left"/>
        <w:rPr>
          <w:rFonts w:ascii="宋体" w:hAnsi="宋体" w:cs="宋体"/>
          <w:b/>
          <w:bCs/>
        </w:rPr>
      </w:pPr>
      <w:bookmarkStart w:id="242" w:name="_Toc989131"/>
      <w:r>
        <w:rPr>
          <w:rFonts w:ascii="宋体" w:hAnsi="宋体" w:cs="宋体"/>
          <w:b/>
          <w:bCs/>
        </w:rPr>
        <w:t>17、长期应收款</w:t>
      </w:r>
      <w:bookmarkEnd w:id="242"/>
    </w:p>
    <w:p w14:paraId="741412D1">
      <w:pPr>
        <w:keepNext/>
        <w:keepLines/>
        <w:spacing w:before="300" w:after="100" w:line="280" w:lineRule="exact"/>
        <w:outlineLvl w:val="3"/>
        <w:rPr>
          <w:rFonts w:ascii="宋体" w:hAnsi="宋体" w:eastAsia="宋体" w:cs="宋体"/>
          <w:b/>
          <w:bCs/>
          <w:szCs w:val="21"/>
        </w:rPr>
      </w:pPr>
      <w:bookmarkStart w:id="243" w:name="_Toc989132"/>
      <w:r>
        <w:rPr>
          <w:rFonts w:ascii="宋体" w:hAnsi="宋体" w:eastAsia="宋体" w:cs="宋体"/>
          <w:b/>
          <w:bCs/>
          <w:szCs w:val="21"/>
        </w:rPr>
        <w:t>（1） 长期应收款情况</w:t>
      </w:r>
      <w:bookmarkEnd w:id="243"/>
    </w:p>
    <w:p w14:paraId="4122D4A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4"/>
        <w:gridCol w:w="1205"/>
        <w:gridCol w:w="1205"/>
        <w:gridCol w:w="1205"/>
        <w:gridCol w:w="1205"/>
        <w:gridCol w:w="1205"/>
        <w:gridCol w:w="1205"/>
        <w:gridCol w:w="1205"/>
      </w:tblGrid>
      <w:tr w14:paraId="5EF38436">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443CA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615"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4D8429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615"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77F660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D793BAE">
            <w:pPr>
              <w:spacing w:before="40" w:after="40" w:line="240" w:lineRule="exact"/>
              <w:jc w:val="center"/>
              <w:rPr>
                <w:rFonts w:ascii="宋体" w:hAnsi="宋体" w:eastAsia="宋体" w:cs="宋体"/>
                <w:sz w:val="18"/>
                <w:szCs w:val="18"/>
              </w:rPr>
            </w:pPr>
            <w:r>
              <w:rPr>
                <w:rFonts w:ascii="宋体" w:hAnsi="宋体" w:eastAsia="宋体" w:cs="宋体"/>
                <w:sz w:val="18"/>
                <w:szCs w:val="18"/>
              </w:rPr>
              <w:t>折现率区间</w:t>
            </w:r>
          </w:p>
        </w:tc>
      </w:tr>
      <w:tr w14:paraId="7606D792">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23EB27"/>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001015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19D866E">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33AEE4C">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6D4A642">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6FB2B36">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CB58C8E">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BDE30E6"/>
        </w:tc>
      </w:tr>
    </w:tbl>
    <w:p w14:paraId="7F88EB14">
      <w:pPr>
        <w:keepNext/>
        <w:keepLines/>
        <w:spacing w:before="300" w:after="100" w:line="280" w:lineRule="exact"/>
        <w:outlineLvl w:val="3"/>
        <w:rPr>
          <w:rFonts w:ascii="宋体" w:hAnsi="宋体" w:eastAsia="宋体" w:cs="宋体"/>
          <w:b/>
          <w:bCs/>
          <w:szCs w:val="21"/>
        </w:rPr>
      </w:pPr>
      <w:bookmarkStart w:id="244" w:name="_Toc989133"/>
      <w:r>
        <w:rPr>
          <w:rFonts w:ascii="宋体" w:hAnsi="宋体" w:eastAsia="宋体" w:cs="宋体"/>
          <w:b/>
          <w:bCs/>
          <w:szCs w:val="21"/>
        </w:rPr>
        <w:t>（2） 按坏账计提方法分类披露</w:t>
      </w:r>
      <w:bookmarkEnd w:id="244"/>
    </w:p>
    <w:p w14:paraId="42AF65F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05A327C6">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E76668">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1508E0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A65921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639E266">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39841C"/>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C8E1451">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1AE41B7">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1BDE9A">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377A9C">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0678326">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1EFF6E">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4B551149">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AF373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E578B0">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53FDFB">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C4384BD">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48187B">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E00E0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3864F13">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294586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01052B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D421483">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19E439"/>
        </w:tc>
      </w:tr>
      <w:tr w14:paraId="1AD09017">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1984E84D">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r w14:paraId="50EEF7A4">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4E348C1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r>
    </w:tbl>
    <w:p w14:paraId="7A9F2BA3">
      <w:pPr>
        <w:spacing w:before="100" w:after="100" w:line="240" w:lineRule="exact"/>
        <w:rPr>
          <w:rFonts w:ascii="宋体" w:hAnsi="宋体" w:eastAsia="宋体" w:cs="宋体"/>
          <w:sz w:val="18"/>
          <w:szCs w:val="18"/>
        </w:rPr>
      </w:pPr>
      <w:r>
        <w:rPr>
          <w:rFonts w:ascii="宋体" w:hAnsi="宋体" w:eastAsia="宋体" w:cs="宋体"/>
          <w:sz w:val="18"/>
          <w:szCs w:val="18"/>
        </w:rPr>
        <w:t>按预期信用损失一般模型计提坏账准备</w:t>
      </w:r>
    </w:p>
    <w:p w14:paraId="4759FCFB">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1463BAD">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4B114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E1F647">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B1F1D0">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968152">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EBE893">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60BC5834">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6C2174"/>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4C5587">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79F596">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CF314B">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A2CDC1"/>
        </w:tc>
      </w:tr>
      <w:tr w14:paraId="3C70622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909CBB">
            <w:pPr>
              <w:spacing w:before="40" w:after="40" w:line="240" w:lineRule="exac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D9839B"/>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9AAAB2"/>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936341"/>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53805E"/>
        </w:tc>
      </w:tr>
    </w:tbl>
    <w:p w14:paraId="13BDDB6C">
      <w:pPr>
        <w:spacing w:before="100" w:after="100" w:line="240" w:lineRule="exact"/>
      </w:pPr>
      <w:r>
        <w:rPr>
          <w:rFonts w:ascii="宋体" w:hAnsi="宋体" w:eastAsia="宋体" w:cs="宋体"/>
          <w:sz w:val="18"/>
          <w:szCs w:val="18"/>
        </w:rPr>
        <w:t>各阶段划分依据和坏账准备计提比例</w:t>
      </w:r>
    </w:p>
    <w:p w14:paraId="233E1E08">
      <w:pPr>
        <w:keepNext/>
        <w:keepLines/>
        <w:spacing w:before="300" w:after="100" w:line="280" w:lineRule="exact"/>
        <w:outlineLvl w:val="3"/>
        <w:rPr>
          <w:rFonts w:ascii="宋体" w:hAnsi="宋体" w:eastAsia="宋体" w:cs="宋体"/>
          <w:b/>
          <w:bCs/>
          <w:szCs w:val="21"/>
        </w:rPr>
      </w:pPr>
      <w:bookmarkStart w:id="245" w:name="_Toc989134"/>
      <w:r>
        <w:rPr>
          <w:rFonts w:ascii="宋体" w:hAnsi="宋体" w:eastAsia="宋体" w:cs="宋体"/>
          <w:b/>
          <w:bCs/>
          <w:szCs w:val="21"/>
        </w:rPr>
        <w:t>（3） 本期计提、收回或转回的坏账准备的情况</w:t>
      </w:r>
      <w:bookmarkEnd w:id="245"/>
    </w:p>
    <w:p w14:paraId="2112E3FD">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C4B7743">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C11489">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3DAB6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6E4796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1199F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217568BF">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2B0E78"/>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D6F63A"/>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B0C05F">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D0EA49">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B8AA0A">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C603253">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7786A6"/>
        </w:tc>
      </w:tr>
    </w:tbl>
    <w:p w14:paraId="30402414">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其中本期坏账准备转回或收回金额重要的：</w:t>
      </w:r>
    </w:p>
    <w:p w14:paraId="27B4F20D">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811895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B6ADF1">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3BF2DB">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E0A284">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C7453F">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BB84A92">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6EDAD86D">
      <w:pPr>
        <w:spacing w:before="100" w:after="100" w:line="240" w:lineRule="exact"/>
      </w:pPr>
      <w:r>
        <w:rPr>
          <w:rFonts w:ascii="宋体" w:hAnsi="宋体" w:eastAsia="宋体" w:cs="宋体"/>
          <w:sz w:val="18"/>
          <w:szCs w:val="18"/>
        </w:rPr>
        <w:t>其他说明：</w:t>
      </w:r>
    </w:p>
    <w:p w14:paraId="4DBA4F12">
      <w:pPr>
        <w:keepNext/>
        <w:keepLines/>
        <w:spacing w:before="300" w:after="100" w:line="280" w:lineRule="exact"/>
        <w:outlineLvl w:val="3"/>
        <w:rPr>
          <w:rFonts w:ascii="宋体" w:hAnsi="宋体" w:eastAsia="宋体" w:cs="宋体"/>
          <w:b/>
          <w:bCs/>
          <w:szCs w:val="21"/>
        </w:rPr>
      </w:pPr>
      <w:bookmarkStart w:id="246" w:name="_Toc989135"/>
      <w:r>
        <w:rPr>
          <w:rFonts w:ascii="宋体" w:hAnsi="宋体" w:eastAsia="宋体" w:cs="宋体"/>
          <w:b/>
          <w:bCs/>
          <w:szCs w:val="21"/>
        </w:rPr>
        <w:t>（4） 本期实际核销的长期应收款情况</w:t>
      </w:r>
      <w:bookmarkEnd w:id="246"/>
    </w:p>
    <w:p w14:paraId="7F78562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78A23DE0">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68E169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405ABF2">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032CA7D9">
      <w:pPr>
        <w:spacing w:before="100" w:after="100" w:line="240" w:lineRule="exact"/>
        <w:rPr>
          <w:rFonts w:ascii="宋体" w:hAnsi="宋体" w:eastAsia="宋体" w:cs="宋体"/>
          <w:sz w:val="18"/>
          <w:szCs w:val="18"/>
        </w:rPr>
      </w:pPr>
      <w:r>
        <w:rPr>
          <w:rFonts w:ascii="宋体" w:hAnsi="宋体" w:eastAsia="宋体" w:cs="宋体"/>
          <w:sz w:val="18"/>
          <w:szCs w:val="18"/>
        </w:rPr>
        <w:t>其中重要的长期应收款核销情况：</w:t>
      </w:r>
    </w:p>
    <w:p w14:paraId="632FF1D8">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7067B3F">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15DC649">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58CAEB1">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116A3C7">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95DD37">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544B3E">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8D74F36">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194B670F">
      <w:pPr>
        <w:spacing w:before="100" w:after="100" w:line="240" w:lineRule="exact"/>
      </w:pPr>
      <w:r>
        <w:rPr>
          <w:rFonts w:ascii="宋体" w:hAnsi="宋体" w:eastAsia="宋体" w:cs="宋体"/>
          <w:sz w:val="18"/>
          <w:szCs w:val="18"/>
        </w:rPr>
        <w:t>长期应收款核销说明：</w:t>
      </w:r>
    </w:p>
    <w:p w14:paraId="5C448A5D">
      <w:pPr>
        <w:pStyle w:val="3"/>
        <w:spacing w:after="100" w:line="280" w:lineRule="exact"/>
        <w:jc w:val="left"/>
        <w:rPr>
          <w:rFonts w:ascii="宋体" w:hAnsi="宋体" w:cs="宋体"/>
          <w:b/>
          <w:bCs/>
        </w:rPr>
      </w:pPr>
      <w:bookmarkStart w:id="247" w:name="_Toc989136"/>
      <w:r>
        <w:rPr>
          <w:rFonts w:ascii="宋体" w:hAnsi="宋体" w:cs="宋体"/>
          <w:b/>
          <w:bCs/>
        </w:rPr>
        <w:t>18、长期股权投资</w:t>
      </w:r>
      <w:bookmarkEnd w:id="247"/>
    </w:p>
    <w:p w14:paraId="4C7CF04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5"/>
        <w:gridCol w:w="741"/>
        <w:gridCol w:w="743"/>
      </w:tblGrid>
      <w:tr w14:paraId="2DDF6DEA">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1A62C7">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4C52B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E0E425E">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34151513">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D6365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FF0A464">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减值准备期末余额</w:t>
            </w:r>
          </w:p>
        </w:tc>
      </w:tr>
      <w:tr w14:paraId="054A0230">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887ED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276562B"/>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D490A7"/>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5BE3920">
            <w:pPr>
              <w:spacing w:before="40" w:after="40" w:line="240" w:lineRule="exact"/>
              <w:jc w:val="center"/>
              <w:rPr>
                <w:rFonts w:ascii="宋体" w:hAnsi="宋体" w:eastAsia="宋体" w:cs="宋体"/>
                <w:sz w:val="18"/>
                <w:szCs w:val="18"/>
              </w:rPr>
            </w:pPr>
            <w:r>
              <w:rPr>
                <w:rFonts w:ascii="宋体" w:hAnsi="宋体" w:eastAsia="宋体" w:cs="宋体"/>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DA24E2E">
            <w:pPr>
              <w:spacing w:before="40" w:after="40" w:line="240" w:lineRule="exact"/>
              <w:jc w:val="center"/>
              <w:rPr>
                <w:rFonts w:ascii="宋体" w:hAnsi="宋体" w:eastAsia="宋体" w:cs="宋体"/>
                <w:sz w:val="18"/>
                <w:szCs w:val="18"/>
              </w:rPr>
            </w:pPr>
            <w:r>
              <w:rPr>
                <w:rFonts w:ascii="宋体" w:hAnsi="宋体" w:eastAsia="宋体" w:cs="宋体"/>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69DEE1D">
            <w:pPr>
              <w:spacing w:before="40" w:after="40" w:line="240" w:lineRule="exact"/>
              <w:jc w:val="center"/>
              <w:rPr>
                <w:rFonts w:ascii="宋体" w:hAnsi="宋体" w:eastAsia="宋体" w:cs="宋体"/>
                <w:sz w:val="18"/>
                <w:szCs w:val="18"/>
              </w:rPr>
            </w:pPr>
            <w:r>
              <w:rPr>
                <w:rFonts w:ascii="宋体" w:hAnsi="宋体" w:eastAsia="宋体" w:cs="宋体"/>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3C4993E">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83796AB">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79C1257">
            <w:pPr>
              <w:spacing w:before="40" w:after="40" w:line="240" w:lineRule="exact"/>
              <w:jc w:val="center"/>
              <w:rPr>
                <w:rFonts w:ascii="宋体" w:hAnsi="宋体" w:eastAsia="宋体" w:cs="宋体"/>
                <w:sz w:val="18"/>
                <w:szCs w:val="18"/>
              </w:rPr>
            </w:pPr>
            <w:r>
              <w:rPr>
                <w:rFonts w:ascii="宋体" w:hAnsi="宋体" w:eastAsia="宋体" w:cs="宋体"/>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9783C98">
            <w:pPr>
              <w:spacing w:before="40" w:after="40" w:line="240" w:lineRule="exact"/>
              <w:jc w:val="center"/>
              <w:rPr>
                <w:rFonts w:ascii="宋体" w:hAnsi="宋体" w:eastAsia="宋体" w:cs="宋体"/>
                <w:sz w:val="18"/>
                <w:szCs w:val="18"/>
              </w:rPr>
            </w:pPr>
            <w:r>
              <w:rPr>
                <w:rFonts w:ascii="宋体" w:hAnsi="宋体" w:eastAsia="宋体" w:cs="宋体"/>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4B9546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E7F4AC"/>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A22AA0"/>
        </w:tc>
      </w:tr>
      <w:tr w14:paraId="2CE2F3AD">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0342988C">
            <w:pPr>
              <w:spacing w:before="40" w:after="40" w:line="240" w:lineRule="exact"/>
              <w:rPr>
                <w:rFonts w:ascii="宋体" w:hAnsi="宋体" w:eastAsia="宋体" w:cs="宋体"/>
                <w:sz w:val="18"/>
                <w:szCs w:val="18"/>
              </w:rPr>
            </w:pPr>
            <w:r>
              <w:rPr>
                <w:rFonts w:ascii="宋体" w:hAnsi="宋体" w:eastAsia="宋体" w:cs="宋体"/>
                <w:sz w:val="18"/>
                <w:szCs w:val="18"/>
              </w:rPr>
              <w:t>一、合营企业</w:t>
            </w:r>
          </w:p>
        </w:tc>
      </w:tr>
      <w:tr w14:paraId="4D289BF0">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19AAEBE6">
            <w:pPr>
              <w:spacing w:before="40" w:after="40" w:line="240" w:lineRule="exact"/>
              <w:rPr>
                <w:rFonts w:ascii="宋体" w:hAnsi="宋体" w:eastAsia="宋体" w:cs="宋体"/>
                <w:sz w:val="18"/>
                <w:szCs w:val="18"/>
              </w:rPr>
            </w:pPr>
            <w:r>
              <w:rPr>
                <w:rFonts w:ascii="宋体" w:hAnsi="宋体" w:eastAsia="宋体" w:cs="宋体"/>
                <w:sz w:val="18"/>
                <w:szCs w:val="18"/>
              </w:rPr>
              <w:t>二、联营企业</w:t>
            </w:r>
          </w:p>
        </w:tc>
      </w:tr>
      <w:tr w14:paraId="3B2C0B77">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9F327AC">
            <w:pPr>
              <w:spacing w:line="240" w:lineRule="exact"/>
              <w:rPr>
                <w:rFonts w:ascii="宋体" w:hAnsi="宋体" w:eastAsia="宋体" w:cs="宋体"/>
                <w:sz w:val="18"/>
                <w:szCs w:val="18"/>
              </w:rPr>
            </w:pPr>
            <w:r>
              <w:rPr>
                <w:rFonts w:ascii="宋体" w:hAnsi="宋体" w:eastAsia="宋体" w:cs="宋体"/>
                <w:sz w:val="18"/>
                <w:szCs w:val="18"/>
              </w:rPr>
              <w:t>四川恒生科技发展有限公司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7045B105">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41" w:type="dxa"/>
            <w:tcBorders>
              <w:top w:val="single" w:color="auto" w:sz="2" w:space="0"/>
              <w:left w:val="single" w:color="auto" w:sz="2" w:space="0"/>
              <w:bottom w:val="single" w:color="auto" w:sz="2" w:space="0"/>
              <w:right w:val="single" w:color="auto" w:sz="2" w:space="0"/>
            </w:tcBorders>
            <w:vAlign w:val="center"/>
          </w:tcPr>
          <w:p w14:paraId="3CA50E3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1F487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2CF4ED">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BCD1D6">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41" w:type="dxa"/>
            <w:tcBorders>
              <w:top w:val="single" w:color="auto" w:sz="2" w:space="0"/>
              <w:left w:val="single" w:color="auto" w:sz="2" w:space="0"/>
              <w:bottom w:val="single" w:color="auto" w:sz="2" w:space="0"/>
              <w:right w:val="single" w:color="auto" w:sz="2" w:space="0"/>
            </w:tcBorders>
            <w:vAlign w:val="center"/>
          </w:tcPr>
          <w:p w14:paraId="13CAB8E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23CB8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431B6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7F552C">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F3648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639BE2">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41" w:type="dxa"/>
            <w:tcBorders>
              <w:top w:val="single" w:color="auto" w:sz="2" w:space="0"/>
              <w:left w:val="single" w:color="auto" w:sz="2" w:space="0"/>
              <w:bottom w:val="single" w:color="auto" w:sz="2" w:space="0"/>
              <w:right w:val="single" w:color="auto" w:sz="2" w:space="0"/>
            </w:tcBorders>
            <w:vAlign w:val="center"/>
          </w:tcPr>
          <w:p w14:paraId="1F5FD99C">
            <w:pPr>
              <w:spacing w:line="240" w:lineRule="exact"/>
              <w:jc w:val="right"/>
              <w:rPr>
                <w:rFonts w:ascii="宋体" w:hAnsi="宋体" w:eastAsia="宋体" w:cs="宋体"/>
                <w:sz w:val="18"/>
                <w:szCs w:val="18"/>
              </w:rPr>
            </w:pPr>
          </w:p>
        </w:tc>
      </w:tr>
      <w:tr w14:paraId="2FD0CD68">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3C0AD3F">
            <w:pPr>
              <w:spacing w:line="240" w:lineRule="exact"/>
              <w:rPr>
                <w:rFonts w:ascii="宋体" w:hAnsi="宋体" w:eastAsia="宋体" w:cs="宋体"/>
                <w:sz w:val="18"/>
                <w:szCs w:val="18"/>
              </w:rPr>
            </w:pPr>
            <w:r>
              <w:rPr>
                <w:rFonts w:ascii="宋体" w:hAnsi="宋体" w:eastAsia="宋体" w:cs="宋体"/>
                <w:sz w:val="18"/>
                <w:szCs w:val="18"/>
              </w:rPr>
              <w:t>苏州华信善达力创投资企业（有限合伙）</w:t>
            </w:r>
          </w:p>
        </w:tc>
        <w:tc>
          <w:tcPr>
            <w:tcW w:w="741" w:type="dxa"/>
            <w:tcBorders>
              <w:top w:val="single" w:color="auto" w:sz="2" w:space="0"/>
              <w:left w:val="single" w:color="auto" w:sz="2" w:space="0"/>
              <w:bottom w:val="single" w:color="auto" w:sz="2" w:space="0"/>
              <w:right w:val="single" w:color="auto" w:sz="2" w:space="0"/>
            </w:tcBorders>
            <w:vAlign w:val="center"/>
          </w:tcPr>
          <w:p w14:paraId="31C31BA2">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2507F636">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741" w:type="dxa"/>
            <w:tcBorders>
              <w:top w:val="single" w:color="auto" w:sz="2" w:space="0"/>
              <w:left w:val="single" w:color="auto" w:sz="2" w:space="0"/>
              <w:bottom w:val="single" w:color="auto" w:sz="2" w:space="0"/>
              <w:right w:val="single" w:color="auto" w:sz="2" w:space="0"/>
            </w:tcBorders>
            <w:vAlign w:val="center"/>
          </w:tcPr>
          <w:p w14:paraId="3D7D3FB9">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026856">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6973B3">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88664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C994BA">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5B8DF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623A3D">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560F326">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5CF377">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3FF4DD0B">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r w14:paraId="39120041">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864E386">
            <w:pPr>
              <w:spacing w:before="40" w:after="40" w:line="240" w:lineRule="exact"/>
              <w:rPr>
                <w:rFonts w:ascii="宋体" w:hAnsi="宋体" w:eastAsia="宋体" w:cs="宋体"/>
                <w:sz w:val="18"/>
                <w:szCs w:val="18"/>
              </w:rPr>
            </w:pPr>
            <w:r>
              <w:rPr>
                <w:rFonts w:ascii="宋体" w:hAnsi="宋体" w:eastAsia="宋体" w:cs="宋体"/>
                <w:sz w:val="18"/>
                <w:szCs w:val="18"/>
              </w:rPr>
              <w:t>小计</w:t>
            </w:r>
          </w:p>
        </w:tc>
        <w:tc>
          <w:tcPr>
            <w:tcW w:w="741" w:type="dxa"/>
            <w:tcBorders>
              <w:top w:val="single" w:color="auto" w:sz="2" w:space="0"/>
              <w:left w:val="single" w:color="auto" w:sz="2" w:space="0"/>
              <w:bottom w:val="single" w:color="auto" w:sz="2" w:space="0"/>
              <w:right w:val="single" w:color="auto" w:sz="2" w:space="0"/>
            </w:tcBorders>
            <w:vAlign w:val="center"/>
          </w:tcPr>
          <w:p w14:paraId="5179763A">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41" w:type="dxa"/>
            <w:tcBorders>
              <w:top w:val="single" w:color="auto" w:sz="2" w:space="0"/>
              <w:left w:val="single" w:color="auto" w:sz="2" w:space="0"/>
              <w:bottom w:val="single" w:color="auto" w:sz="2" w:space="0"/>
              <w:right w:val="single" w:color="auto" w:sz="2" w:space="0"/>
            </w:tcBorders>
            <w:vAlign w:val="center"/>
          </w:tcPr>
          <w:p w14:paraId="3BB9744D">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741" w:type="dxa"/>
            <w:tcBorders>
              <w:top w:val="single" w:color="auto" w:sz="2" w:space="0"/>
              <w:left w:val="single" w:color="auto" w:sz="2" w:space="0"/>
              <w:bottom w:val="single" w:color="auto" w:sz="2" w:space="0"/>
              <w:right w:val="single" w:color="auto" w:sz="2" w:space="0"/>
            </w:tcBorders>
            <w:vAlign w:val="center"/>
          </w:tcPr>
          <w:p w14:paraId="54AF70A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81D03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1CEEF9">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41" w:type="dxa"/>
            <w:tcBorders>
              <w:top w:val="single" w:color="auto" w:sz="2" w:space="0"/>
              <w:left w:val="single" w:color="auto" w:sz="2" w:space="0"/>
              <w:bottom w:val="single" w:color="auto" w:sz="2" w:space="0"/>
              <w:right w:val="single" w:color="auto" w:sz="2" w:space="0"/>
            </w:tcBorders>
            <w:vAlign w:val="center"/>
          </w:tcPr>
          <w:p w14:paraId="5508940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22EA7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8AAE7A">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545BD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53C83B">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354EB5">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41" w:type="dxa"/>
            <w:tcBorders>
              <w:top w:val="single" w:color="auto" w:sz="2" w:space="0"/>
              <w:left w:val="single" w:color="auto" w:sz="2" w:space="0"/>
              <w:bottom w:val="single" w:color="auto" w:sz="2" w:space="0"/>
              <w:right w:val="single" w:color="auto" w:sz="2" w:space="0"/>
            </w:tcBorders>
            <w:vAlign w:val="center"/>
          </w:tcPr>
          <w:p w14:paraId="7A195655">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r w14:paraId="666311DD">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2A07D6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61F6BBD1">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41" w:type="dxa"/>
            <w:tcBorders>
              <w:top w:val="single" w:color="auto" w:sz="2" w:space="0"/>
              <w:left w:val="single" w:color="auto" w:sz="2" w:space="0"/>
              <w:bottom w:val="single" w:color="auto" w:sz="2" w:space="0"/>
              <w:right w:val="single" w:color="auto" w:sz="2" w:space="0"/>
            </w:tcBorders>
            <w:vAlign w:val="center"/>
          </w:tcPr>
          <w:p w14:paraId="51902901">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741" w:type="dxa"/>
            <w:tcBorders>
              <w:top w:val="single" w:color="auto" w:sz="2" w:space="0"/>
              <w:left w:val="single" w:color="auto" w:sz="2" w:space="0"/>
              <w:bottom w:val="single" w:color="auto" w:sz="2" w:space="0"/>
              <w:right w:val="single" w:color="auto" w:sz="2" w:space="0"/>
            </w:tcBorders>
            <w:vAlign w:val="center"/>
          </w:tcPr>
          <w:p w14:paraId="2281E14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AD5449">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876462">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41" w:type="dxa"/>
            <w:tcBorders>
              <w:top w:val="single" w:color="auto" w:sz="2" w:space="0"/>
              <w:left w:val="single" w:color="auto" w:sz="2" w:space="0"/>
              <w:bottom w:val="single" w:color="auto" w:sz="2" w:space="0"/>
              <w:right w:val="single" w:color="auto" w:sz="2" w:space="0"/>
            </w:tcBorders>
            <w:vAlign w:val="center"/>
          </w:tcPr>
          <w:p w14:paraId="2C230B26">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6F7AE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ACB08C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1C5C6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110E50">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5F16CA">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41" w:type="dxa"/>
            <w:tcBorders>
              <w:top w:val="single" w:color="auto" w:sz="2" w:space="0"/>
              <w:left w:val="single" w:color="auto" w:sz="2" w:space="0"/>
              <w:bottom w:val="single" w:color="auto" w:sz="2" w:space="0"/>
              <w:right w:val="single" w:color="auto" w:sz="2" w:space="0"/>
            </w:tcBorders>
            <w:vAlign w:val="center"/>
          </w:tcPr>
          <w:p w14:paraId="64FA0372">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bl>
    <w:p w14:paraId="01B1493E">
      <w:pPr>
        <w:spacing w:before="100" w:after="100" w:line="240" w:lineRule="exac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09538FF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5C6B24C">
      <w:pPr>
        <w:spacing w:before="100" w:after="100" w:line="240" w:lineRule="exact"/>
        <w:rPr>
          <w:rFonts w:ascii="宋体" w:hAnsi="宋体" w:eastAsia="宋体" w:cs="宋体"/>
          <w:sz w:val="18"/>
          <w:szCs w:val="18"/>
        </w:rPr>
      </w:pPr>
      <w:r>
        <w:rPr>
          <w:rFonts w:ascii="宋体" w:hAnsi="宋体" w:eastAsia="宋体" w:cs="宋体"/>
          <w:sz w:val="18"/>
          <w:szCs w:val="18"/>
        </w:rPr>
        <w:t>可收回金额按预计未来现金流量的现值确定</w:t>
      </w:r>
    </w:p>
    <w:p w14:paraId="12B30DF5">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B50ADE7">
      <w:pPr>
        <w:spacing w:before="100" w:after="100" w:line="240" w:lineRule="exact"/>
      </w:pPr>
      <w:r>
        <w:rPr>
          <w:rFonts w:ascii="宋体" w:hAnsi="宋体" w:eastAsia="宋体" w:cs="宋体"/>
          <w:sz w:val="18"/>
          <w:szCs w:val="18"/>
        </w:rPr>
        <w:t>前述信息与以前年度减值测试采用的信息或外部信息明显不一致的差异原因</w:t>
      </w:r>
    </w:p>
    <w:p w14:paraId="7834B41F">
      <w:pPr>
        <w:spacing w:before="100" w:after="100" w:line="240" w:lineRule="exact"/>
      </w:pPr>
      <w:r>
        <w:rPr>
          <w:rFonts w:ascii="宋体" w:hAnsi="宋体" w:eastAsia="宋体" w:cs="宋体"/>
          <w:sz w:val="18"/>
          <w:szCs w:val="18"/>
        </w:rPr>
        <w:t>公司以前年度减值测试采用信息与当年实际情况明显不一致的差异原因</w:t>
      </w:r>
    </w:p>
    <w:p w14:paraId="60B95F89">
      <w:pPr>
        <w:spacing w:before="100" w:after="100" w:line="240" w:lineRule="exact"/>
      </w:pPr>
      <w:r>
        <w:rPr>
          <w:rFonts w:ascii="宋体" w:hAnsi="宋体" w:eastAsia="宋体" w:cs="宋体"/>
          <w:sz w:val="18"/>
          <w:szCs w:val="18"/>
        </w:rPr>
        <w:t>其他说明</w:t>
      </w:r>
    </w:p>
    <w:p w14:paraId="1119F303">
      <w:pPr>
        <w:pStyle w:val="3"/>
        <w:spacing w:after="100" w:line="280" w:lineRule="exact"/>
        <w:jc w:val="left"/>
        <w:rPr>
          <w:rFonts w:ascii="宋体" w:hAnsi="宋体" w:cs="宋体"/>
          <w:b/>
          <w:bCs/>
        </w:rPr>
      </w:pPr>
      <w:bookmarkStart w:id="248" w:name="_Toc989137"/>
      <w:r>
        <w:rPr>
          <w:rFonts w:ascii="宋体" w:hAnsi="宋体" w:cs="宋体"/>
          <w:b/>
          <w:bCs/>
        </w:rPr>
        <w:t>19、其他非流动金融资产</w:t>
      </w:r>
      <w:bookmarkEnd w:id="248"/>
    </w:p>
    <w:p w14:paraId="2B8C852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853" w:type="dxa"/>
        <w:tblInd w:w="0" w:type="dxa"/>
        <w:tblLayout w:type="fixed"/>
        <w:tblCellMar>
          <w:top w:w="0" w:type="dxa"/>
          <w:left w:w="0" w:type="dxa"/>
          <w:bottom w:w="0" w:type="dxa"/>
          <w:right w:w="0" w:type="dxa"/>
        </w:tblCellMar>
      </w:tblPr>
      <w:tblGrid>
        <w:gridCol w:w="5896"/>
        <w:gridCol w:w="1809"/>
        <w:gridCol w:w="2148"/>
      </w:tblGrid>
      <w:tr w14:paraId="6593C923">
        <w:trPr>
          <w:trHeight w:val="397" w:hRule="atLeast"/>
        </w:trPr>
        <w:tc>
          <w:tcPr>
            <w:tcW w:w="58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EB365F3">
            <w:pPr>
              <w:pStyle w:val="9"/>
              <w:spacing w:before="0" w:beforeAutospacing="0" w:after="0" w:afterAutospacing="0"/>
              <w:ind w:left="-36" w:right="-78" w:firstLine="4"/>
              <w:jc w:val="center"/>
              <w:rPr>
                <w:sz w:val="18"/>
                <w:szCs w:val="18"/>
              </w:rPr>
            </w:pPr>
            <w:r>
              <w:rPr>
                <w:rStyle w:val="13"/>
                <w:rFonts w:hint="eastAsia"/>
                <w:color w:val="000000"/>
                <w:sz w:val="18"/>
                <w:szCs w:val="18"/>
              </w:rPr>
              <w:t>项  目</w:t>
            </w:r>
          </w:p>
        </w:tc>
        <w:tc>
          <w:tcPr>
            <w:tcW w:w="180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35B0048">
            <w:pPr>
              <w:pStyle w:val="9"/>
              <w:spacing w:before="0" w:beforeAutospacing="0" w:after="0" w:afterAutospacing="0"/>
              <w:ind w:left="-36" w:right="-78" w:firstLine="4"/>
              <w:jc w:val="center"/>
              <w:rPr>
                <w:sz w:val="18"/>
                <w:szCs w:val="18"/>
              </w:rPr>
            </w:pPr>
            <w:r>
              <w:rPr>
                <w:rStyle w:val="13"/>
                <w:rFonts w:hint="eastAsia"/>
                <w:color w:val="000000"/>
                <w:sz w:val="18"/>
                <w:szCs w:val="18"/>
              </w:rPr>
              <w:t>期末余额</w:t>
            </w:r>
          </w:p>
        </w:tc>
        <w:tc>
          <w:tcPr>
            <w:tcW w:w="214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5269E4C">
            <w:pPr>
              <w:pStyle w:val="9"/>
              <w:spacing w:before="0" w:beforeAutospacing="0" w:after="0" w:afterAutospacing="0"/>
              <w:ind w:left="-36" w:right="-78" w:firstLine="4"/>
              <w:jc w:val="center"/>
              <w:rPr>
                <w:sz w:val="18"/>
                <w:szCs w:val="18"/>
              </w:rPr>
            </w:pPr>
            <w:r>
              <w:rPr>
                <w:rStyle w:val="13"/>
                <w:rFonts w:hint="eastAsia"/>
                <w:color w:val="000000"/>
                <w:sz w:val="18"/>
                <w:szCs w:val="18"/>
              </w:rPr>
              <w:t>期初余额</w:t>
            </w:r>
          </w:p>
        </w:tc>
      </w:tr>
      <w:tr w14:paraId="71258F69">
        <w:trPr>
          <w:trHeight w:val="397" w:hRule="atLeast"/>
        </w:trPr>
        <w:tc>
          <w:tcPr>
            <w:tcW w:w="589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98238C">
            <w:pPr>
              <w:pStyle w:val="9"/>
              <w:spacing w:before="0" w:beforeAutospacing="0" w:after="0" w:afterAutospacing="0"/>
              <w:rPr>
                <w:sz w:val="18"/>
                <w:szCs w:val="18"/>
              </w:rPr>
            </w:pPr>
            <w:r>
              <w:rPr>
                <w:rFonts w:hint="eastAsia"/>
                <w:color w:val="000000"/>
                <w:sz w:val="18"/>
                <w:szCs w:val="18"/>
              </w:rPr>
              <w:t>以公允价值计量且其变动计入当期损益的金融资产</w:t>
            </w:r>
          </w:p>
        </w:tc>
        <w:tc>
          <w:tcPr>
            <w:tcW w:w="180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9897E9">
            <w:pPr>
              <w:pStyle w:val="9"/>
              <w:spacing w:before="0" w:beforeAutospacing="0" w:after="18" w:afterAutospacing="0"/>
              <w:ind w:left="19" w:right="-92" w:firstLine="378"/>
              <w:jc w:val="right"/>
              <w:textAlignment w:val="center"/>
              <w:rPr>
                <w:sz w:val="18"/>
                <w:szCs w:val="18"/>
              </w:rPr>
            </w:pPr>
            <w:r>
              <w:rPr>
                <w:rFonts w:hint="eastAsia"/>
                <w:color w:val="000000"/>
                <w:sz w:val="18"/>
                <w:szCs w:val="18"/>
              </w:rPr>
              <w:t>7,525,693.99</w:t>
            </w:r>
          </w:p>
        </w:tc>
        <w:tc>
          <w:tcPr>
            <w:tcW w:w="2148" w:type="dxa"/>
            <w:tcBorders>
              <w:top w:val="nil"/>
              <w:left w:val="nil"/>
              <w:bottom w:val="single" w:color="auto" w:sz="8" w:space="0"/>
              <w:right w:val="single" w:color="auto" w:sz="8" w:space="0"/>
            </w:tcBorders>
            <w:tcMar>
              <w:top w:w="0" w:type="dxa"/>
              <w:left w:w="108" w:type="dxa"/>
              <w:bottom w:w="0" w:type="dxa"/>
              <w:right w:w="108" w:type="dxa"/>
            </w:tcMar>
            <w:vAlign w:val="center"/>
          </w:tcPr>
          <w:p w14:paraId="1D08AEC5">
            <w:pPr>
              <w:pStyle w:val="9"/>
              <w:spacing w:before="0" w:beforeAutospacing="0" w:after="0" w:afterAutospacing="0"/>
              <w:ind w:left="19" w:right="-92" w:firstLine="378"/>
              <w:jc w:val="right"/>
              <w:rPr>
                <w:sz w:val="18"/>
                <w:szCs w:val="18"/>
              </w:rPr>
            </w:pPr>
            <w:r>
              <w:rPr>
                <w:rFonts w:hint="eastAsia"/>
                <w:color w:val="000000"/>
                <w:sz w:val="18"/>
                <w:szCs w:val="18"/>
              </w:rPr>
              <w:t>7,525,693.99</w:t>
            </w:r>
          </w:p>
        </w:tc>
      </w:tr>
      <w:tr w14:paraId="0A69A705">
        <w:trPr>
          <w:trHeight w:val="397" w:hRule="atLeast"/>
        </w:trPr>
        <w:tc>
          <w:tcPr>
            <w:tcW w:w="589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8FB92CD">
            <w:pPr>
              <w:pStyle w:val="9"/>
              <w:spacing w:before="0" w:beforeAutospacing="0" w:after="0" w:afterAutospacing="0"/>
              <w:rPr>
                <w:sz w:val="18"/>
                <w:szCs w:val="18"/>
              </w:rPr>
            </w:pPr>
            <w:r>
              <w:rPr>
                <w:rFonts w:hint="eastAsia"/>
                <w:color w:val="000000"/>
                <w:sz w:val="18"/>
                <w:szCs w:val="18"/>
              </w:rPr>
              <w:t>其中：债务工具投资</w:t>
            </w:r>
          </w:p>
        </w:tc>
        <w:tc>
          <w:tcPr>
            <w:tcW w:w="180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3B8C6D">
            <w:pPr>
              <w:pStyle w:val="9"/>
              <w:spacing w:before="0" w:beforeAutospacing="0" w:after="18" w:afterAutospacing="0"/>
              <w:ind w:left="19" w:right="-92" w:firstLine="378"/>
              <w:jc w:val="right"/>
              <w:textAlignment w:val="center"/>
              <w:rPr>
                <w:sz w:val="18"/>
                <w:szCs w:val="18"/>
              </w:rPr>
            </w:pPr>
            <w:r>
              <w:rPr>
                <w:rFonts w:hint="eastAsia"/>
                <w:sz w:val="18"/>
                <w:szCs w:val="18"/>
              </w:rPr>
              <w:t> </w:t>
            </w:r>
          </w:p>
        </w:tc>
        <w:tc>
          <w:tcPr>
            <w:tcW w:w="2148" w:type="dxa"/>
            <w:tcBorders>
              <w:top w:val="nil"/>
              <w:left w:val="nil"/>
              <w:bottom w:val="single" w:color="auto" w:sz="8" w:space="0"/>
              <w:right w:val="single" w:color="auto" w:sz="8" w:space="0"/>
            </w:tcBorders>
            <w:tcMar>
              <w:top w:w="0" w:type="dxa"/>
              <w:left w:w="108" w:type="dxa"/>
              <w:bottom w:w="0" w:type="dxa"/>
              <w:right w:w="108" w:type="dxa"/>
            </w:tcMar>
            <w:vAlign w:val="center"/>
          </w:tcPr>
          <w:p w14:paraId="65871626">
            <w:pPr>
              <w:pStyle w:val="9"/>
              <w:spacing w:before="0" w:beforeAutospacing="0" w:after="0" w:afterAutospacing="0"/>
              <w:ind w:left="19" w:right="-92" w:firstLine="378"/>
              <w:jc w:val="right"/>
              <w:rPr>
                <w:sz w:val="18"/>
                <w:szCs w:val="18"/>
              </w:rPr>
            </w:pPr>
            <w:r>
              <w:rPr>
                <w:rFonts w:hint="eastAsia"/>
                <w:color w:val="000000"/>
                <w:sz w:val="18"/>
                <w:szCs w:val="18"/>
              </w:rPr>
              <w:t> </w:t>
            </w:r>
          </w:p>
        </w:tc>
      </w:tr>
      <w:tr w14:paraId="3C48DA0D">
        <w:trPr>
          <w:trHeight w:val="397" w:hRule="atLeast"/>
        </w:trPr>
        <w:tc>
          <w:tcPr>
            <w:tcW w:w="589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2391DEC">
            <w:pPr>
              <w:pStyle w:val="9"/>
              <w:spacing w:before="0" w:beforeAutospacing="0" w:after="0" w:afterAutospacing="0"/>
              <w:ind w:firstLine="630"/>
              <w:rPr>
                <w:sz w:val="18"/>
                <w:szCs w:val="18"/>
              </w:rPr>
            </w:pPr>
            <w:r>
              <w:rPr>
                <w:rFonts w:hint="eastAsia"/>
                <w:color w:val="000000"/>
                <w:sz w:val="18"/>
                <w:szCs w:val="18"/>
              </w:rPr>
              <w:t>权益工具投资</w:t>
            </w:r>
          </w:p>
        </w:tc>
        <w:tc>
          <w:tcPr>
            <w:tcW w:w="180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3D9591">
            <w:pPr>
              <w:pStyle w:val="9"/>
              <w:spacing w:before="0" w:beforeAutospacing="0" w:after="18" w:afterAutospacing="0"/>
              <w:ind w:left="19" w:right="-92" w:firstLine="378"/>
              <w:jc w:val="right"/>
              <w:textAlignment w:val="center"/>
              <w:rPr>
                <w:sz w:val="18"/>
                <w:szCs w:val="18"/>
              </w:rPr>
            </w:pPr>
            <w:r>
              <w:rPr>
                <w:rFonts w:hint="eastAsia"/>
                <w:color w:val="000000"/>
                <w:sz w:val="18"/>
                <w:szCs w:val="18"/>
              </w:rPr>
              <w:t xml:space="preserve"> 7,525,693.99 </w:t>
            </w:r>
          </w:p>
        </w:tc>
        <w:tc>
          <w:tcPr>
            <w:tcW w:w="2148" w:type="dxa"/>
            <w:tcBorders>
              <w:top w:val="nil"/>
              <w:left w:val="nil"/>
              <w:bottom w:val="single" w:color="auto" w:sz="8" w:space="0"/>
              <w:right w:val="single" w:color="auto" w:sz="8" w:space="0"/>
            </w:tcBorders>
            <w:tcMar>
              <w:top w:w="0" w:type="dxa"/>
              <w:left w:w="108" w:type="dxa"/>
              <w:bottom w:w="0" w:type="dxa"/>
              <w:right w:w="108" w:type="dxa"/>
            </w:tcMar>
            <w:vAlign w:val="center"/>
          </w:tcPr>
          <w:p w14:paraId="399FA34F">
            <w:pPr>
              <w:pStyle w:val="9"/>
              <w:spacing w:before="0" w:beforeAutospacing="0" w:after="0" w:afterAutospacing="0"/>
              <w:ind w:left="19" w:right="-92" w:firstLine="378"/>
              <w:jc w:val="right"/>
              <w:rPr>
                <w:sz w:val="18"/>
                <w:szCs w:val="18"/>
              </w:rPr>
            </w:pPr>
            <w:r>
              <w:rPr>
                <w:rFonts w:hint="eastAsia"/>
                <w:color w:val="000000"/>
                <w:sz w:val="18"/>
                <w:szCs w:val="18"/>
              </w:rPr>
              <w:t xml:space="preserve"> 7,525,693.99 </w:t>
            </w:r>
          </w:p>
        </w:tc>
      </w:tr>
      <w:tr w14:paraId="2A2A6DF2">
        <w:trPr>
          <w:trHeight w:val="397" w:hRule="atLeast"/>
        </w:trPr>
        <w:tc>
          <w:tcPr>
            <w:tcW w:w="589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E20215">
            <w:pPr>
              <w:pStyle w:val="9"/>
              <w:spacing w:before="0" w:beforeAutospacing="0" w:after="0" w:afterAutospacing="0"/>
              <w:rPr>
                <w:sz w:val="18"/>
                <w:szCs w:val="18"/>
              </w:rPr>
            </w:pPr>
            <w:r>
              <w:rPr>
                <w:rFonts w:hint="eastAsia"/>
                <w:color w:val="000000"/>
                <w:sz w:val="18"/>
                <w:szCs w:val="18"/>
              </w:rPr>
              <w:t>减：其他非流动金融资产减值准备</w:t>
            </w:r>
          </w:p>
        </w:tc>
        <w:tc>
          <w:tcPr>
            <w:tcW w:w="18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76C5E7">
            <w:pPr>
              <w:pStyle w:val="9"/>
              <w:spacing w:before="0" w:beforeAutospacing="0" w:after="18" w:afterAutospacing="0"/>
              <w:ind w:left="19" w:right="-92" w:firstLine="378"/>
              <w:jc w:val="right"/>
              <w:textAlignment w:val="center"/>
              <w:rPr>
                <w:sz w:val="18"/>
                <w:szCs w:val="18"/>
              </w:rPr>
            </w:pPr>
            <w:r>
              <w:rPr>
                <w:rFonts w:hint="eastAsia"/>
                <w:color w:val="000000"/>
                <w:sz w:val="18"/>
                <w:szCs w:val="18"/>
              </w:rPr>
              <w:t>7,525,693.99</w:t>
            </w:r>
          </w:p>
        </w:tc>
        <w:tc>
          <w:tcPr>
            <w:tcW w:w="2148" w:type="dxa"/>
            <w:tcBorders>
              <w:top w:val="nil"/>
              <w:left w:val="nil"/>
              <w:bottom w:val="single" w:color="auto" w:sz="8" w:space="0"/>
              <w:right w:val="single" w:color="auto" w:sz="8" w:space="0"/>
            </w:tcBorders>
            <w:tcMar>
              <w:top w:w="0" w:type="dxa"/>
              <w:left w:w="108" w:type="dxa"/>
              <w:bottom w:w="0" w:type="dxa"/>
              <w:right w:w="108" w:type="dxa"/>
            </w:tcMar>
            <w:vAlign w:val="center"/>
          </w:tcPr>
          <w:p w14:paraId="75932CCB">
            <w:pPr>
              <w:pStyle w:val="9"/>
              <w:spacing w:before="0" w:beforeAutospacing="0" w:after="0" w:afterAutospacing="0"/>
              <w:ind w:left="19" w:right="-92" w:firstLine="378"/>
              <w:jc w:val="right"/>
              <w:rPr>
                <w:sz w:val="18"/>
                <w:szCs w:val="18"/>
              </w:rPr>
            </w:pPr>
            <w:r>
              <w:rPr>
                <w:rFonts w:hint="eastAsia"/>
                <w:color w:val="000000"/>
                <w:sz w:val="18"/>
                <w:szCs w:val="18"/>
              </w:rPr>
              <w:t>7,525,693.99</w:t>
            </w:r>
          </w:p>
        </w:tc>
      </w:tr>
    </w:tbl>
    <w:p w14:paraId="5906D57B">
      <w:pPr>
        <w:spacing w:before="100" w:after="100" w:line="240" w:lineRule="exact"/>
      </w:pPr>
      <w:r>
        <w:rPr>
          <w:rFonts w:ascii="宋体" w:hAnsi="宋体" w:eastAsia="宋体" w:cs="宋体"/>
          <w:sz w:val="18"/>
          <w:szCs w:val="18"/>
        </w:rPr>
        <w:t>其他说明：</w:t>
      </w:r>
    </w:p>
    <w:p w14:paraId="032F88CB">
      <w:pPr>
        <w:pStyle w:val="3"/>
        <w:spacing w:after="100" w:line="280" w:lineRule="exact"/>
        <w:jc w:val="left"/>
        <w:rPr>
          <w:rFonts w:ascii="宋体" w:hAnsi="宋体" w:cs="宋体"/>
          <w:b/>
          <w:bCs/>
        </w:rPr>
      </w:pPr>
      <w:bookmarkStart w:id="249" w:name="_Toc989138"/>
      <w:r>
        <w:rPr>
          <w:rFonts w:ascii="宋体" w:hAnsi="宋体" w:cs="宋体"/>
          <w:b/>
          <w:bCs/>
        </w:rPr>
        <w:t>20、投资性房地产</w:t>
      </w:r>
      <w:bookmarkEnd w:id="249"/>
    </w:p>
    <w:p w14:paraId="519F9575">
      <w:pPr>
        <w:keepNext/>
        <w:keepLines/>
        <w:spacing w:before="300" w:after="100" w:line="280" w:lineRule="exact"/>
        <w:outlineLvl w:val="3"/>
        <w:rPr>
          <w:rFonts w:ascii="宋体" w:hAnsi="宋体" w:eastAsia="宋体" w:cs="宋体"/>
          <w:b/>
          <w:bCs/>
          <w:sz w:val="18"/>
          <w:szCs w:val="18"/>
        </w:rPr>
      </w:pPr>
      <w:bookmarkStart w:id="250" w:name="_Toc989139"/>
      <w:r>
        <w:rPr>
          <w:rFonts w:ascii="宋体" w:hAnsi="宋体" w:eastAsia="宋体" w:cs="宋体"/>
          <w:b/>
          <w:bCs/>
          <w:sz w:val="18"/>
          <w:szCs w:val="18"/>
        </w:rPr>
        <w:t>（1） 采用成本计量模式的投资性房地产</w:t>
      </w:r>
      <w:bookmarkEnd w:id="250"/>
    </w:p>
    <w:p w14:paraId="72358ECE">
      <w:pPr>
        <w:spacing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BB47BDC">
      <w:pPr>
        <w:keepNext/>
        <w:keepLines/>
        <w:spacing w:before="300" w:after="100" w:line="280" w:lineRule="exact"/>
        <w:outlineLvl w:val="3"/>
        <w:rPr>
          <w:rFonts w:ascii="宋体" w:hAnsi="宋体" w:eastAsia="宋体" w:cs="宋体"/>
          <w:b/>
          <w:bCs/>
          <w:sz w:val="18"/>
          <w:szCs w:val="18"/>
        </w:rPr>
      </w:pPr>
      <w:bookmarkStart w:id="251" w:name="_Toc989140"/>
      <w:r>
        <w:rPr>
          <w:rFonts w:ascii="宋体" w:hAnsi="宋体" w:eastAsia="宋体" w:cs="宋体"/>
          <w:b/>
          <w:bCs/>
          <w:sz w:val="18"/>
          <w:szCs w:val="18"/>
        </w:rPr>
        <w:t>（2） 采用公允价值计量模式的投资性房地产</w:t>
      </w:r>
      <w:bookmarkEnd w:id="251"/>
    </w:p>
    <w:p w14:paraId="260066B0">
      <w:pPr>
        <w:spacing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8703784">
      <w:pPr>
        <w:keepNext/>
        <w:keepLines/>
        <w:spacing w:before="300" w:after="100" w:line="280" w:lineRule="exact"/>
        <w:outlineLvl w:val="3"/>
        <w:rPr>
          <w:rFonts w:ascii="宋体" w:hAnsi="宋体" w:eastAsia="宋体" w:cs="宋体"/>
          <w:b/>
          <w:bCs/>
          <w:sz w:val="18"/>
          <w:szCs w:val="18"/>
        </w:rPr>
      </w:pPr>
      <w:bookmarkStart w:id="252" w:name="_Toc989141"/>
      <w:r>
        <w:rPr>
          <w:rFonts w:ascii="宋体" w:hAnsi="宋体" w:eastAsia="宋体" w:cs="宋体"/>
          <w:b/>
          <w:bCs/>
          <w:sz w:val="18"/>
          <w:szCs w:val="18"/>
        </w:rPr>
        <w:t>（3） 转换为投资性房地产并采用公允价值计量</w:t>
      </w:r>
      <w:bookmarkEnd w:id="252"/>
    </w:p>
    <w:p w14:paraId="040EAB0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DB48302">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C410E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9C9FE5C">
            <w:pPr>
              <w:spacing w:before="40" w:after="40" w:line="240" w:lineRule="exact"/>
              <w:jc w:val="center"/>
              <w:rPr>
                <w:rFonts w:ascii="宋体" w:hAnsi="宋体" w:eastAsia="宋体" w:cs="宋体"/>
                <w:sz w:val="18"/>
                <w:szCs w:val="18"/>
              </w:rPr>
            </w:pPr>
            <w:r>
              <w:rPr>
                <w:rFonts w:ascii="宋体" w:hAnsi="宋体" w:eastAsia="宋体" w:cs="宋体"/>
                <w:sz w:val="18"/>
                <w:szCs w:val="18"/>
              </w:rPr>
              <w:t>转换前核算科目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2FD3FA">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6E425BD">
            <w:pPr>
              <w:spacing w:before="40" w:after="40" w:line="240" w:lineRule="exact"/>
              <w:jc w:val="center"/>
              <w:rPr>
                <w:rFonts w:ascii="宋体" w:hAnsi="宋体" w:eastAsia="宋体" w:cs="宋体"/>
                <w:sz w:val="18"/>
                <w:szCs w:val="18"/>
              </w:rPr>
            </w:pPr>
            <w:r>
              <w:rPr>
                <w:rFonts w:ascii="宋体" w:hAnsi="宋体" w:eastAsia="宋体" w:cs="宋体"/>
                <w:sz w:val="18"/>
                <w:szCs w:val="18"/>
              </w:rPr>
              <w:t>转换理由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88B0AE">
            <w:pPr>
              <w:spacing w:before="40" w:after="40" w:line="240" w:lineRule="exact"/>
              <w:jc w:val="center"/>
              <w:rPr>
                <w:rFonts w:ascii="宋体" w:hAnsi="宋体" w:eastAsia="宋体" w:cs="宋体"/>
                <w:sz w:val="18"/>
                <w:szCs w:val="18"/>
              </w:rPr>
            </w:pPr>
            <w:r>
              <w:rPr>
                <w:rFonts w:ascii="宋体" w:hAnsi="宋体" w:eastAsia="宋体" w:cs="宋体"/>
                <w:sz w:val="18"/>
                <w:szCs w:val="18"/>
              </w:rPr>
              <w:t>审批程序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BEEE810">
            <w:pPr>
              <w:spacing w:before="40" w:after="40" w:line="240" w:lineRule="exact"/>
              <w:jc w:val="center"/>
              <w:rPr>
                <w:rFonts w:ascii="宋体" w:hAnsi="宋体" w:eastAsia="宋体" w:cs="宋体"/>
                <w:sz w:val="18"/>
                <w:szCs w:val="18"/>
              </w:rPr>
            </w:pPr>
            <w:r>
              <w:rPr>
                <w:rFonts w:ascii="宋体" w:hAnsi="宋体" w:eastAsia="宋体" w:cs="宋体"/>
                <w:sz w:val="18"/>
                <w:szCs w:val="18"/>
              </w:rPr>
              <w:t>对损益的影响</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7499A63">
            <w:pPr>
              <w:spacing w:before="40" w:after="40" w:line="240" w:lineRule="exact"/>
              <w:jc w:val="center"/>
              <w:rPr>
                <w:rFonts w:ascii="宋体" w:hAnsi="宋体" w:eastAsia="宋体" w:cs="宋体"/>
                <w:sz w:val="18"/>
                <w:szCs w:val="18"/>
              </w:rPr>
            </w:pPr>
            <w:r>
              <w:rPr>
                <w:rFonts w:ascii="宋体" w:hAnsi="宋体" w:eastAsia="宋体" w:cs="宋体"/>
                <w:sz w:val="18"/>
                <w:szCs w:val="18"/>
              </w:rPr>
              <w:t>对其他综合收益的影响</w:t>
            </w:r>
          </w:p>
        </w:tc>
      </w:tr>
    </w:tbl>
    <w:p w14:paraId="2112C2AA">
      <w:pPr>
        <w:keepNext/>
        <w:keepLines/>
        <w:spacing w:before="300" w:after="100" w:line="280" w:lineRule="exact"/>
        <w:outlineLvl w:val="3"/>
        <w:rPr>
          <w:rFonts w:ascii="宋体" w:hAnsi="宋体" w:eastAsia="宋体" w:cs="宋体"/>
          <w:b/>
          <w:bCs/>
          <w:sz w:val="18"/>
          <w:szCs w:val="18"/>
        </w:rPr>
      </w:pPr>
      <w:bookmarkStart w:id="253" w:name="_Toc989142"/>
      <w:r>
        <w:rPr>
          <w:rFonts w:ascii="宋体" w:hAnsi="宋体" w:eastAsia="宋体" w:cs="宋体"/>
          <w:b/>
          <w:bCs/>
          <w:sz w:val="18"/>
          <w:szCs w:val="18"/>
        </w:rPr>
        <w:t>（4） 未办妥产权证书的投资性房地产情况</w:t>
      </w:r>
      <w:bookmarkEnd w:id="253"/>
    </w:p>
    <w:p w14:paraId="67C2AC8D">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3A3B5E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62914A">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6C8539">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3F9E2C">
            <w:pPr>
              <w:spacing w:before="40" w:after="100" w:line="240" w:lineRule="exact"/>
              <w:jc w:val="center"/>
              <w:rPr>
                <w:rFonts w:ascii="宋体" w:hAnsi="宋体" w:eastAsia="宋体" w:cs="宋体"/>
                <w:sz w:val="18"/>
                <w:szCs w:val="18"/>
              </w:rPr>
            </w:pPr>
            <w:r>
              <w:rPr>
                <w:rFonts w:ascii="宋体" w:hAnsi="宋体" w:eastAsia="宋体" w:cs="宋体"/>
                <w:sz w:val="18"/>
                <w:szCs w:val="18"/>
              </w:rPr>
              <w:t>未办妥产权证书原因</w:t>
            </w:r>
          </w:p>
        </w:tc>
      </w:tr>
    </w:tbl>
    <w:p w14:paraId="4AA37675">
      <w:pPr>
        <w:spacing w:before="100" w:after="100" w:line="240" w:lineRule="exact"/>
      </w:pPr>
      <w:r>
        <w:rPr>
          <w:rFonts w:ascii="宋体" w:hAnsi="宋体" w:eastAsia="宋体" w:cs="宋体"/>
          <w:sz w:val="18"/>
          <w:szCs w:val="18"/>
        </w:rPr>
        <w:t>其他说明</w:t>
      </w:r>
    </w:p>
    <w:p w14:paraId="7C044609">
      <w:pPr>
        <w:pStyle w:val="3"/>
        <w:spacing w:after="100" w:line="280" w:lineRule="exact"/>
        <w:jc w:val="left"/>
        <w:rPr>
          <w:rFonts w:ascii="宋体" w:hAnsi="宋体" w:cs="宋体"/>
          <w:b/>
          <w:bCs/>
        </w:rPr>
      </w:pPr>
      <w:bookmarkStart w:id="254" w:name="_Toc989143"/>
      <w:r>
        <w:rPr>
          <w:rFonts w:ascii="宋体" w:hAnsi="宋体" w:cs="宋体"/>
          <w:b/>
          <w:bCs/>
        </w:rPr>
        <w:t>21、固定资产</w:t>
      </w:r>
      <w:bookmarkEnd w:id="254"/>
    </w:p>
    <w:p w14:paraId="4AFFB7D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50A3C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3B79C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BCCC7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FD025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B8E0DB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A78B50">
            <w:pPr>
              <w:spacing w:before="40" w:after="40" w:line="240" w:lineRule="exac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73987897">
            <w:pPr>
              <w:spacing w:line="240" w:lineRule="exact"/>
              <w:jc w:val="right"/>
              <w:rPr>
                <w:rFonts w:ascii="宋体" w:hAnsi="宋体" w:eastAsia="宋体" w:cs="宋体"/>
                <w:sz w:val="18"/>
                <w:szCs w:val="18"/>
              </w:rPr>
            </w:pPr>
            <w:r>
              <w:rPr>
                <w:rFonts w:ascii="宋体" w:hAnsi="宋体" w:eastAsia="宋体" w:cs="宋体"/>
                <w:sz w:val="18"/>
                <w:szCs w:val="18"/>
              </w:rPr>
              <w:t>134,210,525.42</w:t>
            </w:r>
          </w:p>
        </w:tc>
        <w:tc>
          <w:tcPr>
            <w:tcW w:w="3213" w:type="dxa"/>
            <w:tcBorders>
              <w:top w:val="single" w:color="auto" w:sz="2" w:space="0"/>
              <w:left w:val="single" w:color="auto" w:sz="2" w:space="0"/>
              <w:bottom w:val="single" w:color="auto" w:sz="2" w:space="0"/>
              <w:right w:val="single" w:color="auto" w:sz="2" w:space="0"/>
            </w:tcBorders>
            <w:vAlign w:val="center"/>
          </w:tcPr>
          <w:p w14:paraId="3B5734B6">
            <w:pPr>
              <w:spacing w:line="240" w:lineRule="exact"/>
              <w:jc w:val="right"/>
              <w:rPr>
                <w:rFonts w:ascii="宋体" w:hAnsi="宋体" w:eastAsia="宋体" w:cs="宋体"/>
                <w:sz w:val="18"/>
                <w:szCs w:val="18"/>
              </w:rPr>
            </w:pPr>
            <w:r>
              <w:rPr>
                <w:rFonts w:ascii="宋体" w:hAnsi="宋体" w:eastAsia="宋体" w:cs="宋体"/>
                <w:sz w:val="18"/>
                <w:szCs w:val="18"/>
              </w:rPr>
              <w:t>127,094,361.54</w:t>
            </w:r>
          </w:p>
        </w:tc>
      </w:tr>
      <w:tr w14:paraId="11AA7AB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B04EDD">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DCE4F07">
            <w:pPr>
              <w:spacing w:line="240" w:lineRule="exact"/>
              <w:jc w:val="right"/>
              <w:rPr>
                <w:rFonts w:ascii="宋体" w:hAnsi="宋体" w:eastAsia="宋体" w:cs="宋体"/>
                <w:sz w:val="18"/>
                <w:szCs w:val="18"/>
              </w:rPr>
            </w:pPr>
            <w:r>
              <w:rPr>
                <w:rFonts w:ascii="宋体" w:hAnsi="宋体" w:eastAsia="宋体" w:cs="宋体"/>
                <w:sz w:val="18"/>
                <w:szCs w:val="18"/>
              </w:rPr>
              <w:t>134,210,525.42</w:t>
            </w:r>
          </w:p>
        </w:tc>
        <w:tc>
          <w:tcPr>
            <w:tcW w:w="3213" w:type="dxa"/>
            <w:tcBorders>
              <w:top w:val="single" w:color="auto" w:sz="2" w:space="0"/>
              <w:left w:val="single" w:color="auto" w:sz="2" w:space="0"/>
              <w:bottom w:val="single" w:color="auto" w:sz="2" w:space="0"/>
              <w:right w:val="single" w:color="auto" w:sz="2" w:space="0"/>
            </w:tcBorders>
            <w:vAlign w:val="center"/>
          </w:tcPr>
          <w:p w14:paraId="3EBA71BF">
            <w:pPr>
              <w:spacing w:line="240" w:lineRule="exact"/>
              <w:jc w:val="right"/>
              <w:rPr>
                <w:rFonts w:ascii="宋体" w:hAnsi="宋体" w:eastAsia="宋体" w:cs="宋体"/>
                <w:sz w:val="18"/>
                <w:szCs w:val="18"/>
              </w:rPr>
            </w:pPr>
            <w:r>
              <w:rPr>
                <w:rFonts w:ascii="宋体" w:hAnsi="宋体" w:eastAsia="宋体" w:cs="宋体"/>
                <w:sz w:val="18"/>
                <w:szCs w:val="18"/>
              </w:rPr>
              <w:t>127,094,361.54</w:t>
            </w:r>
          </w:p>
        </w:tc>
      </w:tr>
    </w:tbl>
    <w:p w14:paraId="543184A8">
      <w:pPr>
        <w:keepNext/>
        <w:keepLines/>
        <w:spacing w:before="300" w:after="100" w:line="280" w:lineRule="exact"/>
        <w:outlineLvl w:val="3"/>
        <w:rPr>
          <w:rFonts w:ascii="宋体" w:hAnsi="宋体" w:eastAsia="宋体" w:cs="宋体"/>
          <w:b/>
          <w:bCs/>
          <w:szCs w:val="21"/>
        </w:rPr>
      </w:pPr>
      <w:bookmarkStart w:id="255" w:name="_Toc989144"/>
      <w:r>
        <w:rPr>
          <w:rFonts w:ascii="宋体" w:hAnsi="宋体" w:eastAsia="宋体" w:cs="宋体"/>
          <w:b/>
          <w:bCs/>
          <w:szCs w:val="21"/>
        </w:rPr>
        <w:t>（1） 固定资产情况</w:t>
      </w:r>
      <w:bookmarkEnd w:id="255"/>
    </w:p>
    <w:p w14:paraId="0ABB0F4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3BE895E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544EB8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vAlign w:val="center"/>
          </w:tcPr>
          <w:p w14:paraId="000BAB3A">
            <w:pPr>
              <w:spacing w:line="240" w:lineRule="exact"/>
              <w:jc w:val="center"/>
              <w:rPr>
                <w:rFonts w:ascii="宋体" w:hAnsi="宋体" w:eastAsia="宋体" w:cs="宋体"/>
                <w:sz w:val="18"/>
                <w:szCs w:val="18"/>
              </w:rPr>
            </w:pPr>
            <w:r>
              <w:rPr>
                <w:rFonts w:ascii="宋体" w:hAnsi="宋体" w:eastAsia="宋体" w:cs="宋体"/>
                <w:sz w:val="18"/>
                <w:szCs w:val="18"/>
              </w:rPr>
              <w:t>房屋及建筑物</w:t>
            </w:r>
          </w:p>
        </w:tc>
        <w:tc>
          <w:tcPr>
            <w:tcW w:w="1606" w:type="dxa"/>
            <w:tcBorders>
              <w:top w:val="single" w:color="auto" w:sz="2" w:space="0"/>
              <w:left w:val="single" w:color="auto" w:sz="2" w:space="0"/>
              <w:bottom w:val="single" w:color="auto" w:sz="2" w:space="0"/>
              <w:right w:val="single" w:color="auto" w:sz="2" w:space="0"/>
            </w:tcBorders>
            <w:vAlign w:val="center"/>
          </w:tcPr>
          <w:p w14:paraId="5AB4911B">
            <w:pPr>
              <w:spacing w:line="240" w:lineRule="exact"/>
              <w:jc w:val="center"/>
              <w:rPr>
                <w:rFonts w:ascii="宋体" w:hAnsi="宋体" w:eastAsia="宋体" w:cs="宋体"/>
                <w:sz w:val="18"/>
                <w:szCs w:val="18"/>
              </w:rPr>
            </w:pPr>
            <w:r>
              <w:rPr>
                <w:rFonts w:ascii="宋体" w:hAnsi="宋体" w:eastAsia="宋体" w:cs="宋体"/>
                <w:sz w:val="18"/>
                <w:szCs w:val="18"/>
              </w:rPr>
              <w:t>机器设备</w:t>
            </w:r>
          </w:p>
        </w:tc>
        <w:tc>
          <w:tcPr>
            <w:tcW w:w="1606" w:type="dxa"/>
            <w:tcBorders>
              <w:top w:val="single" w:color="auto" w:sz="2" w:space="0"/>
              <w:left w:val="single" w:color="auto" w:sz="2" w:space="0"/>
              <w:bottom w:val="single" w:color="auto" w:sz="2" w:space="0"/>
              <w:right w:val="single" w:color="auto" w:sz="2" w:space="0"/>
            </w:tcBorders>
            <w:vAlign w:val="center"/>
          </w:tcPr>
          <w:p w14:paraId="5C2FAC20">
            <w:pPr>
              <w:spacing w:line="240" w:lineRule="exact"/>
              <w:jc w:val="center"/>
              <w:rPr>
                <w:rFonts w:ascii="宋体" w:hAnsi="宋体" w:eastAsia="宋体" w:cs="宋体"/>
                <w:sz w:val="18"/>
                <w:szCs w:val="18"/>
              </w:rPr>
            </w:pPr>
            <w:r>
              <w:rPr>
                <w:rFonts w:ascii="宋体" w:hAnsi="宋体" w:eastAsia="宋体" w:cs="宋体"/>
                <w:sz w:val="18"/>
                <w:szCs w:val="18"/>
              </w:rPr>
              <w:t>运输设备</w:t>
            </w:r>
          </w:p>
        </w:tc>
        <w:tc>
          <w:tcPr>
            <w:tcW w:w="1606" w:type="dxa"/>
            <w:tcBorders>
              <w:top w:val="single" w:color="auto" w:sz="2" w:space="0"/>
              <w:left w:val="single" w:color="auto" w:sz="2" w:space="0"/>
              <w:bottom w:val="single" w:color="auto" w:sz="2" w:space="0"/>
              <w:right w:val="single" w:color="auto" w:sz="2" w:space="0"/>
            </w:tcBorders>
            <w:vAlign w:val="center"/>
          </w:tcPr>
          <w:p w14:paraId="2BEB1DA5">
            <w:pPr>
              <w:spacing w:line="240" w:lineRule="exact"/>
              <w:jc w:val="center"/>
              <w:rPr>
                <w:rFonts w:ascii="宋体" w:hAnsi="宋体" w:eastAsia="宋体" w:cs="宋体"/>
                <w:sz w:val="18"/>
                <w:szCs w:val="18"/>
              </w:rPr>
            </w:pPr>
            <w:r>
              <w:rPr>
                <w:rFonts w:ascii="宋体" w:hAnsi="宋体" w:eastAsia="宋体" w:cs="宋体"/>
                <w:sz w:val="18"/>
                <w:szCs w:val="18"/>
              </w:rPr>
              <w:t>电子设备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5DD0A7F">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158917D9">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4CAE0BB">
            <w:pPr>
              <w:spacing w:before="40" w:after="40" w:line="240" w:lineRule="exact"/>
              <w:rPr>
                <w:rFonts w:ascii="宋体" w:hAnsi="宋体" w:eastAsia="宋体" w:cs="宋体"/>
                <w:sz w:val="18"/>
                <w:szCs w:val="18"/>
              </w:rPr>
            </w:pPr>
            <w:r>
              <w:rPr>
                <w:rFonts w:ascii="宋体" w:hAnsi="宋体" w:eastAsia="宋体" w:cs="宋体"/>
                <w:sz w:val="18"/>
                <w:szCs w:val="18"/>
              </w:rPr>
              <w:t>一、账面原值：</w:t>
            </w:r>
          </w:p>
        </w:tc>
        <w:tc>
          <w:tcPr>
            <w:tcW w:w="1606" w:type="dxa"/>
            <w:tcBorders>
              <w:top w:val="single" w:color="auto" w:sz="2" w:space="0"/>
              <w:left w:val="single" w:color="auto" w:sz="2" w:space="0"/>
              <w:bottom w:val="single" w:color="auto" w:sz="2" w:space="0"/>
              <w:right w:val="single" w:color="auto" w:sz="2" w:space="0"/>
            </w:tcBorders>
            <w:vAlign w:val="center"/>
          </w:tcPr>
          <w:p w14:paraId="561C59C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ACD3B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9435565">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72FE0D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2D0F664">
            <w:pPr>
              <w:spacing w:line="240" w:lineRule="exact"/>
              <w:jc w:val="right"/>
              <w:rPr>
                <w:rFonts w:ascii="宋体" w:hAnsi="宋体" w:eastAsia="宋体" w:cs="宋体"/>
                <w:sz w:val="18"/>
                <w:szCs w:val="18"/>
              </w:rPr>
            </w:pPr>
          </w:p>
        </w:tc>
      </w:tr>
      <w:tr w14:paraId="1F3E056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64982E">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792EE6F6">
            <w:pPr>
              <w:spacing w:line="240" w:lineRule="exact"/>
              <w:jc w:val="right"/>
              <w:rPr>
                <w:rFonts w:ascii="宋体" w:hAnsi="宋体" w:eastAsia="宋体" w:cs="宋体"/>
                <w:sz w:val="18"/>
                <w:szCs w:val="18"/>
              </w:rPr>
            </w:pPr>
            <w:r>
              <w:rPr>
                <w:rFonts w:ascii="宋体" w:hAnsi="宋体" w:eastAsia="宋体" w:cs="宋体"/>
                <w:sz w:val="18"/>
                <w:szCs w:val="18"/>
              </w:rPr>
              <w:t>171,032,243.24</w:t>
            </w:r>
          </w:p>
        </w:tc>
        <w:tc>
          <w:tcPr>
            <w:tcW w:w="1606" w:type="dxa"/>
            <w:tcBorders>
              <w:top w:val="single" w:color="auto" w:sz="2" w:space="0"/>
              <w:left w:val="single" w:color="auto" w:sz="2" w:space="0"/>
              <w:bottom w:val="single" w:color="auto" w:sz="2" w:space="0"/>
              <w:right w:val="single" w:color="auto" w:sz="2" w:space="0"/>
            </w:tcBorders>
            <w:vAlign w:val="center"/>
          </w:tcPr>
          <w:p w14:paraId="175F6BCC">
            <w:pPr>
              <w:spacing w:line="240" w:lineRule="exact"/>
              <w:jc w:val="right"/>
              <w:rPr>
                <w:rFonts w:ascii="宋体" w:hAnsi="宋体" w:eastAsia="宋体" w:cs="宋体"/>
                <w:sz w:val="18"/>
                <w:szCs w:val="18"/>
              </w:rPr>
            </w:pPr>
            <w:r>
              <w:rPr>
                <w:rFonts w:ascii="宋体" w:hAnsi="宋体" w:eastAsia="宋体" w:cs="宋体"/>
                <w:sz w:val="18"/>
                <w:szCs w:val="18"/>
              </w:rPr>
              <w:t>203,877,425.54</w:t>
            </w:r>
          </w:p>
        </w:tc>
        <w:tc>
          <w:tcPr>
            <w:tcW w:w="1606" w:type="dxa"/>
            <w:tcBorders>
              <w:top w:val="single" w:color="auto" w:sz="2" w:space="0"/>
              <w:left w:val="single" w:color="auto" w:sz="2" w:space="0"/>
              <w:bottom w:val="single" w:color="auto" w:sz="2" w:space="0"/>
              <w:right w:val="single" w:color="auto" w:sz="2" w:space="0"/>
            </w:tcBorders>
            <w:vAlign w:val="center"/>
          </w:tcPr>
          <w:p w14:paraId="42B73179">
            <w:pPr>
              <w:spacing w:line="240" w:lineRule="exact"/>
              <w:jc w:val="right"/>
              <w:rPr>
                <w:rFonts w:ascii="宋体" w:hAnsi="宋体" w:eastAsia="宋体" w:cs="宋体"/>
                <w:sz w:val="18"/>
                <w:szCs w:val="18"/>
              </w:rPr>
            </w:pPr>
            <w:r>
              <w:rPr>
                <w:rFonts w:ascii="宋体" w:hAnsi="宋体" w:eastAsia="宋体" w:cs="宋体"/>
                <w:sz w:val="18"/>
                <w:szCs w:val="18"/>
              </w:rPr>
              <w:t>4,222,027.93</w:t>
            </w:r>
          </w:p>
        </w:tc>
        <w:tc>
          <w:tcPr>
            <w:tcW w:w="1606" w:type="dxa"/>
            <w:tcBorders>
              <w:top w:val="single" w:color="auto" w:sz="2" w:space="0"/>
              <w:left w:val="single" w:color="auto" w:sz="2" w:space="0"/>
              <w:bottom w:val="single" w:color="auto" w:sz="2" w:space="0"/>
              <w:right w:val="single" w:color="auto" w:sz="2" w:space="0"/>
            </w:tcBorders>
            <w:vAlign w:val="center"/>
          </w:tcPr>
          <w:p w14:paraId="08F1C9EC">
            <w:pPr>
              <w:spacing w:line="240" w:lineRule="exact"/>
              <w:jc w:val="right"/>
              <w:rPr>
                <w:rFonts w:ascii="宋体" w:hAnsi="宋体" w:eastAsia="宋体" w:cs="宋体"/>
                <w:sz w:val="18"/>
                <w:szCs w:val="18"/>
              </w:rPr>
            </w:pPr>
            <w:r>
              <w:rPr>
                <w:rFonts w:ascii="宋体" w:hAnsi="宋体" w:eastAsia="宋体" w:cs="宋体"/>
                <w:sz w:val="18"/>
                <w:szCs w:val="18"/>
              </w:rPr>
              <w:t>6,823,225.54</w:t>
            </w:r>
          </w:p>
        </w:tc>
        <w:tc>
          <w:tcPr>
            <w:tcW w:w="1606" w:type="dxa"/>
            <w:tcBorders>
              <w:top w:val="single" w:color="auto" w:sz="2" w:space="0"/>
              <w:left w:val="single" w:color="auto" w:sz="2" w:space="0"/>
              <w:bottom w:val="single" w:color="auto" w:sz="2" w:space="0"/>
              <w:right w:val="single" w:color="auto" w:sz="2" w:space="0"/>
            </w:tcBorders>
            <w:vAlign w:val="center"/>
          </w:tcPr>
          <w:p w14:paraId="3EDC29D7">
            <w:pPr>
              <w:spacing w:line="240" w:lineRule="exact"/>
              <w:jc w:val="right"/>
              <w:rPr>
                <w:rFonts w:ascii="宋体" w:hAnsi="宋体" w:eastAsia="宋体" w:cs="宋体"/>
                <w:sz w:val="18"/>
                <w:szCs w:val="18"/>
              </w:rPr>
            </w:pPr>
            <w:r>
              <w:rPr>
                <w:rFonts w:ascii="宋体" w:hAnsi="宋体" w:eastAsia="宋体" w:cs="宋体"/>
                <w:sz w:val="18"/>
                <w:szCs w:val="18"/>
              </w:rPr>
              <w:t>385,954,922.25</w:t>
            </w:r>
          </w:p>
        </w:tc>
      </w:tr>
      <w:tr w14:paraId="5B0B7B6A">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9623AA1">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386FEFC8">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94E9576">
            <w:pPr>
              <w:spacing w:line="240" w:lineRule="exact"/>
              <w:jc w:val="right"/>
              <w:rPr>
                <w:rFonts w:ascii="宋体" w:hAnsi="宋体" w:eastAsia="宋体" w:cs="宋体"/>
                <w:sz w:val="18"/>
                <w:szCs w:val="18"/>
              </w:rPr>
            </w:pPr>
            <w:r>
              <w:rPr>
                <w:rFonts w:ascii="宋体" w:hAnsi="宋体" w:eastAsia="宋体" w:cs="宋体"/>
                <w:sz w:val="18"/>
                <w:szCs w:val="18"/>
              </w:rPr>
              <w:t>15,344,989.98</w:t>
            </w:r>
          </w:p>
        </w:tc>
        <w:tc>
          <w:tcPr>
            <w:tcW w:w="1606" w:type="dxa"/>
            <w:tcBorders>
              <w:top w:val="single" w:color="auto" w:sz="2" w:space="0"/>
              <w:left w:val="single" w:color="auto" w:sz="2" w:space="0"/>
              <w:bottom w:val="single" w:color="auto" w:sz="2" w:space="0"/>
              <w:right w:val="single" w:color="auto" w:sz="2" w:space="0"/>
            </w:tcBorders>
            <w:vAlign w:val="center"/>
          </w:tcPr>
          <w:p w14:paraId="16C8A67D">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AA7BBFD">
            <w:pPr>
              <w:spacing w:line="240" w:lineRule="exact"/>
              <w:jc w:val="right"/>
              <w:rPr>
                <w:rFonts w:ascii="宋体" w:hAnsi="宋体" w:eastAsia="宋体" w:cs="宋体"/>
                <w:sz w:val="18"/>
                <w:szCs w:val="18"/>
              </w:rPr>
            </w:pPr>
            <w:r>
              <w:rPr>
                <w:rFonts w:ascii="宋体" w:hAnsi="宋体" w:eastAsia="宋体" w:cs="宋体"/>
                <w:sz w:val="18"/>
                <w:szCs w:val="18"/>
              </w:rPr>
              <w:t>28,662.53</w:t>
            </w:r>
          </w:p>
        </w:tc>
        <w:tc>
          <w:tcPr>
            <w:tcW w:w="1606" w:type="dxa"/>
            <w:tcBorders>
              <w:top w:val="single" w:color="auto" w:sz="2" w:space="0"/>
              <w:left w:val="single" w:color="auto" w:sz="2" w:space="0"/>
              <w:bottom w:val="single" w:color="auto" w:sz="2" w:space="0"/>
              <w:right w:val="single" w:color="auto" w:sz="2" w:space="0"/>
            </w:tcBorders>
            <w:vAlign w:val="center"/>
          </w:tcPr>
          <w:p w14:paraId="7FE3A3AF">
            <w:pPr>
              <w:spacing w:line="240" w:lineRule="exact"/>
              <w:jc w:val="right"/>
              <w:rPr>
                <w:rFonts w:ascii="宋体" w:hAnsi="宋体" w:eastAsia="宋体" w:cs="宋体"/>
                <w:sz w:val="18"/>
                <w:szCs w:val="18"/>
              </w:rPr>
            </w:pPr>
            <w:r>
              <w:rPr>
                <w:rFonts w:ascii="宋体" w:hAnsi="宋体" w:eastAsia="宋体" w:cs="宋体"/>
                <w:sz w:val="18"/>
                <w:szCs w:val="18"/>
              </w:rPr>
              <w:t>15,373,652.51</w:t>
            </w:r>
          </w:p>
        </w:tc>
      </w:tr>
      <w:tr w14:paraId="3D40D23E">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8A81AC">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（1）购置</w:t>
            </w:r>
          </w:p>
        </w:tc>
        <w:tc>
          <w:tcPr>
            <w:tcW w:w="1606" w:type="dxa"/>
            <w:tcBorders>
              <w:top w:val="single" w:color="auto" w:sz="2" w:space="0"/>
              <w:left w:val="single" w:color="auto" w:sz="2" w:space="0"/>
              <w:bottom w:val="single" w:color="auto" w:sz="2" w:space="0"/>
              <w:right w:val="single" w:color="auto" w:sz="2" w:space="0"/>
            </w:tcBorders>
            <w:vAlign w:val="center"/>
          </w:tcPr>
          <w:p w14:paraId="769DA07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21CE2C">
            <w:pPr>
              <w:spacing w:line="240" w:lineRule="exact"/>
              <w:jc w:val="right"/>
              <w:rPr>
                <w:rFonts w:ascii="宋体" w:hAnsi="宋体" w:eastAsia="宋体" w:cs="宋体"/>
                <w:sz w:val="18"/>
                <w:szCs w:val="18"/>
              </w:rPr>
            </w:pPr>
            <w:r>
              <w:rPr>
                <w:rFonts w:ascii="宋体" w:hAnsi="宋体" w:eastAsia="宋体" w:cs="宋体"/>
                <w:sz w:val="18"/>
                <w:szCs w:val="18"/>
              </w:rPr>
              <w:t>492,123.90</w:t>
            </w:r>
          </w:p>
        </w:tc>
        <w:tc>
          <w:tcPr>
            <w:tcW w:w="1606" w:type="dxa"/>
            <w:tcBorders>
              <w:top w:val="single" w:color="auto" w:sz="2" w:space="0"/>
              <w:left w:val="single" w:color="auto" w:sz="2" w:space="0"/>
              <w:bottom w:val="single" w:color="auto" w:sz="2" w:space="0"/>
              <w:right w:val="single" w:color="auto" w:sz="2" w:space="0"/>
            </w:tcBorders>
            <w:vAlign w:val="center"/>
          </w:tcPr>
          <w:p w14:paraId="63EF38D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B645530">
            <w:pPr>
              <w:spacing w:line="240" w:lineRule="exact"/>
              <w:jc w:val="right"/>
              <w:rPr>
                <w:rFonts w:ascii="宋体" w:hAnsi="宋体" w:eastAsia="宋体" w:cs="宋体"/>
                <w:sz w:val="18"/>
                <w:szCs w:val="18"/>
              </w:rPr>
            </w:pPr>
            <w:r>
              <w:rPr>
                <w:rFonts w:ascii="宋体" w:hAnsi="宋体" w:eastAsia="宋体" w:cs="宋体"/>
                <w:sz w:val="18"/>
                <w:szCs w:val="18"/>
              </w:rPr>
              <w:t>28,662.53</w:t>
            </w:r>
          </w:p>
        </w:tc>
        <w:tc>
          <w:tcPr>
            <w:tcW w:w="1606" w:type="dxa"/>
            <w:tcBorders>
              <w:top w:val="single" w:color="auto" w:sz="2" w:space="0"/>
              <w:left w:val="single" w:color="auto" w:sz="2" w:space="0"/>
              <w:bottom w:val="single" w:color="auto" w:sz="2" w:space="0"/>
              <w:right w:val="single" w:color="auto" w:sz="2" w:space="0"/>
            </w:tcBorders>
            <w:vAlign w:val="center"/>
          </w:tcPr>
          <w:p w14:paraId="0324FE6A">
            <w:pPr>
              <w:spacing w:line="240" w:lineRule="exact"/>
              <w:jc w:val="right"/>
              <w:rPr>
                <w:rFonts w:ascii="宋体" w:hAnsi="宋体" w:eastAsia="宋体" w:cs="宋体"/>
                <w:sz w:val="18"/>
                <w:szCs w:val="18"/>
              </w:rPr>
            </w:pPr>
            <w:r>
              <w:rPr>
                <w:rFonts w:ascii="宋体" w:hAnsi="宋体" w:eastAsia="宋体" w:cs="宋体"/>
                <w:sz w:val="18"/>
                <w:szCs w:val="18"/>
              </w:rPr>
              <w:t>520,786.43</w:t>
            </w:r>
          </w:p>
        </w:tc>
      </w:tr>
      <w:tr w14:paraId="0013181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ACE7508">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（2）在建工程转入</w:t>
            </w:r>
          </w:p>
        </w:tc>
        <w:tc>
          <w:tcPr>
            <w:tcW w:w="1606" w:type="dxa"/>
            <w:tcBorders>
              <w:top w:val="single" w:color="auto" w:sz="2" w:space="0"/>
              <w:left w:val="single" w:color="auto" w:sz="2" w:space="0"/>
              <w:bottom w:val="single" w:color="auto" w:sz="2" w:space="0"/>
              <w:right w:val="single" w:color="auto" w:sz="2" w:space="0"/>
            </w:tcBorders>
            <w:vAlign w:val="center"/>
          </w:tcPr>
          <w:p w14:paraId="5D6CA2F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BB4259C">
            <w:pPr>
              <w:spacing w:line="240" w:lineRule="exact"/>
              <w:jc w:val="right"/>
              <w:rPr>
                <w:rFonts w:ascii="宋体" w:hAnsi="宋体" w:eastAsia="宋体" w:cs="宋体"/>
                <w:sz w:val="18"/>
                <w:szCs w:val="18"/>
              </w:rPr>
            </w:pPr>
            <w:r>
              <w:rPr>
                <w:rFonts w:ascii="宋体" w:hAnsi="宋体" w:eastAsia="宋体" w:cs="宋体"/>
                <w:sz w:val="18"/>
                <w:szCs w:val="18"/>
              </w:rPr>
              <w:t>14,852,866.08</w:t>
            </w:r>
          </w:p>
        </w:tc>
        <w:tc>
          <w:tcPr>
            <w:tcW w:w="1606" w:type="dxa"/>
            <w:tcBorders>
              <w:top w:val="single" w:color="auto" w:sz="2" w:space="0"/>
              <w:left w:val="single" w:color="auto" w:sz="2" w:space="0"/>
              <w:bottom w:val="single" w:color="auto" w:sz="2" w:space="0"/>
              <w:right w:val="single" w:color="auto" w:sz="2" w:space="0"/>
            </w:tcBorders>
            <w:vAlign w:val="center"/>
          </w:tcPr>
          <w:p w14:paraId="3913A9A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25FB57F">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CC29676">
            <w:pPr>
              <w:spacing w:line="240" w:lineRule="exact"/>
              <w:jc w:val="right"/>
              <w:rPr>
                <w:rFonts w:ascii="宋体" w:hAnsi="宋体" w:eastAsia="宋体" w:cs="宋体"/>
                <w:sz w:val="18"/>
                <w:szCs w:val="18"/>
              </w:rPr>
            </w:pPr>
            <w:r>
              <w:rPr>
                <w:rFonts w:ascii="宋体" w:hAnsi="宋体" w:eastAsia="宋体" w:cs="宋体"/>
                <w:sz w:val="18"/>
                <w:szCs w:val="18"/>
              </w:rPr>
              <w:t>14,852,866.08</w:t>
            </w:r>
          </w:p>
        </w:tc>
      </w:tr>
      <w:tr w14:paraId="56F5D776">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90017E">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（3）企业合并增加</w:t>
            </w:r>
          </w:p>
        </w:tc>
        <w:tc>
          <w:tcPr>
            <w:tcW w:w="1606" w:type="dxa"/>
            <w:tcBorders>
              <w:top w:val="single" w:color="auto" w:sz="2" w:space="0"/>
              <w:left w:val="single" w:color="auto" w:sz="2" w:space="0"/>
              <w:bottom w:val="single" w:color="auto" w:sz="2" w:space="0"/>
              <w:right w:val="single" w:color="auto" w:sz="2" w:space="0"/>
            </w:tcBorders>
            <w:vAlign w:val="center"/>
          </w:tcPr>
          <w:p w14:paraId="6A96487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267EBDB">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7D0017C">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1D5AC1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D38CBF9">
            <w:pPr>
              <w:spacing w:line="240" w:lineRule="exact"/>
              <w:jc w:val="right"/>
              <w:rPr>
                <w:rFonts w:ascii="宋体" w:hAnsi="宋体" w:eastAsia="宋体" w:cs="宋体"/>
                <w:sz w:val="18"/>
                <w:szCs w:val="18"/>
              </w:rPr>
            </w:pPr>
          </w:p>
        </w:tc>
      </w:tr>
      <w:tr w14:paraId="56CE6AD5">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057B910">
            <w:pPr>
              <w:spacing w:line="240" w:lineRule="exac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0636392">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FEF99D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ED1FEC">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4EE8CB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E98CBC7">
            <w:pPr>
              <w:spacing w:line="240" w:lineRule="exact"/>
              <w:jc w:val="right"/>
              <w:rPr>
                <w:rFonts w:ascii="宋体" w:hAnsi="宋体" w:eastAsia="宋体" w:cs="宋体"/>
                <w:sz w:val="18"/>
                <w:szCs w:val="18"/>
              </w:rPr>
            </w:pPr>
          </w:p>
        </w:tc>
      </w:tr>
      <w:tr w14:paraId="02AFC18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E5498A">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42431D02">
            <w:pPr>
              <w:spacing w:line="240" w:lineRule="exact"/>
              <w:jc w:val="right"/>
              <w:rPr>
                <w:rFonts w:ascii="宋体" w:hAnsi="宋体" w:eastAsia="宋体" w:cs="宋体"/>
                <w:sz w:val="18"/>
                <w:szCs w:val="18"/>
              </w:rPr>
            </w:pPr>
            <w:r>
              <w:rPr>
                <w:rFonts w:ascii="宋体" w:hAnsi="宋体" w:eastAsia="宋体" w:cs="宋体"/>
                <w:sz w:val="18"/>
                <w:szCs w:val="18"/>
              </w:rPr>
              <w:t>1,951,080.00</w:t>
            </w:r>
          </w:p>
        </w:tc>
        <w:tc>
          <w:tcPr>
            <w:tcW w:w="1606" w:type="dxa"/>
            <w:tcBorders>
              <w:top w:val="single" w:color="auto" w:sz="2" w:space="0"/>
              <w:left w:val="single" w:color="auto" w:sz="2" w:space="0"/>
              <w:bottom w:val="single" w:color="auto" w:sz="2" w:space="0"/>
              <w:right w:val="single" w:color="auto" w:sz="2" w:space="0"/>
            </w:tcBorders>
            <w:vAlign w:val="center"/>
          </w:tcPr>
          <w:p w14:paraId="23BCA275">
            <w:pPr>
              <w:spacing w:line="240" w:lineRule="exact"/>
              <w:jc w:val="right"/>
              <w:rPr>
                <w:rFonts w:ascii="宋体" w:hAnsi="宋体" w:eastAsia="宋体" w:cs="宋体"/>
                <w:sz w:val="18"/>
                <w:szCs w:val="18"/>
              </w:rPr>
            </w:pPr>
            <w:r>
              <w:rPr>
                <w:rFonts w:ascii="宋体" w:hAnsi="宋体" w:eastAsia="宋体" w:cs="宋体"/>
                <w:sz w:val="18"/>
                <w:szCs w:val="18"/>
              </w:rPr>
              <w:t>22,161,496.78</w:t>
            </w:r>
          </w:p>
        </w:tc>
        <w:tc>
          <w:tcPr>
            <w:tcW w:w="1606" w:type="dxa"/>
            <w:tcBorders>
              <w:top w:val="single" w:color="auto" w:sz="2" w:space="0"/>
              <w:left w:val="single" w:color="auto" w:sz="2" w:space="0"/>
              <w:bottom w:val="single" w:color="auto" w:sz="2" w:space="0"/>
              <w:right w:val="single" w:color="auto" w:sz="2" w:space="0"/>
            </w:tcBorders>
            <w:vAlign w:val="center"/>
          </w:tcPr>
          <w:p w14:paraId="16B115FC">
            <w:pPr>
              <w:spacing w:line="240" w:lineRule="exact"/>
              <w:jc w:val="right"/>
              <w:rPr>
                <w:rFonts w:ascii="宋体" w:hAnsi="宋体" w:eastAsia="宋体" w:cs="宋体"/>
                <w:sz w:val="18"/>
                <w:szCs w:val="18"/>
              </w:rPr>
            </w:pPr>
            <w:r>
              <w:rPr>
                <w:rFonts w:ascii="宋体" w:hAnsi="宋体" w:eastAsia="宋体" w:cs="宋体"/>
                <w:sz w:val="18"/>
                <w:szCs w:val="18"/>
              </w:rPr>
              <w:t>15,200.00</w:t>
            </w:r>
          </w:p>
        </w:tc>
        <w:tc>
          <w:tcPr>
            <w:tcW w:w="1606" w:type="dxa"/>
            <w:tcBorders>
              <w:top w:val="single" w:color="auto" w:sz="2" w:space="0"/>
              <w:left w:val="single" w:color="auto" w:sz="2" w:space="0"/>
              <w:bottom w:val="single" w:color="auto" w:sz="2" w:space="0"/>
              <w:right w:val="single" w:color="auto" w:sz="2" w:space="0"/>
            </w:tcBorders>
            <w:vAlign w:val="center"/>
          </w:tcPr>
          <w:p w14:paraId="22A50FDC">
            <w:pPr>
              <w:spacing w:line="240" w:lineRule="exact"/>
              <w:jc w:val="right"/>
              <w:rPr>
                <w:rFonts w:ascii="宋体" w:hAnsi="宋体" w:eastAsia="宋体" w:cs="宋体"/>
                <w:sz w:val="18"/>
                <w:szCs w:val="18"/>
              </w:rPr>
            </w:pPr>
            <w:r>
              <w:rPr>
                <w:rFonts w:ascii="宋体" w:hAnsi="宋体" w:eastAsia="宋体" w:cs="宋体"/>
                <w:sz w:val="18"/>
                <w:szCs w:val="18"/>
              </w:rPr>
              <w:t>96,711.50</w:t>
            </w:r>
          </w:p>
        </w:tc>
        <w:tc>
          <w:tcPr>
            <w:tcW w:w="1606" w:type="dxa"/>
            <w:tcBorders>
              <w:top w:val="single" w:color="auto" w:sz="2" w:space="0"/>
              <w:left w:val="single" w:color="auto" w:sz="2" w:space="0"/>
              <w:bottom w:val="single" w:color="auto" w:sz="2" w:space="0"/>
              <w:right w:val="single" w:color="auto" w:sz="2" w:space="0"/>
            </w:tcBorders>
            <w:vAlign w:val="center"/>
          </w:tcPr>
          <w:p w14:paraId="315E1DF3">
            <w:pPr>
              <w:spacing w:line="240" w:lineRule="exact"/>
              <w:jc w:val="right"/>
              <w:rPr>
                <w:rFonts w:ascii="宋体" w:hAnsi="宋体" w:eastAsia="宋体" w:cs="宋体"/>
                <w:sz w:val="18"/>
                <w:szCs w:val="18"/>
              </w:rPr>
            </w:pPr>
            <w:r>
              <w:rPr>
                <w:rFonts w:ascii="宋体" w:hAnsi="宋体" w:eastAsia="宋体" w:cs="宋体"/>
                <w:sz w:val="18"/>
                <w:szCs w:val="18"/>
              </w:rPr>
              <w:t>24,224,488.28</w:t>
            </w:r>
          </w:p>
        </w:tc>
      </w:tr>
      <w:tr w14:paraId="300CD61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B9F3D9E">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170BA262">
            <w:pPr>
              <w:spacing w:line="240" w:lineRule="exact"/>
              <w:jc w:val="right"/>
              <w:rPr>
                <w:rFonts w:ascii="宋体" w:hAnsi="宋体" w:eastAsia="宋体" w:cs="宋体"/>
                <w:sz w:val="18"/>
                <w:szCs w:val="18"/>
              </w:rPr>
            </w:pPr>
            <w:r>
              <w:rPr>
                <w:rFonts w:ascii="宋体" w:hAnsi="宋体" w:eastAsia="宋体" w:cs="宋体"/>
                <w:sz w:val="18"/>
                <w:szCs w:val="18"/>
              </w:rPr>
              <w:t>1,951,080.00</w:t>
            </w:r>
          </w:p>
        </w:tc>
        <w:tc>
          <w:tcPr>
            <w:tcW w:w="1606" w:type="dxa"/>
            <w:tcBorders>
              <w:top w:val="single" w:color="auto" w:sz="2" w:space="0"/>
              <w:left w:val="single" w:color="auto" w:sz="2" w:space="0"/>
              <w:bottom w:val="single" w:color="auto" w:sz="2" w:space="0"/>
              <w:right w:val="single" w:color="auto" w:sz="2" w:space="0"/>
            </w:tcBorders>
            <w:vAlign w:val="center"/>
          </w:tcPr>
          <w:p w14:paraId="346134C3">
            <w:pPr>
              <w:spacing w:line="240" w:lineRule="exact"/>
              <w:jc w:val="right"/>
              <w:rPr>
                <w:rFonts w:ascii="宋体" w:hAnsi="宋体" w:eastAsia="宋体" w:cs="宋体"/>
                <w:sz w:val="18"/>
                <w:szCs w:val="18"/>
              </w:rPr>
            </w:pPr>
            <w:r>
              <w:rPr>
                <w:rFonts w:ascii="宋体" w:hAnsi="宋体" w:eastAsia="宋体" w:cs="宋体"/>
                <w:sz w:val="18"/>
                <w:szCs w:val="18"/>
              </w:rPr>
              <w:t>22,161,496.78</w:t>
            </w:r>
          </w:p>
        </w:tc>
        <w:tc>
          <w:tcPr>
            <w:tcW w:w="1606" w:type="dxa"/>
            <w:tcBorders>
              <w:top w:val="single" w:color="auto" w:sz="2" w:space="0"/>
              <w:left w:val="single" w:color="auto" w:sz="2" w:space="0"/>
              <w:bottom w:val="single" w:color="auto" w:sz="2" w:space="0"/>
              <w:right w:val="single" w:color="auto" w:sz="2" w:space="0"/>
            </w:tcBorders>
            <w:vAlign w:val="center"/>
          </w:tcPr>
          <w:p w14:paraId="1031E84C">
            <w:pPr>
              <w:spacing w:line="240" w:lineRule="exact"/>
              <w:jc w:val="right"/>
              <w:rPr>
                <w:rFonts w:ascii="宋体" w:hAnsi="宋体" w:eastAsia="宋体" w:cs="宋体"/>
                <w:sz w:val="18"/>
                <w:szCs w:val="18"/>
              </w:rPr>
            </w:pPr>
            <w:r>
              <w:rPr>
                <w:rFonts w:ascii="宋体" w:hAnsi="宋体" w:eastAsia="宋体" w:cs="宋体"/>
                <w:sz w:val="18"/>
                <w:szCs w:val="18"/>
              </w:rPr>
              <w:t>15,200.00</w:t>
            </w:r>
          </w:p>
        </w:tc>
        <w:tc>
          <w:tcPr>
            <w:tcW w:w="1606" w:type="dxa"/>
            <w:tcBorders>
              <w:top w:val="single" w:color="auto" w:sz="2" w:space="0"/>
              <w:left w:val="single" w:color="auto" w:sz="2" w:space="0"/>
              <w:bottom w:val="single" w:color="auto" w:sz="2" w:space="0"/>
              <w:right w:val="single" w:color="auto" w:sz="2" w:space="0"/>
            </w:tcBorders>
            <w:vAlign w:val="center"/>
          </w:tcPr>
          <w:p w14:paraId="65A95BB6">
            <w:pPr>
              <w:spacing w:line="240" w:lineRule="exact"/>
              <w:jc w:val="right"/>
              <w:rPr>
                <w:rFonts w:ascii="宋体" w:hAnsi="宋体" w:eastAsia="宋体" w:cs="宋体"/>
                <w:sz w:val="18"/>
                <w:szCs w:val="18"/>
              </w:rPr>
            </w:pPr>
            <w:r>
              <w:rPr>
                <w:rFonts w:ascii="宋体" w:hAnsi="宋体" w:eastAsia="宋体" w:cs="宋体"/>
                <w:sz w:val="18"/>
                <w:szCs w:val="18"/>
              </w:rPr>
              <w:t>96,711.50</w:t>
            </w:r>
          </w:p>
        </w:tc>
        <w:tc>
          <w:tcPr>
            <w:tcW w:w="1606" w:type="dxa"/>
            <w:tcBorders>
              <w:top w:val="single" w:color="auto" w:sz="2" w:space="0"/>
              <w:left w:val="single" w:color="auto" w:sz="2" w:space="0"/>
              <w:bottom w:val="single" w:color="auto" w:sz="2" w:space="0"/>
              <w:right w:val="single" w:color="auto" w:sz="2" w:space="0"/>
            </w:tcBorders>
            <w:vAlign w:val="center"/>
          </w:tcPr>
          <w:p w14:paraId="2D30467C">
            <w:pPr>
              <w:spacing w:line="240" w:lineRule="exact"/>
              <w:jc w:val="right"/>
              <w:rPr>
                <w:rFonts w:ascii="宋体" w:hAnsi="宋体" w:eastAsia="宋体" w:cs="宋体"/>
                <w:sz w:val="18"/>
                <w:szCs w:val="18"/>
              </w:rPr>
            </w:pPr>
            <w:r>
              <w:rPr>
                <w:rFonts w:ascii="宋体" w:hAnsi="宋体" w:eastAsia="宋体" w:cs="宋体"/>
                <w:sz w:val="18"/>
                <w:szCs w:val="18"/>
              </w:rPr>
              <w:t>24,224,488.28</w:t>
            </w:r>
          </w:p>
        </w:tc>
      </w:tr>
      <w:tr w14:paraId="6E57A6C3">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77D2DE7">
            <w:pPr>
              <w:spacing w:line="240" w:lineRule="exac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56EE0F">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9F761BB">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26D2A30">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0F8327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CB45CC4">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425DE87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A585B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7006C511">
            <w:pPr>
              <w:spacing w:line="240" w:lineRule="exact"/>
              <w:jc w:val="right"/>
              <w:rPr>
                <w:rFonts w:ascii="宋体" w:hAnsi="宋体" w:eastAsia="宋体" w:cs="宋体"/>
                <w:sz w:val="18"/>
                <w:szCs w:val="18"/>
              </w:rPr>
            </w:pPr>
            <w:r>
              <w:rPr>
                <w:rFonts w:ascii="宋体" w:hAnsi="宋体" w:eastAsia="宋体" w:cs="宋体"/>
                <w:sz w:val="18"/>
                <w:szCs w:val="18"/>
              </w:rPr>
              <w:t>169,081,163.24</w:t>
            </w:r>
          </w:p>
        </w:tc>
        <w:tc>
          <w:tcPr>
            <w:tcW w:w="1606" w:type="dxa"/>
            <w:tcBorders>
              <w:top w:val="single" w:color="auto" w:sz="2" w:space="0"/>
              <w:left w:val="single" w:color="auto" w:sz="2" w:space="0"/>
              <w:bottom w:val="single" w:color="auto" w:sz="2" w:space="0"/>
              <w:right w:val="single" w:color="auto" w:sz="2" w:space="0"/>
            </w:tcBorders>
            <w:vAlign w:val="center"/>
          </w:tcPr>
          <w:p w14:paraId="4EC32159">
            <w:pPr>
              <w:spacing w:line="240" w:lineRule="exact"/>
              <w:jc w:val="right"/>
              <w:rPr>
                <w:rFonts w:ascii="宋体" w:hAnsi="宋体" w:eastAsia="宋体" w:cs="宋体"/>
                <w:sz w:val="18"/>
                <w:szCs w:val="18"/>
              </w:rPr>
            </w:pPr>
            <w:r>
              <w:rPr>
                <w:rFonts w:ascii="宋体" w:hAnsi="宋体" w:eastAsia="宋体" w:cs="宋体"/>
                <w:sz w:val="18"/>
                <w:szCs w:val="18"/>
              </w:rPr>
              <w:t>197,060,918.74</w:t>
            </w:r>
          </w:p>
        </w:tc>
        <w:tc>
          <w:tcPr>
            <w:tcW w:w="1606" w:type="dxa"/>
            <w:tcBorders>
              <w:top w:val="single" w:color="auto" w:sz="2" w:space="0"/>
              <w:left w:val="single" w:color="auto" w:sz="2" w:space="0"/>
              <w:bottom w:val="single" w:color="auto" w:sz="2" w:space="0"/>
              <w:right w:val="single" w:color="auto" w:sz="2" w:space="0"/>
            </w:tcBorders>
            <w:vAlign w:val="center"/>
          </w:tcPr>
          <w:p w14:paraId="2EE33D0F">
            <w:pPr>
              <w:spacing w:line="240" w:lineRule="exact"/>
              <w:jc w:val="right"/>
              <w:rPr>
                <w:rFonts w:ascii="宋体" w:hAnsi="宋体" w:eastAsia="宋体" w:cs="宋体"/>
                <w:sz w:val="18"/>
                <w:szCs w:val="18"/>
              </w:rPr>
            </w:pPr>
            <w:r>
              <w:rPr>
                <w:rFonts w:ascii="宋体" w:hAnsi="宋体" w:eastAsia="宋体" w:cs="宋体"/>
                <w:sz w:val="18"/>
                <w:szCs w:val="18"/>
              </w:rPr>
              <w:t>4,206,827.93</w:t>
            </w:r>
          </w:p>
        </w:tc>
        <w:tc>
          <w:tcPr>
            <w:tcW w:w="1606" w:type="dxa"/>
            <w:tcBorders>
              <w:top w:val="single" w:color="auto" w:sz="2" w:space="0"/>
              <w:left w:val="single" w:color="auto" w:sz="2" w:space="0"/>
              <w:bottom w:val="single" w:color="auto" w:sz="2" w:space="0"/>
              <w:right w:val="single" w:color="auto" w:sz="2" w:space="0"/>
            </w:tcBorders>
            <w:vAlign w:val="center"/>
          </w:tcPr>
          <w:p w14:paraId="5EAA273D">
            <w:pPr>
              <w:spacing w:line="240" w:lineRule="exact"/>
              <w:jc w:val="right"/>
              <w:rPr>
                <w:rFonts w:ascii="宋体" w:hAnsi="宋体" w:eastAsia="宋体" w:cs="宋体"/>
                <w:sz w:val="18"/>
                <w:szCs w:val="18"/>
              </w:rPr>
            </w:pPr>
            <w:r>
              <w:rPr>
                <w:rFonts w:ascii="宋体" w:hAnsi="宋体" w:eastAsia="宋体" w:cs="宋体"/>
                <w:sz w:val="18"/>
                <w:szCs w:val="18"/>
              </w:rPr>
              <w:t>6,755,176.57</w:t>
            </w:r>
          </w:p>
        </w:tc>
        <w:tc>
          <w:tcPr>
            <w:tcW w:w="1606" w:type="dxa"/>
            <w:tcBorders>
              <w:top w:val="single" w:color="auto" w:sz="2" w:space="0"/>
              <w:left w:val="single" w:color="auto" w:sz="2" w:space="0"/>
              <w:bottom w:val="single" w:color="auto" w:sz="2" w:space="0"/>
              <w:right w:val="single" w:color="auto" w:sz="2" w:space="0"/>
            </w:tcBorders>
            <w:vAlign w:val="center"/>
          </w:tcPr>
          <w:p w14:paraId="40B0313E">
            <w:pPr>
              <w:spacing w:line="240" w:lineRule="exact"/>
              <w:jc w:val="right"/>
              <w:rPr>
                <w:rFonts w:ascii="宋体" w:hAnsi="宋体" w:eastAsia="宋体" w:cs="宋体"/>
                <w:sz w:val="18"/>
                <w:szCs w:val="18"/>
              </w:rPr>
            </w:pPr>
            <w:r>
              <w:rPr>
                <w:rFonts w:ascii="宋体" w:hAnsi="宋体" w:eastAsia="宋体" w:cs="宋体"/>
                <w:sz w:val="18"/>
                <w:szCs w:val="18"/>
              </w:rPr>
              <w:t>377,104,086.48</w:t>
            </w:r>
          </w:p>
        </w:tc>
      </w:tr>
      <w:tr w14:paraId="7BA39B63">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AB3DD9">
            <w:pPr>
              <w:spacing w:before="40" w:after="40" w:line="240" w:lineRule="exact"/>
              <w:rPr>
                <w:rFonts w:ascii="宋体" w:hAnsi="宋体" w:eastAsia="宋体" w:cs="宋体"/>
                <w:sz w:val="18"/>
                <w:szCs w:val="18"/>
              </w:rPr>
            </w:pPr>
            <w:r>
              <w:rPr>
                <w:rFonts w:ascii="宋体" w:hAnsi="宋体" w:eastAsia="宋体" w:cs="宋体"/>
                <w:sz w:val="18"/>
                <w:szCs w:val="18"/>
              </w:rPr>
              <w:t>二、累计折旧</w:t>
            </w:r>
          </w:p>
        </w:tc>
        <w:tc>
          <w:tcPr>
            <w:tcW w:w="1606" w:type="dxa"/>
            <w:tcBorders>
              <w:top w:val="single" w:color="auto" w:sz="2" w:space="0"/>
              <w:left w:val="single" w:color="auto" w:sz="2" w:space="0"/>
              <w:bottom w:val="single" w:color="auto" w:sz="2" w:space="0"/>
              <w:right w:val="single" w:color="auto" w:sz="2" w:space="0"/>
            </w:tcBorders>
            <w:vAlign w:val="center"/>
          </w:tcPr>
          <w:p w14:paraId="6F707EE7">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9C15249">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7EA9C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E447A1B">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40D41D7">
            <w:pPr>
              <w:spacing w:line="240" w:lineRule="exact"/>
              <w:jc w:val="right"/>
              <w:rPr>
                <w:rFonts w:ascii="宋体" w:hAnsi="宋体" w:eastAsia="宋体" w:cs="宋体"/>
                <w:sz w:val="18"/>
                <w:szCs w:val="18"/>
              </w:rPr>
            </w:pPr>
          </w:p>
        </w:tc>
      </w:tr>
      <w:tr w14:paraId="7DC52B3B">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E8D0D57">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14459D7F">
            <w:pPr>
              <w:spacing w:line="240" w:lineRule="exact"/>
              <w:jc w:val="right"/>
              <w:rPr>
                <w:rFonts w:ascii="宋体" w:hAnsi="宋体" w:eastAsia="宋体" w:cs="宋体"/>
                <w:sz w:val="18"/>
                <w:szCs w:val="18"/>
              </w:rPr>
            </w:pPr>
            <w:r>
              <w:rPr>
                <w:rFonts w:ascii="宋体" w:hAnsi="宋体" w:eastAsia="宋体" w:cs="宋体"/>
                <w:sz w:val="18"/>
                <w:szCs w:val="18"/>
              </w:rPr>
              <w:t>123,051,689.36</w:t>
            </w:r>
          </w:p>
        </w:tc>
        <w:tc>
          <w:tcPr>
            <w:tcW w:w="1606" w:type="dxa"/>
            <w:tcBorders>
              <w:top w:val="single" w:color="auto" w:sz="2" w:space="0"/>
              <w:left w:val="single" w:color="auto" w:sz="2" w:space="0"/>
              <w:bottom w:val="single" w:color="auto" w:sz="2" w:space="0"/>
              <w:right w:val="single" w:color="auto" w:sz="2" w:space="0"/>
            </w:tcBorders>
            <w:vAlign w:val="center"/>
          </w:tcPr>
          <w:p w14:paraId="4DB7D146">
            <w:pPr>
              <w:spacing w:line="240" w:lineRule="exact"/>
              <w:jc w:val="right"/>
              <w:rPr>
                <w:rFonts w:ascii="宋体" w:hAnsi="宋体" w:eastAsia="宋体" w:cs="宋体"/>
                <w:sz w:val="18"/>
                <w:szCs w:val="18"/>
              </w:rPr>
            </w:pPr>
            <w:r>
              <w:rPr>
                <w:rFonts w:ascii="宋体" w:hAnsi="宋体" w:eastAsia="宋体" w:cs="宋体"/>
                <w:sz w:val="18"/>
                <w:szCs w:val="18"/>
              </w:rPr>
              <w:t>126,053,930.81</w:t>
            </w:r>
          </w:p>
        </w:tc>
        <w:tc>
          <w:tcPr>
            <w:tcW w:w="1606" w:type="dxa"/>
            <w:tcBorders>
              <w:top w:val="single" w:color="auto" w:sz="2" w:space="0"/>
              <w:left w:val="single" w:color="auto" w:sz="2" w:space="0"/>
              <w:bottom w:val="single" w:color="auto" w:sz="2" w:space="0"/>
              <w:right w:val="single" w:color="auto" w:sz="2" w:space="0"/>
            </w:tcBorders>
            <w:vAlign w:val="center"/>
          </w:tcPr>
          <w:p w14:paraId="1FE456DA">
            <w:pPr>
              <w:spacing w:line="240" w:lineRule="exact"/>
              <w:jc w:val="right"/>
              <w:rPr>
                <w:rFonts w:ascii="宋体" w:hAnsi="宋体" w:eastAsia="宋体" w:cs="宋体"/>
                <w:sz w:val="18"/>
                <w:szCs w:val="18"/>
              </w:rPr>
            </w:pPr>
            <w:r>
              <w:rPr>
                <w:rFonts w:ascii="宋体" w:hAnsi="宋体" w:eastAsia="宋体" w:cs="宋体"/>
                <w:sz w:val="18"/>
                <w:szCs w:val="18"/>
              </w:rPr>
              <w:t>3,180,588.26</w:t>
            </w:r>
          </w:p>
        </w:tc>
        <w:tc>
          <w:tcPr>
            <w:tcW w:w="1606" w:type="dxa"/>
            <w:tcBorders>
              <w:top w:val="single" w:color="auto" w:sz="2" w:space="0"/>
              <w:left w:val="single" w:color="auto" w:sz="2" w:space="0"/>
              <w:bottom w:val="single" w:color="auto" w:sz="2" w:space="0"/>
              <w:right w:val="single" w:color="auto" w:sz="2" w:space="0"/>
            </w:tcBorders>
            <w:vAlign w:val="center"/>
          </w:tcPr>
          <w:p w14:paraId="15E4BCAB">
            <w:pPr>
              <w:spacing w:line="240" w:lineRule="exact"/>
              <w:jc w:val="right"/>
              <w:rPr>
                <w:rFonts w:ascii="宋体" w:hAnsi="宋体" w:eastAsia="宋体" w:cs="宋体"/>
                <w:sz w:val="18"/>
                <w:szCs w:val="18"/>
              </w:rPr>
            </w:pPr>
            <w:r>
              <w:rPr>
                <w:rFonts w:ascii="宋体" w:hAnsi="宋体" w:eastAsia="宋体" w:cs="宋体"/>
                <w:sz w:val="18"/>
                <w:szCs w:val="18"/>
              </w:rPr>
              <w:t>6,574,352.28</w:t>
            </w:r>
          </w:p>
        </w:tc>
        <w:tc>
          <w:tcPr>
            <w:tcW w:w="1606" w:type="dxa"/>
            <w:tcBorders>
              <w:top w:val="single" w:color="auto" w:sz="2" w:space="0"/>
              <w:left w:val="single" w:color="auto" w:sz="2" w:space="0"/>
              <w:bottom w:val="single" w:color="auto" w:sz="2" w:space="0"/>
              <w:right w:val="single" w:color="auto" w:sz="2" w:space="0"/>
            </w:tcBorders>
            <w:vAlign w:val="center"/>
          </w:tcPr>
          <w:p w14:paraId="0326ACF0">
            <w:pPr>
              <w:spacing w:line="240" w:lineRule="exact"/>
              <w:jc w:val="right"/>
              <w:rPr>
                <w:rFonts w:ascii="宋体" w:hAnsi="宋体" w:eastAsia="宋体" w:cs="宋体"/>
                <w:sz w:val="18"/>
                <w:szCs w:val="18"/>
              </w:rPr>
            </w:pPr>
            <w:r>
              <w:rPr>
                <w:rFonts w:ascii="宋体" w:hAnsi="宋体" w:eastAsia="宋体" w:cs="宋体"/>
                <w:sz w:val="18"/>
                <w:szCs w:val="18"/>
              </w:rPr>
              <w:t>258,860,560.71</w:t>
            </w:r>
          </w:p>
        </w:tc>
      </w:tr>
      <w:tr w14:paraId="34AFA9D4">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18718C">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14C8BCB0">
            <w:pPr>
              <w:spacing w:line="240" w:lineRule="exact"/>
              <w:jc w:val="right"/>
              <w:rPr>
                <w:rFonts w:ascii="宋体" w:hAnsi="宋体" w:eastAsia="宋体" w:cs="宋体"/>
                <w:sz w:val="18"/>
                <w:szCs w:val="18"/>
              </w:rPr>
            </w:pPr>
            <w:r>
              <w:rPr>
                <w:rFonts w:ascii="宋体" w:hAnsi="宋体" w:eastAsia="宋体" w:cs="宋体"/>
                <w:sz w:val="18"/>
                <w:szCs w:val="18"/>
              </w:rPr>
              <w:t>3,036,281.71</w:t>
            </w:r>
          </w:p>
        </w:tc>
        <w:tc>
          <w:tcPr>
            <w:tcW w:w="1606" w:type="dxa"/>
            <w:tcBorders>
              <w:top w:val="single" w:color="auto" w:sz="2" w:space="0"/>
              <w:left w:val="single" w:color="auto" w:sz="2" w:space="0"/>
              <w:bottom w:val="single" w:color="auto" w:sz="2" w:space="0"/>
              <w:right w:val="single" w:color="auto" w:sz="2" w:space="0"/>
            </w:tcBorders>
            <w:vAlign w:val="center"/>
          </w:tcPr>
          <w:p w14:paraId="73FB6195">
            <w:pPr>
              <w:spacing w:line="240" w:lineRule="exact"/>
              <w:jc w:val="right"/>
              <w:rPr>
                <w:rFonts w:ascii="宋体" w:hAnsi="宋体" w:eastAsia="宋体" w:cs="宋体"/>
                <w:sz w:val="18"/>
                <w:szCs w:val="18"/>
              </w:rPr>
            </w:pPr>
            <w:r>
              <w:rPr>
                <w:rFonts w:ascii="宋体" w:hAnsi="宋体" w:eastAsia="宋体" w:cs="宋体"/>
                <w:sz w:val="18"/>
                <w:szCs w:val="18"/>
              </w:rPr>
              <w:t>4,655,376.01</w:t>
            </w:r>
          </w:p>
        </w:tc>
        <w:tc>
          <w:tcPr>
            <w:tcW w:w="1606" w:type="dxa"/>
            <w:tcBorders>
              <w:top w:val="single" w:color="auto" w:sz="2" w:space="0"/>
              <w:left w:val="single" w:color="auto" w:sz="2" w:space="0"/>
              <w:bottom w:val="single" w:color="auto" w:sz="2" w:space="0"/>
              <w:right w:val="single" w:color="auto" w:sz="2" w:space="0"/>
            </w:tcBorders>
            <w:vAlign w:val="center"/>
          </w:tcPr>
          <w:p w14:paraId="0DDB936F">
            <w:pPr>
              <w:spacing w:line="240" w:lineRule="exact"/>
              <w:jc w:val="right"/>
              <w:rPr>
                <w:rFonts w:ascii="宋体" w:hAnsi="宋体" w:eastAsia="宋体" w:cs="宋体"/>
                <w:sz w:val="18"/>
                <w:szCs w:val="18"/>
              </w:rPr>
            </w:pPr>
            <w:r>
              <w:rPr>
                <w:rFonts w:ascii="宋体" w:hAnsi="宋体" w:eastAsia="宋体" w:cs="宋体"/>
                <w:sz w:val="18"/>
                <w:szCs w:val="18"/>
              </w:rPr>
              <w:t>156,088.16</w:t>
            </w:r>
          </w:p>
        </w:tc>
        <w:tc>
          <w:tcPr>
            <w:tcW w:w="1606" w:type="dxa"/>
            <w:tcBorders>
              <w:top w:val="single" w:color="auto" w:sz="2" w:space="0"/>
              <w:left w:val="single" w:color="auto" w:sz="2" w:space="0"/>
              <w:bottom w:val="single" w:color="auto" w:sz="2" w:space="0"/>
              <w:right w:val="single" w:color="auto" w:sz="2" w:space="0"/>
            </w:tcBorders>
            <w:vAlign w:val="center"/>
          </w:tcPr>
          <w:p w14:paraId="3BB3B801">
            <w:pPr>
              <w:spacing w:line="240" w:lineRule="exact"/>
              <w:jc w:val="right"/>
              <w:rPr>
                <w:rFonts w:ascii="宋体" w:hAnsi="宋体" w:eastAsia="宋体" w:cs="宋体"/>
                <w:sz w:val="18"/>
                <w:szCs w:val="18"/>
              </w:rPr>
            </w:pPr>
            <w:r>
              <w:rPr>
                <w:rFonts w:ascii="宋体" w:hAnsi="宋体" w:eastAsia="宋体" w:cs="宋体"/>
                <w:sz w:val="18"/>
                <w:szCs w:val="18"/>
              </w:rPr>
              <w:t>92,362.37</w:t>
            </w:r>
          </w:p>
        </w:tc>
        <w:tc>
          <w:tcPr>
            <w:tcW w:w="1606" w:type="dxa"/>
            <w:tcBorders>
              <w:top w:val="single" w:color="auto" w:sz="2" w:space="0"/>
              <w:left w:val="single" w:color="auto" w:sz="2" w:space="0"/>
              <w:bottom w:val="single" w:color="auto" w:sz="2" w:space="0"/>
              <w:right w:val="single" w:color="auto" w:sz="2" w:space="0"/>
            </w:tcBorders>
            <w:vAlign w:val="center"/>
          </w:tcPr>
          <w:p w14:paraId="78A6DE6B">
            <w:pPr>
              <w:spacing w:line="240" w:lineRule="exact"/>
              <w:jc w:val="right"/>
              <w:rPr>
                <w:rFonts w:ascii="宋体" w:hAnsi="宋体" w:eastAsia="宋体" w:cs="宋体"/>
                <w:sz w:val="18"/>
                <w:szCs w:val="18"/>
              </w:rPr>
            </w:pPr>
            <w:r>
              <w:rPr>
                <w:rFonts w:ascii="宋体" w:hAnsi="宋体" w:eastAsia="宋体" w:cs="宋体"/>
                <w:sz w:val="18"/>
                <w:szCs w:val="18"/>
              </w:rPr>
              <w:t>7,940,108.25</w:t>
            </w:r>
          </w:p>
        </w:tc>
      </w:tr>
      <w:tr w14:paraId="6CABDE80">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1306B3">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（1）计提</w:t>
            </w:r>
          </w:p>
        </w:tc>
        <w:tc>
          <w:tcPr>
            <w:tcW w:w="1606" w:type="dxa"/>
            <w:tcBorders>
              <w:top w:val="single" w:color="auto" w:sz="2" w:space="0"/>
              <w:left w:val="single" w:color="auto" w:sz="2" w:space="0"/>
              <w:bottom w:val="single" w:color="auto" w:sz="2" w:space="0"/>
              <w:right w:val="single" w:color="auto" w:sz="2" w:space="0"/>
            </w:tcBorders>
            <w:vAlign w:val="center"/>
          </w:tcPr>
          <w:p w14:paraId="3EF4F551">
            <w:pPr>
              <w:spacing w:line="240" w:lineRule="exact"/>
              <w:jc w:val="right"/>
              <w:rPr>
                <w:rFonts w:ascii="宋体" w:hAnsi="宋体" w:eastAsia="宋体" w:cs="宋体"/>
                <w:sz w:val="18"/>
                <w:szCs w:val="18"/>
              </w:rPr>
            </w:pPr>
            <w:r>
              <w:rPr>
                <w:rFonts w:ascii="宋体" w:hAnsi="宋体" w:eastAsia="宋体" w:cs="宋体"/>
                <w:sz w:val="18"/>
                <w:szCs w:val="18"/>
              </w:rPr>
              <w:t>3,036,281.71</w:t>
            </w:r>
          </w:p>
        </w:tc>
        <w:tc>
          <w:tcPr>
            <w:tcW w:w="1606" w:type="dxa"/>
            <w:tcBorders>
              <w:top w:val="single" w:color="auto" w:sz="2" w:space="0"/>
              <w:left w:val="single" w:color="auto" w:sz="2" w:space="0"/>
              <w:bottom w:val="single" w:color="auto" w:sz="2" w:space="0"/>
              <w:right w:val="single" w:color="auto" w:sz="2" w:space="0"/>
            </w:tcBorders>
            <w:vAlign w:val="center"/>
          </w:tcPr>
          <w:p w14:paraId="5673FAAB">
            <w:pPr>
              <w:spacing w:line="240" w:lineRule="exact"/>
              <w:jc w:val="right"/>
              <w:rPr>
                <w:rFonts w:ascii="宋体" w:hAnsi="宋体" w:eastAsia="宋体" w:cs="宋体"/>
                <w:sz w:val="18"/>
                <w:szCs w:val="18"/>
              </w:rPr>
            </w:pPr>
            <w:r>
              <w:rPr>
                <w:rFonts w:ascii="宋体" w:hAnsi="宋体" w:eastAsia="宋体" w:cs="宋体"/>
                <w:sz w:val="18"/>
                <w:szCs w:val="18"/>
              </w:rPr>
              <w:t>4,655,376.01</w:t>
            </w:r>
          </w:p>
        </w:tc>
        <w:tc>
          <w:tcPr>
            <w:tcW w:w="1606" w:type="dxa"/>
            <w:tcBorders>
              <w:top w:val="single" w:color="auto" w:sz="2" w:space="0"/>
              <w:left w:val="single" w:color="auto" w:sz="2" w:space="0"/>
              <w:bottom w:val="single" w:color="auto" w:sz="2" w:space="0"/>
              <w:right w:val="single" w:color="auto" w:sz="2" w:space="0"/>
            </w:tcBorders>
            <w:vAlign w:val="center"/>
          </w:tcPr>
          <w:p w14:paraId="3A644E95">
            <w:pPr>
              <w:spacing w:line="240" w:lineRule="exact"/>
              <w:jc w:val="right"/>
              <w:rPr>
                <w:rFonts w:ascii="宋体" w:hAnsi="宋体" w:eastAsia="宋体" w:cs="宋体"/>
                <w:sz w:val="18"/>
                <w:szCs w:val="18"/>
              </w:rPr>
            </w:pPr>
            <w:r>
              <w:rPr>
                <w:rFonts w:ascii="宋体" w:hAnsi="宋体" w:eastAsia="宋体" w:cs="宋体"/>
                <w:sz w:val="18"/>
                <w:szCs w:val="18"/>
              </w:rPr>
              <w:t>156,088.16</w:t>
            </w:r>
          </w:p>
        </w:tc>
        <w:tc>
          <w:tcPr>
            <w:tcW w:w="1606" w:type="dxa"/>
            <w:tcBorders>
              <w:top w:val="single" w:color="auto" w:sz="2" w:space="0"/>
              <w:left w:val="single" w:color="auto" w:sz="2" w:space="0"/>
              <w:bottom w:val="single" w:color="auto" w:sz="2" w:space="0"/>
              <w:right w:val="single" w:color="auto" w:sz="2" w:space="0"/>
            </w:tcBorders>
            <w:vAlign w:val="center"/>
          </w:tcPr>
          <w:p w14:paraId="35278983">
            <w:pPr>
              <w:spacing w:line="240" w:lineRule="exact"/>
              <w:jc w:val="right"/>
              <w:rPr>
                <w:rFonts w:ascii="宋体" w:hAnsi="宋体" w:eastAsia="宋体" w:cs="宋体"/>
                <w:sz w:val="18"/>
                <w:szCs w:val="18"/>
              </w:rPr>
            </w:pPr>
            <w:r>
              <w:rPr>
                <w:rFonts w:ascii="宋体" w:hAnsi="宋体" w:eastAsia="宋体" w:cs="宋体"/>
                <w:sz w:val="18"/>
                <w:szCs w:val="18"/>
              </w:rPr>
              <w:t>92,362.37</w:t>
            </w:r>
          </w:p>
        </w:tc>
        <w:tc>
          <w:tcPr>
            <w:tcW w:w="1606" w:type="dxa"/>
            <w:tcBorders>
              <w:top w:val="single" w:color="auto" w:sz="2" w:space="0"/>
              <w:left w:val="single" w:color="auto" w:sz="2" w:space="0"/>
              <w:bottom w:val="single" w:color="auto" w:sz="2" w:space="0"/>
              <w:right w:val="single" w:color="auto" w:sz="2" w:space="0"/>
            </w:tcBorders>
            <w:vAlign w:val="center"/>
          </w:tcPr>
          <w:p w14:paraId="48D34932">
            <w:pPr>
              <w:spacing w:line="240" w:lineRule="exact"/>
              <w:jc w:val="right"/>
              <w:rPr>
                <w:rFonts w:ascii="宋体" w:hAnsi="宋体" w:eastAsia="宋体" w:cs="宋体"/>
                <w:sz w:val="18"/>
                <w:szCs w:val="18"/>
              </w:rPr>
            </w:pPr>
            <w:r>
              <w:rPr>
                <w:rFonts w:ascii="宋体" w:hAnsi="宋体" w:eastAsia="宋体" w:cs="宋体"/>
                <w:sz w:val="18"/>
                <w:szCs w:val="18"/>
              </w:rPr>
              <w:t>7,940,108.25</w:t>
            </w:r>
          </w:p>
        </w:tc>
      </w:tr>
      <w:tr w14:paraId="64C2A5C3">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883BE74">
            <w:pPr>
              <w:spacing w:line="240" w:lineRule="exac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12E15A0">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000586B">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4CCAA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082577">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4921F2C">
            <w:pPr>
              <w:spacing w:line="240" w:lineRule="exact"/>
              <w:jc w:val="right"/>
              <w:rPr>
                <w:rFonts w:ascii="宋体" w:hAnsi="宋体" w:eastAsia="宋体" w:cs="宋体"/>
                <w:sz w:val="18"/>
                <w:szCs w:val="18"/>
              </w:rPr>
            </w:pPr>
          </w:p>
        </w:tc>
      </w:tr>
      <w:tr w14:paraId="78E75A2B">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A5E0E5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25582985">
            <w:pPr>
              <w:spacing w:line="240" w:lineRule="exact"/>
              <w:jc w:val="right"/>
              <w:rPr>
                <w:rFonts w:ascii="宋体" w:hAnsi="宋体" w:eastAsia="宋体" w:cs="宋体"/>
                <w:sz w:val="18"/>
                <w:szCs w:val="18"/>
              </w:rPr>
            </w:pPr>
            <w:r>
              <w:rPr>
                <w:rFonts w:ascii="宋体" w:hAnsi="宋体" w:eastAsia="宋体" w:cs="宋体"/>
                <w:sz w:val="18"/>
                <w:szCs w:val="18"/>
              </w:rPr>
              <w:t>1,951,080.00</w:t>
            </w:r>
          </w:p>
        </w:tc>
        <w:tc>
          <w:tcPr>
            <w:tcW w:w="1606" w:type="dxa"/>
            <w:tcBorders>
              <w:top w:val="single" w:color="auto" w:sz="2" w:space="0"/>
              <w:left w:val="single" w:color="auto" w:sz="2" w:space="0"/>
              <w:bottom w:val="single" w:color="auto" w:sz="2" w:space="0"/>
              <w:right w:val="single" w:color="auto" w:sz="2" w:space="0"/>
            </w:tcBorders>
            <w:vAlign w:val="center"/>
          </w:tcPr>
          <w:p w14:paraId="423DA2F7">
            <w:pPr>
              <w:spacing w:line="240" w:lineRule="exact"/>
              <w:jc w:val="right"/>
              <w:rPr>
                <w:rFonts w:ascii="宋体" w:hAnsi="宋体" w:eastAsia="宋体" w:cs="宋体"/>
                <w:sz w:val="18"/>
                <w:szCs w:val="18"/>
              </w:rPr>
            </w:pPr>
            <w:r>
              <w:rPr>
                <w:rFonts w:ascii="宋体" w:hAnsi="宋体" w:eastAsia="宋体" w:cs="宋体"/>
                <w:sz w:val="18"/>
                <w:szCs w:val="18"/>
              </w:rPr>
              <w:t>21,852,975.02</w:t>
            </w:r>
          </w:p>
        </w:tc>
        <w:tc>
          <w:tcPr>
            <w:tcW w:w="1606" w:type="dxa"/>
            <w:tcBorders>
              <w:top w:val="single" w:color="auto" w:sz="2" w:space="0"/>
              <w:left w:val="single" w:color="auto" w:sz="2" w:space="0"/>
              <w:bottom w:val="single" w:color="auto" w:sz="2" w:space="0"/>
              <w:right w:val="single" w:color="auto" w:sz="2" w:space="0"/>
            </w:tcBorders>
            <w:vAlign w:val="center"/>
          </w:tcPr>
          <w:p w14:paraId="51A1BACA">
            <w:pPr>
              <w:spacing w:line="240" w:lineRule="exact"/>
              <w:jc w:val="right"/>
              <w:rPr>
                <w:rFonts w:ascii="宋体" w:hAnsi="宋体" w:eastAsia="宋体" w:cs="宋体"/>
                <w:sz w:val="18"/>
                <w:szCs w:val="18"/>
              </w:rPr>
            </w:pPr>
            <w:r>
              <w:rPr>
                <w:rFonts w:ascii="宋体" w:hAnsi="宋体" w:eastAsia="宋体" w:cs="宋体"/>
                <w:sz w:val="18"/>
                <w:szCs w:val="18"/>
              </w:rPr>
              <w:t>6,639.89</w:t>
            </w:r>
          </w:p>
        </w:tc>
        <w:tc>
          <w:tcPr>
            <w:tcW w:w="1606" w:type="dxa"/>
            <w:tcBorders>
              <w:top w:val="single" w:color="auto" w:sz="2" w:space="0"/>
              <w:left w:val="single" w:color="auto" w:sz="2" w:space="0"/>
              <w:bottom w:val="single" w:color="auto" w:sz="2" w:space="0"/>
              <w:right w:val="single" w:color="auto" w:sz="2" w:space="0"/>
            </w:tcBorders>
            <w:vAlign w:val="center"/>
          </w:tcPr>
          <w:p w14:paraId="4487C826">
            <w:pPr>
              <w:spacing w:line="240" w:lineRule="exact"/>
              <w:jc w:val="right"/>
              <w:rPr>
                <w:rFonts w:ascii="宋体" w:hAnsi="宋体" w:eastAsia="宋体" w:cs="宋体"/>
                <w:sz w:val="18"/>
                <w:szCs w:val="18"/>
              </w:rPr>
            </w:pPr>
            <w:r>
              <w:rPr>
                <w:rFonts w:ascii="宋体" w:hAnsi="宋体" w:eastAsia="宋体" w:cs="宋体"/>
                <w:sz w:val="18"/>
                <w:szCs w:val="18"/>
              </w:rPr>
              <w:t>96,412.99</w:t>
            </w:r>
          </w:p>
        </w:tc>
        <w:tc>
          <w:tcPr>
            <w:tcW w:w="1606" w:type="dxa"/>
            <w:tcBorders>
              <w:top w:val="single" w:color="auto" w:sz="2" w:space="0"/>
              <w:left w:val="single" w:color="auto" w:sz="2" w:space="0"/>
              <w:bottom w:val="single" w:color="auto" w:sz="2" w:space="0"/>
              <w:right w:val="single" w:color="auto" w:sz="2" w:space="0"/>
            </w:tcBorders>
            <w:vAlign w:val="center"/>
          </w:tcPr>
          <w:p w14:paraId="281641CF">
            <w:pPr>
              <w:spacing w:line="240" w:lineRule="exact"/>
              <w:jc w:val="right"/>
              <w:rPr>
                <w:rFonts w:ascii="宋体" w:hAnsi="宋体" w:eastAsia="宋体" w:cs="宋体"/>
                <w:sz w:val="18"/>
                <w:szCs w:val="18"/>
              </w:rPr>
            </w:pPr>
            <w:r>
              <w:rPr>
                <w:rFonts w:ascii="宋体" w:hAnsi="宋体" w:eastAsia="宋体" w:cs="宋体"/>
                <w:sz w:val="18"/>
                <w:szCs w:val="18"/>
              </w:rPr>
              <w:t>23,907,107.90</w:t>
            </w:r>
          </w:p>
        </w:tc>
      </w:tr>
      <w:tr w14:paraId="4A9A0EB0">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7B17C2">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334B5C4C">
            <w:pPr>
              <w:spacing w:line="240" w:lineRule="exact"/>
              <w:jc w:val="right"/>
              <w:rPr>
                <w:rFonts w:ascii="宋体" w:hAnsi="宋体" w:eastAsia="宋体" w:cs="宋体"/>
                <w:sz w:val="18"/>
                <w:szCs w:val="18"/>
              </w:rPr>
            </w:pPr>
            <w:r>
              <w:rPr>
                <w:rFonts w:ascii="宋体" w:hAnsi="宋体" w:eastAsia="宋体" w:cs="宋体"/>
                <w:sz w:val="18"/>
                <w:szCs w:val="18"/>
              </w:rPr>
              <w:t>1,951,080.00</w:t>
            </w:r>
          </w:p>
        </w:tc>
        <w:tc>
          <w:tcPr>
            <w:tcW w:w="1606" w:type="dxa"/>
            <w:tcBorders>
              <w:top w:val="single" w:color="auto" w:sz="2" w:space="0"/>
              <w:left w:val="single" w:color="auto" w:sz="2" w:space="0"/>
              <w:bottom w:val="single" w:color="auto" w:sz="2" w:space="0"/>
              <w:right w:val="single" w:color="auto" w:sz="2" w:space="0"/>
            </w:tcBorders>
            <w:vAlign w:val="center"/>
          </w:tcPr>
          <w:p w14:paraId="6D209BE2">
            <w:pPr>
              <w:spacing w:line="240" w:lineRule="exact"/>
              <w:jc w:val="right"/>
              <w:rPr>
                <w:rFonts w:ascii="宋体" w:hAnsi="宋体" w:eastAsia="宋体" w:cs="宋体"/>
                <w:sz w:val="18"/>
                <w:szCs w:val="18"/>
              </w:rPr>
            </w:pPr>
            <w:r>
              <w:rPr>
                <w:rFonts w:ascii="宋体" w:hAnsi="宋体" w:eastAsia="宋体" w:cs="宋体"/>
                <w:sz w:val="18"/>
                <w:szCs w:val="18"/>
              </w:rPr>
              <w:t>21,852,975.02</w:t>
            </w:r>
          </w:p>
        </w:tc>
        <w:tc>
          <w:tcPr>
            <w:tcW w:w="1606" w:type="dxa"/>
            <w:tcBorders>
              <w:top w:val="single" w:color="auto" w:sz="2" w:space="0"/>
              <w:left w:val="single" w:color="auto" w:sz="2" w:space="0"/>
              <w:bottom w:val="single" w:color="auto" w:sz="2" w:space="0"/>
              <w:right w:val="single" w:color="auto" w:sz="2" w:space="0"/>
            </w:tcBorders>
            <w:vAlign w:val="center"/>
          </w:tcPr>
          <w:p w14:paraId="170929DC">
            <w:pPr>
              <w:spacing w:line="240" w:lineRule="exact"/>
              <w:jc w:val="right"/>
              <w:rPr>
                <w:rFonts w:ascii="宋体" w:hAnsi="宋体" w:eastAsia="宋体" w:cs="宋体"/>
                <w:sz w:val="18"/>
                <w:szCs w:val="18"/>
              </w:rPr>
            </w:pPr>
            <w:r>
              <w:rPr>
                <w:rFonts w:ascii="宋体" w:hAnsi="宋体" w:eastAsia="宋体" w:cs="宋体"/>
                <w:sz w:val="18"/>
                <w:szCs w:val="18"/>
              </w:rPr>
              <w:t>6,639.89</w:t>
            </w:r>
          </w:p>
        </w:tc>
        <w:tc>
          <w:tcPr>
            <w:tcW w:w="1606" w:type="dxa"/>
            <w:tcBorders>
              <w:top w:val="single" w:color="auto" w:sz="2" w:space="0"/>
              <w:left w:val="single" w:color="auto" w:sz="2" w:space="0"/>
              <w:bottom w:val="single" w:color="auto" w:sz="2" w:space="0"/>
              <w:right w:val="single" w:color="auto" w:sz="2" w:space="0"/>
            </w:tcBorders>
            <w:vAlign w:val="center"/>
          </w:tcPr>
          <w:p w14:paraId="5597A108">
            <w:pPr>
              <w:spacing w:line="240" w:lineRule="exact"/>
              <w:jc w:val="right"/>
              <w:rPr>
                <w:rFonts w:ascii="宋体" w:hAnsi="宋体" w:eastAsia="宋体" w:cs="宋体"/>
                <w:sz w:val="18"/>
                <w:szCs w:val="18"/>
              </w:rPr>
            </w:pPr>
            <w:r>
              <w:rPr>
                <w:rFonts w:ascii="宋体" w:hAnsi="宋体" w:eastAsia="宋体" w:cs="宋体"/>
                <w:sz w:val="18"/>
                <w:szCs w:val="18"/>
              </w:rPr>
              <w:t>96,412.99</w:t>
            </w:r>
          </w:p>
        </w:tc>
        <w:tc>
          <w:tcPr>
            <w:tcW w:w="1606" w:type="dxa"/>
            <w:tcBorders>
              <w:top w:val="single" w:color="auto" w:sz="2" w:space="0"/>
              <w:left w:val="single" w:color="auto" w:sz="2" w:space="0"/>
              <w:bottom w:val="single" w:color="auto" w:sz="2" w:space="0"/>
              <w:right w:val="single" w:color="auto" w:sz="2" w:space="0"/>
            </w:tcBorders>
            <w:vAlign w:val="center"/>
          </w:tcPr>
          <w:p w14:paraId="35098E04">
            <w:pPr>
              <w:spacing w:line="240" w:lineRule="exact"/>
              <w:jc w:val="right"/>
              <w:rPr>
                <w:rFonts w:ascii="宋体" w:hAnsi="宋体" w:eastAsia="宋体" w:cs="宋体"/>
                <w:sz w:val="18"/>
                <w:szCs w:val="18"/>
              </w:rPr>
            </w:pPr>
            <w:r>
              <w:rPr>
                <w:rFonts w:ascii="宋体" w:hAnsi="宋体" w:eastAsia="宋体" w:cs="宋体"/>
                <w:sz w:val="18"/>
                <w:szCs w:val="18"/>
              </w:rPr>
              <w:t>23,907,107.90</w:t>
            </w:r>
          </w:p>
        </w:tc>
      </w:tr>
      <w:tr w14:paraId="4659B806">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3324A9C">
            <w:pPr>
              <w:spacing w:line="240" w:lineRule="exac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B64FFE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CB990A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5EFA47F">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58674B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237EBB1">
            <w:pPr>
              <w:spacing w:line="240" w:lineRule="exact"/>
              <w:jc w:val="right"/>
              <w:rPr>
                <w:rFonts w:ascii="宋体" w:hAnsi="宋体" w:eastAsia="宋体" w:cs="宋体"/>
                <w:sz w:val="18"/>
                <w:szCs w:val="18"/>
              </w:rPr>
            </w:pPr>
          </w:p>
        </w:tc>
      </w:tr>
      <w:tr w14:paraId="59B97A67">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AF58608">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3823E887">
            <w:pPr>
              <w:spacing w:line="240" w:lineRule="exact"/>
              <w:jc w:val="right"/>
              <w:rPr>
                <w:rFonts w:ascii="宋体" w:hAnsi="宋体" w:eastAsia="宋体" w:cs="宋体"/>
                <w:sz w:val="18"/>
                <w:szCs w:val="18"/>
              </w:rPr>
            </w:pPr>
            <w:r>
              <w:rPr>
                <w:rFonts w:ascii="宋体" w:hAnsi="宋体" w:eastAsia="宋体" w:cs="宋体"/>
                <w:sz w:val="18"/>
                <w:szCs w:val="18"/>
              </w:rPr>
              <w:t>124,136,891.07</w:t>
            </w:r>
          </w:p>
        </w:tc>
        <w:tc>
          <w:tcPr>
            <w:tcW w:w="1606" w:type="dxa"/>
            <w:tcBorders>
              <w:top w:val="single" w:color="auto" w:sz="2" w:space="0"/>
              <w:left w:val="single" w:color="auto" w:sz="2" w:space="0"/>
              <w:bottom w:val="single" w:color="auto" w:sz="2" w:space="0"/>
              <w:right w:val="single" w:color="auto" w:sz="2" w:space="0"/>
            </w:tcBorders>
            <w:vAlign w:val="center"/>
          </w:tcPr>
          <w:p w14:paraId="549C5430">
            <w:pPr>
              <w:spacing w:line="240" w:lineRule="exact"/>
              <w:jc w:val="right"/>
              <w:rPr>
                <w:rFonts w:ascii="宋体" w:hAnsi="宋体" w:eastAsia="宋体" w:cs="宋体"/>
                <w:sz w:val="18"/>
                <w:szCs w:val="18"/>
              </w:rPr>
            </w:pPr>
            <w:r>
              <w:rPr>
                <w:rFonts w:ascii="宋体" w:hAnsi="宋体" w:eastAsia="宋体" w:cs="宋体"/>
                <w:sz w:val="18"/>
                <w:szCs w:val="18"/>
              </w:rPr>
              <w:t>108,856,331.80</w:t>
            </w:r>
          </w:p>
        </w:tc>
        <w:tc>
          <w:tcPr>
            <w:tcW w:w="1606" w:type="dxa"/>
            <w:tcBorders>
              <w:top w:val="single" w:color="auto" w:sz="2" w:space="0"/>
              <w:left w:val="single" w:color="auto" w:sz="2" w:space="0"/>
              <w:bottom w:val="single" w:color="auto" w:sz="2" w:space="0"/>
              <w:right w:val="single" w:color="auto" w:sz="2" w:space="0"/>
            </w:tcBorders>
            <w:vAlign w:val="center"/>
          </w:tcPr>
          <w:p w14:paraId="0C56AAC7">
            <w:pPr>
              <w:spacing w:line="240" w:lineRule="exact"/>
              <w:jc w:val="right"/>
              <w:rPr>
                <w:rFonts w:ascii="宋体" w:hAnsi="宋体" w:eastAsia="宋体" w:cs="宋体"/>
                <w:sz w:val="18"/>
                <w:szCs w:val="18"/>
              </w:rPr>
            </w:pPr>
            <w:r>
              <w:rPr>
                <w:rFonts w:ascii="宋体" w:hAnsi="宋体" w:eastAsia="宋体" w:cs="宋体"/>
                <w:sz w:val="18"/>
                <w:szCs w:val="18"/>
              </w:rPr>
              <w:t>3,330,036.53</w:t>
            </w:r>
          </w:p>
        </w:tc>
        <w:tc>
          <w:tcPr>
            <w:tcW w:w="1606" w:type="dxa"/>
            <w:tcBorders>
              <w:top w:val="single" w:color="auto" w:sz="2" w:space="0"/>
              <w:left w:val="single" w:color="auto" w:sz="2" w:space="0"/>
              <w:bottom w:val="single" w:color="auto" w:sz="2" w:space="0"/>
              <w:right w:val="single" w:color="auto" w:sz="2" w:space="0"/>
            </w:tcBorders>
            <w:vAlign w:val="center"/>
          </w:tcPr>
          <w:p w14:paraId="73E25900">
            <w:pPr>
              <w:spacing w:line="240" w:lineRule="exact"/>
              <w:jc w:val="right"/>
              <w:rPr>
                <w:rFonts w:ascii="宋体" w:hAnsi="宋体" w:eastAsia="宋体" w:cs="宋体"/>
                <w:sz w:val="18"/>
                <w:szCs w:val="18"/>
              </w:rPr>
            </w:pPr>
            <w:r>
              <w:rPr>
                <w:rFonts w:ascii="宋体" w:hAnsi="宋体" w:eastAsia="宋体" w:cs="宋体"/>
                <w:sz w:val="18"/>
                <w:szCs w:val="18"/>
              </w:rPr>
              <w:t>6,570,301.66</w:t>
            </w:r>
          </w:p>
        </w:tc>
        <w:tc>
          <w:tcPr>
            <w:tcW w:w="1606" w:type="dxa"/>
            <w:tcBorders>
              <w:top w:val="single" w:color="auto" w:sz="2" w:space="0"/>
              <w:left w:val="single" w:color="auto" w:sz="2" w:space="0"/>
              <w:bottom w:val="single" w:color="auto" w:sz="2" w:space="0"/>
              <w:right w:val="single" w:color="auto" w:sz="2" w:space="0"/>
            </w:tcBorders>
            <w:vAlign w:val="center"/>
          </w:tcPr>
          <w:p w14:paraId="4D7D447E">
            <w:pPr>
              <w:spacing w:line="240" w:lineRule="exact"/>
              <w:jc w:val="right"/>
              <w:rPr>
                <w:rFonts w:ascii="宋体" w:hAnsi="宋体" w:eastAsia="宋体" w:cs="宋体"/>
                <w:sz w:val="18"/>
                <w:szCs w:val="18"/>
              </w:rPr>
            </w:pPr>
            <w:r>
              <w:rPr>
                <w:rFonts w:ascii="宋体" w:hAnsi="宋体" w:eastAsia="宋体" w:cs="宋体"/>
                <w:sz w:val="18"/>
                <w:szCs w:val="18"/>
              </w:rPr>
              <w:t>242,893,561.06</w:t>
            </w:r>
          </w:p>
        </w:tc>
      </w:tr>
      <w:tr w14:paraId="1BE90D37">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B999916">
            <w:pPr>
              <w:spacing w:before="40" w:after="40" w:line="240" w:lineRule="exact"/>
              <w:rPr>
                <w:rFonts w:ascii="宋体" w:hAnsi="宋体" w:eastAsia="宋体" w:cs="宋体"/>
                <w:sz w:val="18"/>
                <w:szCs w:val="18"/>
              </w:rPr>
            </w:pPr>
            <w:r>
              <w:rPr>
                <w:rFonts w:ascii="宋体" w:hAnsi="宋体" w:eastAsia="宋体" w:cs="宋体"/>
                <w:sz w:val="18"/>
                <w:szCs w:val="18"/>
              </w:rPr>
              <w:t>三、减值准备</w:t>
            </w:r>
          </w:p>
        </w:tc>
        <w:tc>
          <w:tcPr>
            <w:tcW w:w="1606" w:type="dxa"/>
            <w:tcBorders>
              <w:top w:val="single" w:color="auto" w:sz="2" w:space="0"/>
              <w:left w:val="single" w:color="auto" w:sz="2" w:space="0"/>
              <w:bottom w:val="single" w:color="auto" w:sz="2" w:space="0"/>
              <w:right w:val="single" w:color="auto" w:sz="2" w:space="0"/>
            </w:tcBorders>
            <w:vAlign w:val="center"/>
          </w:tcPr>
          <w:p w14:paraId="0E92A867">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B532ED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139BE0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F3B37E2">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DDB94D1">
            <w:pPr>
              <w:spacing w:line="240" w:lineRule="exact"/>
              <w:jc w:val="right"/>
              <w:rPr>
                <w:rFonts w:ascii="宋体" w:hAnsi="宋体" w:eastAsia="宋体" w:cs="宋体"/>
                <w:sz w:val="18"/>
                <w:szCs w:val="18"/>
              </w:rPr>
            </w:pPr>
          </w:p>
        </w:tc>
      </w:tr>
      <w:tr w14:paraId="0719CB44">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6ACB10D">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3A1110CC">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BBE2A1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96289BB">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44A93B1">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C10AF16">
            <w:pPr>
              <w:spacing w:line="240" w:lineRule="exact"/>
              <w:jc w:val="right"/>
              <w:rPr>
                <w:rFonts w:ascii="宋体" w:hAnsi="宋体" w:eastAsia="宋体" w:cs="宋体"/>
                <w:sz w:val="18"/>
                <w:szCs w:val="18"/>
              </w:rPr>
            </w:pPr>
          </w:p>
        </w:tc>
      </w:tr>
      <w:tr w14:paraId="0E3EDD5F">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97B53E">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6E10AE3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0F851A5">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160DC8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BF888ED">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8A99ED3">
            <w:pPr>
              <w:spacing w:line="240" w:lineRule="exact"/>
              <w:jc w:val="right"/>
              <w:rPr>
                <w:rFonts w:ascii="宋体" w:hAnsi="宋体" w:eastAsia="宋体" w:cs="宋体"/>
                <w:sz w:val="18"/>
                <w:szCs w:val="18"/>
              </w:rPr>
            </w:pPr>
          </w:p>
        </w:tc>
      </w:tr>
      <w:tr w14:paraId="76227E1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BF3B63">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（1）计提</w:t>
            </w:r>
          </w:p>
        </w:tc>
        <w:tc>
          <w:tcPr>
            <w:tcW w:w="1606" w:type="dxa"/>
            <w:tcBorders>
              <w:top w:val="single" w:color="auto" w:sz="2" w:space="0"/>
              <w:left w:val="single" w:color="auto" w:sz="2" w:space="0"/>
              <w:bottom w:val="single" w:color="auto" w:sz="2" w:space="0"/>
              <w:right w:val="single" w:color="auto" w:sz="2" w:space="0"/>
            </w:tcBorders>
            <w:vAlign w:val="center"/>
          </w:tcPr>
          <w:p w14:paraId="6F560F71">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39B5105">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880071C">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29D6BE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C424A1F">
            <w:pPr>
              <w:spacing w:line="240" w:lineRule="exact"/>
              <w:jc w:val="right"/>
              <w:rPr>
                <w:rFonts w:ascii="宋体" w:hAnsi="宋体" w:eastAsia="宋体" w:cs="宋体"/>
                <w:sz w:val="18"/>
                <w:szCs w:val="18"/>
              </w:rPr>
            </w:pPr>
          </w:p>
        </w:tc>
      </w:tr>
      <w:tr w14:paraId="1ED7966E">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44C6212">
            <w:pPr>
              <w:spacing w:line="240" w:lineRule="exac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15B100D">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D838F7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B23089D">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A0E671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594F714">
            <w:pPr>
              <w:spacing w:line="240" w:lineRule="exact"/>
              <w:jc w:val="right"/>
              <w:rPr>
                <w:rFonts w:ascii="宋体" w:hAnsi="宋体" w:eastAsia="宋体" w:cs="宋体"/>
                <w:sz w:val="18"/>
                <w:szCs w:val="18"/>
              </w:rPr>
            </w:pPr>
          </w:p>
        </w:tc>
      </w:tr>
      <w:tr w14:paraId="5FBC791B">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FB2BD78">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171B97B0">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96EE6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1452A2D">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570001B">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4C0B3BF">
            <w:pPr>
              <w:spacing w:line="240" w:lineRule="exact"/>
              <w:jc w:val="right"/>
              <w:rPr>
                <w:rFonts w:ascii="宋体" w:hAnsi="宋体" w:eastAsia="宋体" w:cs="宋体"/>
                <w:sz w:val="18"/>
                <w:szCs w:val="18"/>
              </w:rPr>
            </w:pPr>
          </w:p>
        </w:tc>
      </w:tr>
      <w:tr w14:paraId="6C276C9E">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C7EEF07">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0CA4C0CE">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7854979">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F6067FF">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0826E9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6D95F3C">
            <w:pPr>
              <w:spacing w:line="240" w:lineRule="exact"/>
              <w:jc w:val="right"/>
              <w:rPr>
                <w:rFonts w:ascii="宋体" w:hAnsi="宋体" w:eastAsia="宋体" w:cs="宋体"/>
                <w:sz w:val="18"/>
                <w:szCs w:val="18"/>
              </w:rPr>
            </w:pPr>
          </w:p>
        </w:tc>
      </w:tr>
      <w:tr w14:paraId="40BA2D8A">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F7ED1D9">
            <w:pPr>
              <w:spacing w:line="240" w:lineRule="exac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F4553C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1AB4931">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3239F4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8A1AB99">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D40F9C0">
            <w:pPr>
              <w:spacing w:line="240" w:lineRule="exact"/>
              <w:jc w:val="right"/>
              <w:rPr>
                <w:rFonts w:ascii="宋体" w:hAnsi="宋体" w:eastAsia="宋体" w:cs="宋体"/>
                <w:sz w:val="18"/>
                <w:szCs w:val="18"/>
              </w:rPr>
            </w:pPr>
          </w:p>
        </w:tc>
      </w:tr>
      <w:tr w14:paraId="3375462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171EB7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4A62F006">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09EEE12">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C2004D9">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366F0A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F2AAE80">
            <w:pPr>
              <w:spacing w:line="240" w:lineRule="exact"/>
              <w:jc w:val="right"/>
              <w:rPr>
                <w:rFonts w:ascii="宋体" w:hAnsi="宋体" w:eastAsia="宋体" w:cs="宋体"/>
                <w:sz w:val="18"/>
                <w:szCs w:val="18"/>
              </w:rPr>
            </w:pPr>
          </w:p>
        </w:tc>
      </w:tr>
      <w:tr w14:paraId="59A9639E">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1053D4">
            <w:pPr>
              <w:spacing w:before="40" w:after="40" w:line="240" w:lineRule="exact"/>
              <w:rPr>
                <w:rFonts w:ascii="宋体" w:hAnsi="宋体" w:eastAsia="宋体" w:cs="宋体"/>
                <w:sz w:val="18"/>
                <w:szCs w:val="18"/>
              </w:rPr>
            </w:pPr>
            <w:r>
              <w:rPr>
                <w:rFonts w:ascii="宋体" w:hAnsi="宋体" w:eastAsia="宋体" w:cs="宋体"/>
                <w:sz w:val="18"/>
                <w:szCs w:val="18"/>
              </w:rPr>
              <w:t>四、账面价值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4E6CBED0">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CE10063">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ED8B31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A5BBDD0">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C8DDECF">
            <w:pPr>
              <w:spacing w:line="240" w:lineRule="exact"/>
              <w:jc w:val="right"/>
              <w:rPr>
                <w:rFonts w:ascii="宋体" w:hAnsi="宋体" w:eastAsia="宋体" w:cs="宋体"/>
                <w:sz w:val="18"/>
                <w:szCs w:val="18"/>
              </w:rPr>
            </w:pPr>
          </w:p>
        </w:tc>
      </w:tr>
      <w:tr w14:paraId="5E96E985">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5F9BFC">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1.期末账面价值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38EFE87E">
            <w:pPr>
              <w:spacing w:line="240" w:lineRule="exact"/>
              <w:jc w:val="right"/>
              <w:rPr>
                <w:rFonts w:ascii="宋体" w:hAnsi="宋体" w:eastAsia="宋体" w:cs="宋体"/>
                <w:sz w:val="18"/>
                <w:szCs w:val="18"/>
              </w:rPr>
            </w:pPr>
            <w:r>
              <w:rPr>
                <w:rFonts w:ascii="宋体" w:hAnsi="宋体" w:eastAsia="宋体" w:cs="宋体"/>
                <w:sz w:val="18"/>
                <w:szCs w:val="18"/>
              </w:rPr>
              <w:t>44,944,272.17</w:t>
            </w:r>
          </w:p>
        </w:tc>
        <w:tc>
          <w:tcPr>
            <w:tcW w:w="1606" w:type="dxa"/>
            <w:tcBorders>
              <w:top w:val="single" w:color="auto" w:sz="2" w:space="0"/>
              <w:left w:val="single" w:color="auto" w:sz="2" w:space="0"/>
              <w:bottom w:val="single" w:color="auto" w:sz="2" w:space="0"/>
              <w:right w:val="single" w:color="auto" w:sz="2" w:space="0"/>
            </w:tcBorders>
            <w:vAlign w:val="center"/>
          </w:tcPr>
          <w:p w14:paraId="66B6EA5C">
            <w:pPr>
              <w:spacing w:line="240" w:lineRule="exact"/>
              <w:jc w:val="right"/>
              <w:rPr>
                <w:rFonts w:ascii="宋体" w:hAnsi="宋体" w:eastAsia="宋体" w:cs="宋体"/>
                <w:sz w:val="18"/>
                <w:szCs w:val="18"/>
              </w:rPr>
            </w:pPr>
            <w:r>
              <w:rPr>
                <w:rFonts w:ascii="宋体" w:hAnsi="宋体" w:eastAsia="宋体" w:cs="宋体"/>
                <w:sz w:val="18"/>
                <w:szCs w:val="18"/>
              </w:rPr>
              <w:t>88,204,586.94</w:t>
            </w:r>
          </w:p>
        </w:tc>
        <w:tc>
          <w:tcPr>
            <w:tcW w:w="1606" w:type="dxa"/>
            <w:tcBorders>
              <w:top w:val="single" w:color="auto" w:sz="2" w:space="0"/>
              <w:left w:val="single" w:color="auto" w:sz="2" w:space="0"/>
              <w:bottom w:val="single" w:color="auto" w:sz="2" w:space="0"/>
              <w:right w:val="single" w:color="auto" w:sz="2" w:space="0"/>
            </w:tcBorders>
            <w:vAlign w:val="center"/>
          </w:tcPr>
          <w:p w14:paraId="1249BB4B">
            <w:pPr>
              <w:spacing w:line="240" w:lineRule="exact"/>
              <w:jc w:val="right"/>
              <w:rPr>
                <w:rFonts w:ascii="宋体" w:hAnsi="宋体" w:eastAsia="宋体" w:cs="宋体"/>
                <w:sz w:val="18"/>
                <w:szCs w:val="18"/>
              </w:rPr>
            </w:pPr>
            <w:r>
              <w:rPr>
                <w:rFonts w:ascii="宋体" w:hAnsi="宋体" w:eastAsia="宋体" w:cs="宋体"/>
                <w:sz w:val="18"/>
                <w:szCs w:val="18"/>
              </w:rPr>
              <w:t>876,791.40</w:t>
            </w:r>
          </w:p>
        </w:tc>
        <w:tc>
          <w:tcPr>
            <w:tcW w:w="1606" w:type="dxa"/>
            <w:tcBorders>
              <w:top w:val="single" w:color="auto" w:sz="2" w:space="0"/>
              <w:left w:val="single" w:color="auto" w:sz="2" w:space="0"/>
              <w:bottom w:val="single" w:color="auto" w:sz="2" w:space="0"/>
              <w:right w:val="single" w:color="auto" w:sz="2" w:space="0"/>
            </w:tcBorders>
            <w:vAlign w:val="center"/>
          </w:tcPr>
          <w:p w14:paraId="31A2E6FE">
            <w:pPr>
              <w:spacing w:line="240" w:lineRule="exact"/>
              <w:jc w:val="right"/>
              <w:rPr>
                <w:rFonts w:ascii="宋体" w:hAnsi="宋体" w:eastAsia="宋体" w:cs="宋体"/>
                <w:sz w:val="18"/>
                <w:szCs w:val="18"/>
              </w:rPr>
            </w:pPr>
            <w:r>
              <w:rPr>
                <w:rFonts w:ascii="宋体" w:hAnsi="宋体" w:eastAsia="宋体" w:cs="宋体"/>
                <w:sz w:val="18"/>
                <w:szCs w:val="18"/>
              </w:rPr>
              <w:t>184,874.91</w:t>
            </w:r>
          </w:p>
        </w:tc>
        <w:tc>
          <w:tcPr>
            <w:tcW w:w="1606" w:type="dxa"/>
            <w:tcBorders>
              <w:top w:val="single" w:color="auto" w:sz="2" w:space="0"/>
              <w:left w:val="single" w:color="auto" w:sz="2" w:space="0"/>
              <w:bottom w:val="single" w:color="auto" w:sz="2" w:space="0"/>
              <w:right w:val="single" w:color="auto" w:sz="2" w:space="0"/>
            </w:tcBorders>
            <w:vAlign w:val="center"/>
          </w:tcPr>
          <w:p w14:paraId="51846155">
            <w:pPr>
              <w:spacing w:line="240" w:lineRule="exact"/>
              <w:jc w:val="right"/>
              <w:rPr>
                <w:rFonts w:ascii="宋体" w:hAnsi="宋体" w:eastAsia="宋体" w:cs="宋体"/>
                <w:sz w:val="18"/>
                <w:szCs w:val="18"/>
              </w:rPr>
            </w:pPr>
            <w:r>
              <w:rPr>
                <w:rFonts w:ascii="宋体" w:hAnsi="宋体" w:eastAsia="宋体" w:cs="宋体"/>
                <w:sz w:val="18"/>
                <w:szCs w:val="18"/>
              </w:rPr>
              <w:t>134,210,525.42</w:t>
            </w:r>
          </w:p>
        </w:tc>
      </w:tr>
      <w:tr w14:paraId="4E76E41F">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8985E1">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2.期初账面价值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5CE1FE86">
            <w:pPr>
              <w:spacing w:line="240" w:lineRule="exact"/>
              <w:jc w:val="right"/>
              <w:rPr>
                <w:rFonts w:ascii="宋体" w:hAnsi="宋体" w:eastAsia="宋体" w:cs="宋体"/>
                <w:sz w:val="18"/>
                <w:szCs w:val="18"/>
              </w:rPr>
            </w:pPr>
            <w:r>
              <w:rPr>
                <w:rFonts w:ascii="宋体" w:hAnsi="宋体" w:eastAsia="宋体" w:cs="宋体"/>
                <w:sz w:val="18"/>
                <w:szCs w:val="18"/>
              </w:rPr>
              <w:t>47,980,553.88</w:t>
            </w:r>
          </w:p>
        </w:tc>
        <w:tc>
          <w:tcPr>
            <w:tcW w:w="1606" w:type="dxa"/>
            <w:tcBorders>
              <w:top w:val="single" w:color="auto" w:sz="2" w:space="0"/>
              <w:left w:val="single" w:color="auto" w:sz="2" w:space="0"/>
              <w:bottom w:val="single" w:color="auto" w:sz="2" w:space="0"/>
              <w:right w:val="single" w:color="auto" w:sz="2" w:space="0"/>
            </w:tcBorders>
            <w:vAlign w:val="center"/>
          </w:tcPr>
          <w:p w14:paraId="64EE4932">
            <w:pPr>
              <w:spacing w:line="240" w:lineRule="exact"/>
              <w:jc w:val="right"/>
              <w:rPr>
                <w:rFonts w:ascii="宋体" w:hAnsi="宋体" w:eastAsia="宋体" w:cs="宋体"/>
                <w:sz w:val="18"/>
                <w:szCs w:val="18"/>
              </w:rPr>
            </w:pPr>
            <w:r>
              <w:rPr>
                <w:rFonts w:ascii="宋体" w:hAnsi="宋体" w:eastAsia="宋体" w:cs="宋体"/>
                <w:sz w:val="18"/>
                <w:szCs w:val="18"/>
              </w:rPr>
              <w:t>77,823,494.73</w:t>
            </w:r>
          </w:p>
        </w:tc>
        <w:tc>
          <w:tcPr>
            <w:tcW w:w="1606" w:type="dxa"/>
            <w:tcBorders>
              <w:top w:val="single" w:color="auto" w:sz="2" w:space="0"/>
              <w:left w:val="single" w:color="auto" w:sz="2" w:space="0"/>
              <w:bottom w:val="single" w:color="auto" w:sz="2" w:space="0"/>
              <w:right w:val="single" w:color="auto" w:sz="2" w:space="0"/>
            </w:tcBorders>
            <w:vAlign w:val="center"/>
          </w:tcPr>
          <w:p w14:paraId="247B004C">
            <w:pPr>
              <w:spacing w:line="240" w:lineRule="exact"/>
              <w:jc w:val="right"/>
              <w:rPr>
                <w:rFonts w:ascii="宋体" w:hAnsi="宋体" w:eastAsia="宋体" w:cs="宋体"/>
                <w:sz w:val="18"/>
                <w:szCs w:val="18"/>
              </w:rPr>
            </w:pPr>
            <w:r>
              <w:rPr>
                <w:rFonts w:ascii="宋体" w:hAnsi="宋体" w:eastAsia="宋体" w:cs="宋体"/>
                <w:sz w:val="18"/>
                <w:szCs w:val="18"/>
              </w:rPr>
              <w:t>1,041,439.67</w:t>
            </w:r>
          </w:p>
        </w:tc>
        <w:tc>
          <w:tcPr>
            <w:tcW w:w="1606" w:type="dxa"/>
            <w:tcBorders>
              <w:top w:val="single" w:color="auto" w:sz="2" w:space="0"/>
              <w:left w:val="single" w:color="auto" w:sz="2" w:space="0"/>
              <w:bottom w:val="single" w:color="auto" w:sz="2" w:space="0"/>
              <w:right w:val="single" w:color="auto" w:sz="2" w:space="0"/>
            </w:tcBorders>
            <w:vAlign w:val="center"/>
          </w:tcPr>
          <w:p w14:paraId="1DC72420">
            <w:pPr>
              <w:spacing w:line="240" w:lineRule="exact"/>
              <w:jc w:val="right"/>
              <w:rPr>
                <w:rFonts w:ascii="宋体" w:hAnsi="宋体" w:eastAsia="宋体" w:cs="宋体"/>
                <w:sz w:val="18"/>
                <w:szCs w:val="18"/>
              </w:rPr>
            </w:pPr>
            <w:r>
              <w:rPr>
                <w:rFonts w:ascii="宋体" w:hAnsi="宋体" w:eastAsia="宋体" w:cs="宋体"/>
                <w:sz w:val="18"/>
                <w:szCs w:val="18"/>
              </w:rPr>
              <w:t>248,873.26</w:t>
            </w:r>
          </w:p>
        </w:tc>
        <w:tc>
          <w:tcPr>
            <w:tcW w:w="1606" w:type="dxa"/>
            <w:tcBorders>
              <w:top w:val="single" w:color="auto" w:sz="2" w:space="0"/>
              <w:left w:val="single" w:color="auto" w:sz="2" w:space="0"/>
              <w:bottom w:val="single" w:color="auto" w:sz="2" w:space="0"/>
              <w:right w:val="single" w:color="auto" w:sz="2" w:space="0"/>
            </w:tcBorders>
            <w:vAlign w:val="center"/>
          </w:tcPr>
          <w:p w14:paraId="7BC1A228">
            <w:pPr>
              <w:spacing w:line="240" w:lineRule="exact"/>
              <w:jc w:val="right"/>
              <w:rPr>
                <w:rFonts w:ascii="宋体" w:hAnsi="宋体" w:eastAsia="宋体" w:cs="宋体"/>
                <w:sz w:val="18"/>
                <w:szCs w:val="18"/>
              </w:rPr>
            </w:pPr>
            <w:r>
              <w:rPr>
                <w:rFonts w:ascii="宋体" w:hAnsi="宋体" w:eastAsia="宋体" w:cs="宋体"/>
                <w:sz w:val="18"/>
                <w:szCs w:val="18"/>
              </w:rPr>
              <w:t>127,094,361.54</w:t>
            </w:r>
          </w:p>
        </w:tc>
      </w:tr>
    </w:tbl>
    <w:p w14:paraId="421A6263">
      <w:pPr>
        <w:keepNext/>
        <w:keepLines/>
        <w:spacing w:before="300" w:after="100" w:line="280" w:lineRule="exact"/>
        <w:outlineLvl w:val="3"/>
        <w:rPr>
          <w:rFonts w:ascii="宋体" w:hAnsi="宋体" w:eastAsia="宋体" w:cs="宋体"/>
          <w:b/>
          <w:bCs/>
          <w:szCs w:val="21"/>
        </w:rPr>
      </w:pPr>
      <w:bookmarkStart w:id="256" w:name="_Toc989145"/>
      <w:r>
        <w:rPr>
          <w:rFonts w:ascii="宋体" w:hAnsi="宋体" w:eastAsia="宋体" w:cs="宋体"/>
          <w:b/>
          <w:bCs/>
          <w:szCs w:val="21"/>
        </w:rPr>
        <w:t>（2） 暂时闲置的固定资产情况</w:t>
      </w:r>
      <w:bookmarkEnd w:id="256"/>
    </w:p>
    <w:p w14:paraId="093D43BD">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AC81689">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5C5FFD">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8DB147A">
            <w:pPr>
              <w:spacing w:before="40" w:after="100" w:line="240" w:lineRule="exact"/>
              <w:jc w:val="center"/>
              <w:rPr>
                <w:rFonts w:ascii="宋体" w:hAnsi="宋体" w:eastAsia="宋体" w:cs="宋体"/>
                <w:sz w:val="18"/>
                <w:szCs w:val="18"/>
              </w:rPr>
            </w:pPr>
            <w:r>
              <w:rPr>
                <w:rFonts w:ascii="宋体" w:hAnsi="宋体" w:eastAsia="宋体" w:cs="宋体"/>
                <w:sz w:val="18"/>
                <w:szCs w:val="18"/>
              </w:rPr>
              <w:t>账面原值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AD3C33">
            <w:pPr>
              <w:spacing w:before="40" w:after="100" w:line="240" w:lineRule="exact"/>
              <w:jc w:val="center"/>
              <w:rPr>
                <w:rFonts w:ascii="宋体" w:hAnsi="宋体" w:eastAsia="宋体" w:cs="宋体"/>
                <w:sz w:val="18"/>
                <w:szCs w:val="18"/>
              </w:rPr>
            </w:pPr>
            <w:r>
              <w:rPr>
                <w:rFonts w:ascii="宋体" w:hAnsi="宋体" w:eastAsia="宋体" w:cs="宋体"/>
                <w:sz w:val="18"/>
                <w:szCs w:val="18"/>
              </w:rPr>
              <w:t>累计折旧</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BEB4CFE">
            <w:pPr>
              <w:spacing w:before="40" w:after="10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CF5654A">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D3BD0D9">
            <w:pPr>
              <w:spacing w:before="40" w:after="100" w:line="240" w:lineRule="exact"/>
              <w:jc w:val="center"/>
              <w:rPr>
                <w:rFonts w:ascii="宋体" w:hAnsi="宋体" w:eastAsia="宋体" w:cs="宋体"/>
                <w:sz w:val="18"/>
                <w:szCs w:val="18"/>
              </w:rPr>
            </w:pPr>
            <w:r>
              <w:rPr>
                <w:rFonts w:ascii="宋体" w:hAnsi="宋体" w:eastAsia="宋体" w:cs="宋体"/>
                <w:sz w:val="18"/>
                <w:szCs w:val="18"/>
              </w:rPr>
              <w:t>备注</w:t>
            </w:r>
          </w:p>
        </w:tc>
      </w:tr>
    </w:tbl>
    <w:p w14:paraId="5915496E">
      <w:pPr>
        <w:keepNext/>
        <w:keepLines/>
        <w:spacing w:before="300" w:after="100" w:line="280" w:lineRule="exact"/>
        <w:outlineLvl w:val="3"/>
        <w:rPr>
          <w:rFonts w:ascii="宋体" w:hAnsi="宋体" w:eastAsia="宋体" w:cs="宋体"/>
          <w:b/>
          <w:bCs/>
          <w:szCs w:val="21"/>
        </w:rPr>
      </w:pPr>
      <w:bookmarkStart w:id="257" w:name="_Toc989146"/>
      <w:r>
        <w:rPr>
          <w:rFonts w:ascii="宋体" w:hAnsi="宋体" w:eastAsia="宋体" w:cs="宋体"/>
          <w:b/>
          <w:bCs/>
          <w:szCs w:val="21"/>
        </w:rPr>
        <w:t>（3） 通过经营租赁租出的固定资产</w:t>
      </w:r>
      <w:bookmarkEnd w:id="257"/>
    </w:p>
    <w:p w14:paraId="20AEDBA0">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2BC61BD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F2C5AB8">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3A13DA2">
            <w:pPr>
              <w:spacing w:before="40" w:after="100" w:line="240" w:lineRule="exact"/>
              <w:jc w:val="center"/>
              <w:rPr>
                <w:rFonts w:ascii="宋体" w:hAnsi="宋体" w:eastAsia="宋体" w:cs="宋体"/>
                <w:sz w:val="18"/>
                <w:szCs w:val="18"/>
              </w:rPr>
            </w:pPr>
            <w:r>
              <w:rPr>
                <w:rFonts w:ascii="宋体" w:hAnsi="宋体" w:eastAsia="宋体" w:cs="宋体"/>
                <w:sz w:val="18"/>
                <w:szCs w:val="18"/>
              </w:rPr>
              <w:t>期末账面价值</w:t>
            </w:r>
          </w:p>
        </w:tc>
      </w:tr>
    </w:tbl>
    <w:p w14:paraId="6A26AC1E">
      <w:pPr>
        <w:keepNext/>
        <w:keepLines/>
        <w:spacing w:before="300" w:after="100" w:line="280" w:lineRule="exact"/>
        <w:outlineLvl w:val="3"/>
        <w:rPr>
          <w:rFonts w:ascii="宋体" w:hAnsi="宋体" w:eastAsia="宋体" w:cs="宋体"/>
          <w:b/>
          <w:bCs/>
          <w:szCs w:val="21"/>
        </w:rPr>
      </w:pPr>
      <w:bookmarkStart w:id="258" w:name="_Toc989147"/>
      <w:r>
        <w:rPr>
          <w:rFonts w:ascii="宋体" w:hAnsi="宋体" w:eastAsia="宋体" w:cs="宋体"/>
          <w:b/>
          <w:bCs/>
          <w:szCs w:val="21"/>
        </w:rPr>
        <w:t>（4） 未办妥产权证书的固定资产情况</w:t>
      </w:r>
      <w:bookmarkEnd w:id="258"/>
    </w:p>
    <w:p w14:paraId="68A5F0C2">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569AC2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1237F7">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F9D160">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E23720">
            <w:pPr>
              <w:spacing w:before="40" w:after="100" w:line="240" w:lineRule="exact"/>
              <w:jc w:val="center"/>
              <w:rPr>
                <w:rFonts w:ascii="宋体" w:hAnsi="宋体" w:eastAsia="宋体" w:cs="宋体"/>
                <w:sz w:val="18"/>
                <w:szCs w:val="18"/>
              </w:rPr>
            </w:pPr>
            <w:r>
              <w:rPr>
                <w:rFonts w:ascii="宋体" w:hAnsi="宋体" w:eastAsia="宋体" w:cs="宋体"/>
                <w:sz w:val="18"/>
                <w:szCs w:val="18"/>
              </w:rPr>
              <w:t>未办妥产权证书的原因</w:t>
            </w:r>
          </w:p>
        </w:tc>
      </w:tr>
    </w:tbl>
    <w:p w14:paraId="6FEFCC1E">
      <w:pPr>
        <w:spacing w:before="100" w:after="100" w:line="240" w:lineRule="exact"/>
      </w:pPr>
      <w:r>
        <w:rPr>
          <w:rFonts w:ascii="宋体" w:hAnsi="宋体" w:eastAsia="宋体" w:cs="宋体"/>
          <w:sz w:val="18"/>
          <w:szCs w:val="18"/>
        </w:rPr>
        <w:t>其他说明</w:t>
      </w:r>
    </w:p>
    <w:p w14:paraId="5D769F72">
      <w:pPr>
        <w:keepNext/>
        <w:keepLines/>
        <w:spacing w:before="300" w:after="100" w:line="280" w:lineRule="exact"/>
        <w:outlineLvl w:val="3"/>
        <w:rPr>
          <w:rFonts w:ascii="宋体" w:hAnsi="宋体" w:eastAsia="宋体" w:cs="宋体"/>
          <w:b/>
          <w:bCs/>
          <w:szCs w:val="21"/>
        </w:rPr>
      </w:pPr>
      <w:bookmarkStart w:id="259" w:name="_Toc989148"/>
      <w:r>
        <w:rPr>
          <w:rFonts w:ascii="宋体" w:hAnsi="宋体" w:eastAsia="宋体" w:cs="宋体"/>
          <w:b/>
          <w:bCs/>
          <w:szCs w:val="21"/>
        </w:rPr>
        <w:t>（5） 固定资产的减值测试情况</w:t>
      </w:r>
      <w:bookmarkEnd w:id="259"/>
    </w:p>
    <w:p w14:paraId="2ACFBEB1">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ED363D0">
      <w:pPr>
        <w:keepNext/>
        <w:keepLines/>
        <w:spacing w:before="300" w:after="100" w:line="280" w:lineRule="exact"/>
        <w:outlineLvl w:val="3"/>
        <w:rPr>
          <w:rFonts w:ascii="宋体" w:hAnsi="宋体" w:eastAsia="宋体" w:cs="宋体"/>
          <w:b/>
          <w:bCs/>
          <w:szCs w:val="21"/>
        </w:rPr>
      </w:pPr>
      <w:bookmarkStart w:id="260" w:name="_Toc989149"/>
      <w:r>
        <w:rPr>
          <w:rFonts w:ascii="宋体" w:hAnsi="宋体" w:eastAsia="宋体" w:cs="宋体"/>
          <w:b/>
          <w:bCs/>
          <w:szCs w:val="21"/>
        </w:rPr>
        <w:t>（6） 固定资产清理</w:t>
      </w:r>
      <w:bookmarkEnd w:id="260"/>
    </w:p>
    <w:p w14:paraId="0EA928C3">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762A8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8D809B">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8B83E3">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F838B">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3936689">
      <w:pPr>
        <w:spacing w:before="100" w:after="100" w:line="240" w:lineRule="exact"/>
      </w:pPr>
      <w:r>
        <w:rPr>
          <w:rFonts w:ascii="宋体" w:hAnsi="宋体" w:eastAsia="宋体" w:cs="宋体"/>
          <w:sz w:val="18"/>
          <w:szCs w:val="18"/>
        </w:rPr>
        <w:t>其他说明：</w:t>
      </w:r>
    </w:p>
    <w:p w14:paraId="78D19DB0">
      <w:pPr>
        <w:pStyle w:val="3"/>
        <w:spacing w:after="100" w:line="280" w:lineRule="exact"/>
        <w:jc w:val="left"/>
        <w:rPr>
          <w:rFonts w:ascii="宋体" w:hAnsi="宋体" w:cs="宋体"/>
          <w:b/>
          <w:bCs/>
        </w:rPr>
      </w:pPr>
      <w:bookmarkStart w:id="261" w:name="_Toc989150"/>
      <w:r>
        <w:rPr>
          <w:rFonts w:ascii="宋体" w:hAnsi="宋体" w:cs="宋体"/>
          <w:b/>
          <w:bCs/>
        </w:rPr>
        <w:t>22、在建工程</w:t>
      </w:r>
      <w:bookmarkEnd w:id="261"/>
    </w:p>
    <w:p w14:paraId="1C9B55F6">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B7792D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3D7CF0">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EEAA00">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FC9F49">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2728EA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48AAA7">
            <w:pPr>
              <w:spacing w:before="40" w:after="100" w:line="240" w:lineRule="exact"/>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3FC7A834">
            <w:pPr>
              <w:spacing w:after="100" w:line="240" w:lineRule="exact"/>
              <w:jc w:val="right"/>
              <w:rPr>
                <w:rFonts w:ascii="宋体" w:hAnsi="宋体" w:eastAsia="宋体" w:cs="宋体"/>
                <w:sz w:val="18"/>
                <w:szCs w:val="18"/>
              </w:rPr>
            </w:pPr>
            <w:r>
              <w:rPr>
                <w:rFonts w:ascii="宋体" w:hAnsi="宋体" w:eastAsia="宋体" w:cs="宋体"/>
                <w:sz w:val="18"/>
                <w:szCs w:val="18"/>
              </w:rPr>
              <w:t>2,843,351.03</w:t>
            </w:r>
          </w:p>
        </w:tc>
        <w:tc>
          <w:tcPr>
            <w:tcW w:w="3213" w:type="dxa"/>
            <w:tcBorders>
              <w:top w:val="single" w:color="auto" w:sz="2" w:space="0"/>
              <w:left w:val="single" w:color="auto" w:sz="2" w:space="0"/>
              <w:bottom w:val="single" w:color="auto" w:sz="2" w:space="0"/>
              <w:right w:val="single" w:color="auto" w:sz="2" w:space="0"/>
            </w:tcBorders>
            <w:vAlign w:val="center"/>
          </w:tcPr>
          <w:p w14:paraId="698C9D11">
            <w:pPr>
              <w:spacing w:after="100" w:line="240" w:lineRule="exact"/>
              <w:jc w:val="right"/>
              <w:rPr>
                <w:rFonts w:ascii="宋体" w:hAnsi="宋体" w:eastAsia="宋体" w:cs="宋体"/>
                <w:sz w:val="18"/>
                <w:szCs w:val="18"/>
              </w:rPr>
            </w:pPr>
            <w:r>
              <w:rPr>
                <w:rFonts w:ascii="宋体" w:hAnsi="宋体" w:eastAsia="宋体" w:cs="宋体"/>
                <w:sz w:val="18"/>
                <w:szCs w:val="18"/>
              </w:rPr>
              <w:t>10,320,297.72</w:t>
            </w:r>
          </w:p>
        </w:tc>
      </w:tr>
      <w:tr w14:paraId="2A0E92A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D6C78D">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DB238E0">
            <w:pPr>
              <w:spacing w:after="100" w:line="240" w:lineRule="exact"/>
              <w:jc w:val="right"/>
              <w:rPr>
                <w:rFonts w:ascii="宋体" w:hAnsi="宋体" w:eastAsia="宋体" w:cs="宋体"/>
                <w:sz w:val="18"/>
                <w:szCs w:val="18"/>
              </w:rPr>
            </w:pPr>
            <w:r>
              <w:rPr>
                <w:rFonts w:ascii="宋体" w:hAnsi="宋体" w:eastAsia="宋体" w:cs="宋体"/>
                <w:sz w:val="18"/>
                <w:szCs w:val="18"/>
              </w:rPr>
              <w:t>2,843,351.03</w:t>
            </w:r>
          </w:p>
        </w:tc>
        <w:tc>
          <w:tcPr>
            <w:tcW w:w="3213" w:type="dxa"/>
            <w:tcBorders>
              <w:top w:val="single" w:color="auto" w:sz="2" w:space="0"/>
              <w:left w:val="single" w:color="auto" w:sz="2" w:space="0"/>
              <w:bottom w:val="single" w:color="auto" w:sz="2" w:space="0"/>
              <w:right w:val="single" w:color="auto" w:sz="2" w:space="0"/>
            </w:tcBorders>
            <w:vAlign w:val="center"/>
          </w:tcPr>
          <w:p w14:paraId="793CBC3E">
            <w:pPr>
              <w:spacing w:after="100" w:line="240" w:lineRule="exact"/>
              <w:jc w:val="right"/>
              <w:rPr>
                <w:rFonts w:ascii="宋体" w:hAnsi="宋体" w:eastAsia="宋体" w:cs="宋体"/>
                <w:sz w:val="18"/>
                <w:szCs w:val="18"/>
              </w:rPr>
            </w:pPr>
            <w:r>
              <w:rPr>
                <w:rFonts w:ascii="宋体" w:hAnsi="宋体" w:eastAsia="宋体" w:cs="宋体"/>
                <w:sz w:val="18"/>
                <w:szCs w:val="18"/>
              </w:rPr>
              <w:t>10,320,297.72</w:t>
            </w:r>
          </w:p>
        </w:tc>
      </w:tr>
    </w:tbl>
    <w:p w14:paraId="0C1DF64E">
      <w:pPr>
        <w:keepNext/>
        <w:keepLines/>
        <w:spacing w:before="300" w:after="100" w:line="280" w:lineRule="exact"/>
        <w:outlineLvl w:val="3"/>
        <w:rPr>
          <w:rFonts w:ascii="宋体" w:hAnsi="宋体" w:eastAsia="宋体" w:cs="宋体"/>
          <w:b/>
          <w:bCs/>
          <w:szCs w:val="21"/>
        </w:rPr>
      </w:pPr>
      <w:bookmarkStart w:id="262" w:name="_Toc989151"/>
      <w:r>
        <w:rPr>
          <w:rFonts w:ascii="宋体" w:hAnsi="宋体" w:eastAsia="宋体" w:cs="宋体"/>
          <w:b/>
          <w:bCs/>
          <w:szCs w:val="21"/>
        </w:rPr>
        <w:t>（1） 在建工程情况</w:t>
      </w:r>
      <w:bookmarkEnd w:id="262"/>
    </w:p>
    <w:p w14:paraId="747EC0AF">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8A504DD">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B2FC2D">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68114E7">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10BB17D">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7997233">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B88740">
            <w:pPr>
              <w:spacing w:after="100"/>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B296A7B">
            <w:pPr>
              <w:spacing w:before="40" w:after="10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E6CE6C">
            <w:pPr>
              <w:spacing w:before="40" w:after="10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89C1A0">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D60067">
            <w:pPr>
              <w:spacing w:before="40" w:after="10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DA2AC3">
            <w:pPr>
              <w:spacing w:before="40" w:after="10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2A74F49">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42427B7B">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4BEB75E">
            <w:pPr>
              <w:spacing w:after="100" w:line="240" w:lineRule="exact"/>
              <w:rPr>
                <w:rFonts w:ascii="宋体" w:hAnsi="宋体" w:eastAsia="宋体" w:cs="宋体"/>
                <w:sz w:val="18"/>
                <w:szCs w:val="18"/>
              </w:rPr>
            </w:pPr>
            <w:r>
              <w:rPr>
                <w:rFonts w:ascii="宋体" w:hAnsi="宋体" w:eastAsia="宋体" w:cs="宋体"/>
                <w:sz w:val="18"/>
                <w:szCs w:val="18"/>
              </w:rPr>
              <w:t>  发酵罐（6个）</w:t>
            </w:r>
          </w:p>
        </w:tc>
        <w:tc>
          <w:tcPr>
            <w:tcW w:w="1377" w:type="dxa"/>
            <w:tcBorders>
              <w:top w:val="single" w:color="auto" w:sz="2" w:space="0"/>
              <w:left w:val="single" w:color="auto" w:sz="2" w:space="0"/>
              <w:bottom w:val="single" w:color="auto" w:sz="2" w:space="0"/>
              <w:right w:val="single" w:color="auto" w:sz="2" w:space="0"/>
            </w:tcBorders>
            <w:vAlign w:val="center"/>
          </w:tcPr>
          <w:p w14:paraId="438D4466">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85E030">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F650D4">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87A21F">
            <w:pPr>
              <w:spacing w:after="100" w:line="240" w:lineRule="exact"/>
              <w:jc w:val="right"/>
              <w:rPr>
                <w:rFonts w:ascii="宋体" w:hAnsi="宋体" w:eastAsia="宋体" w:cs="宋体"/>
                <w:sz w:val="18"/>
                <w:szCs w:val="18"/>
              </w:rPr>
            </w:pPr>
            <w:r>
              <w:rPr>
                <w:rFonts w:ascii="宋体" w:hAnsi="宋体" w:eastAsia="宋体" w:cs="宋体"/>
                <w:sz w:val="18"/>
                <w:szCs w:val="18"/>
              </w:rPr>
              <w:t>6,881,116.31</w:t>
            </w:r>
          </w:p>
        </w:tc>
        <w:tc>
          <w:tcPr>
            <w:tcW w:w="1377" w:type="dxa"/>
            <w:tcBorders>
              <w:top w:val="single" w:color="auto" w:sz="2" w:space="0"/>
              <w:left w:val="single" w:color="auto" w:sz="2" w:space="0"/>
              <w:bottom w:val="single" w:color="auto" w:sz="2" w:space="0"/>
              <w:right w:val="single" w:color="auto" w:sz="2" w:space="0"/>
            </w:tcBorders>
            <w:vAlign w:val="center"/>
          </w:tcPr>
          <w:p w14:paraId="6D632F37">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17346A">
            <w:pPr>
              <w:spacing w:after="100" w:line="240" w:lineRule="exact"/>
              <w:jc w:val="right"/>
              <w:rPr>
                <w:rFonts w:ascii="宋体" w:hAnsi="宋体" w:eastAsia="宋体" w:cs="宋体"/>
                <w:sz w:val="18"/>
                <w:szCs w:val="18"/>
              </w:rPr>
            </w:pPr>
            <w:r>
              <w:rPr>
                <w:rFonts w:ascii="宋体" w:hAnsi="宋体" w:eastAsia="宋体" w:cs="宋体"/>
                <w:sz w:val="18"/>
                <w:szCs w:val="18"/>
              </w:rPr>
              <w:t>6,881,116.31</w:t>
            </w:r>
          </w:p>
        </w:tc>
      </w:tr>
      <w:tr w14:paraId="04A40FDF">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B8807A3">
            <w:pPr>
              <w:spacing w:after="100" w:line="240" w:lineRule="exact"/>
              <w:rPr>
                <w:rFonts w:ascii="宋体" w:hAnsi="宋体" w:eastAsia="宋体" w:cs="宋体"/>
                <w:sz w:val="18"/>
                <w:szCs w:val="18"/>
              </w:rPr>
            </w:pPr>
            <w:r>
              <w:rPr>
                <w:rFonts w:ascii="宋体" w:hAnsi="宋体" w:eastAsia="宋体" w:cs="宋体"/>
                <w:sz w:val="18"/>
                <w:szCs w:val="18"/>
              </w:rPr>
              <w:t>  清酒罐（2个）</w:t>
            </w:r>
          </w:p>
        </w:tc>
        <w:tc>
          <w:tcPr>
            <w:tcW w:w="1377" w:type="dxa"/>
            <w:tcBorders>
              <w:top w:val="single" w:color="auto" w:sz="2" w:space="0"/>
              <w:left w:val="single" w:color="auto" w:sz="2" w:space="0"/>
              <w:bottom w:val="single" w:color="auto" w:sz="2" w:space="0"/>
              <w:right w:val="single" w:color="auto" w:sz="2" w:space="0"/>
            </w:tcBorders>
            <w:vAlign w:val="center"/>
          </w:tcPr>
          <w:p w14:paraId="7C99A58B">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D70C194">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9BF1CD0">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3C12D6F">
            <w:pPr>
              <w:spacing w:after="100" w:line="240" w:lineRule="exact"/>
              <w:jc w:val="right"/>
              <w:rPr>
                <w:rFonts w:ascii="宋体" w:hAnsi="宋体" w:eastAsia="宋体" w:cs="宋体"/>
                <w:sz w:val="18"/>
                <w:szCs w:val="18"/>
              </w:rPr>
            </w:pPr>
            <w:r>
              <w:rPr>
                <w:rFonts w:ascii="宋体" w:hAnsi="宋体" w:eastAsia="宋体" w:cs="宋体"/>
                <w:sz w:val="18"/>
                <w:szCs w:val="18"/>
              </w:rPr>
              <w:t>1,607,853.98</w:t>
            </w:r>
          </w:p>
        </w:tc>
        <w:tc>
          <w:tcPr>
            <w:tcW w:w="1377" w:type="dxa"/>
            <w:tcBorders>
              <w:top w:val="single" w:color="auto" w:sz="2" w:space="0"/>
              <w:left w:val="single" w:color="auto" w:sz="2" w:space="0"/>
              <w:bottom w:val="single" w:color="auto" w:sz="2" w:space="0"/>
              <w:right w:val="single" w:color="auto" w:sz="2" w:space="0"/>
            </w:tcBorders>
            <w:vAlign w:val="center"/>
          </w:tcPr>
          <w:p w14:paraId="74F8B4F1">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442758B">
            <w:pPr>
              <w:spacing w:after="100" w:line="240" w:lineRule="exact"/>
              <w:jc w:val="right"/>
              <w:rPr>
                <w:rFonts w:ascii="宋体" w:hAnsi="宋体" w:eastAsia="宋体" w:cs="宋体"/>
                <w:sz w:val="18"/>
                <w:szCs w:val="18"/>
              </w:rPr>
            </w:pPr>
            <w:r>
              <w:rPr>
                <w:rFonts w:ascii="宋体" w:hAnsi="宋体" w:eastAsia="宋体" w:cs="宋体"/>
                <w:sz w:val="18"/>
                <w:szCs w:val="18"/>
              </w:rPr>
              <w:t>1,607,853.98</w:t>
            </w:r>
          </w:p>
        </w:tc>
      </w:tr>
      <w:tr w14:paraId="47BCF64B">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5017E3C">
            <w:pPr>
              <w:spacing w:after="100" w:line="240" w:lineRule="exact"/>
              <w:rPr>
                <w:rFonts w:ascii="宋体" w:hAnsi="宋体" w:eastAsia="宋体" w:cs="宋体"/>
                <w:sz w:val="18"/>
                <w:szCs w:val="18"/>
              </w:rPr>
            </w:pPr>
            <w:r>
              <w:rPr>
                <w:rFonts w:ascii="宋体" w:hAnsi="宋体" w:eastAsia="宋体" w:cs="宋体"/>
                <w:sz w:val="18"/>
                <w:szCs w:val="18"/>
              </w:rPr>
              <w:t>  麦汁充氧系统（包括过滤槽洗糟水调节温度系统）</w:t>
            </w:r>
          </w:p>
        </w:tc>
        <w:tc>
          <w:tcPr>
            <w:tcW w:w="1377" w:type="dxa"/>
            <w:tcBorders>
              <w:top w:val="single" w:color="auto" w:sz="2" w:space="0"/>
              <w:left w:val="single" w:color="auto" w:sz="2" w:space="0"/>
              <w:bottom w:val="single" w:color="auto" w:sz="2" w:space="0"/>
              <w:right w:val="single" w:color="auto" w:sz="2" w:space="0"/>
            </w:tcBorders>
            <w:vAlign w:val="center"/>
          </w:tcPr>
          <w:p w14:paraId="45547B52">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50BC31E">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F4936EE">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CD2AEA">
            <w:pPr>
              <w:spacing w:after="100" w:line="240" w:lineRule="exact"/>
              <w:jc w:val="right"/>
              <w:rPr>
                <w:rFonts w:ascii="宋体" w:hAnsi="宋体" w:eastAsia="宋体" w:cs="宋体"/>
                <w:sz w:val="18"/>
                <w:szCs w:val="18"/>
              </w:rPr>
            </w:pPr>
            <w:r>
              <w:rPr>
                <w:rFonts w:ascii="宋体" w:hAnsi="宋体" w:eastAsia="宋体" w:cs="宋体"/>
                <w:sz w:val="18"/>
                <w:szCs w:val="18"/>
              </w:rPr>
              <w:t>504,424.78</w:t>
            </w:r>
          </w:p>
        </w:tc>
        <w:tc>
          <w:tcPr>
            <w:tcW w:w="1377" w:type="dxa"/>
            <w:tcBorders>
              <w:top w:val="single" w:color="auto" w:sz="2" w:space="0"/>
              <w:left w:val="single" w:color="auto" w:sz="2" w:space="0"/>
              <w:bottom w:val="single" w:color="auto" w:sz="2" w:space="0"/>
              <w:right w:val="single" w:color="auto" w:sz="2" w:space="0"/>
            </w:tcBorders>
            <w:vAlign w:val="center"/>
          </w:tcPr>
          <w:p w14:paraId="37F446C6">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4BE5D5">
            <w:pPr>
              <w:spacing w:after="100" w:line="240" w:lineRule="exact"/>
              <w:jc w:val="right"/>
              <w:rPr>
                <w:rFonts w:ascii="宋体" w:hAnsi="宋体" w:eastAsia="宋体" w:cs="宋体"/>
                <w:sz w:val="18"/>
                <w:szCs w:val="18"/>
              </w:rPr>
            </w:pPr>
            <w:r>
              <w:rPr>
                <w:rFonts w:ascii="宋体" w:hAnsi="宋体" w:eastAsia="宋体" w:cs="宋体"/>
                <w:sz w:val="18"/>
                <w:szCs w:val="18"/>
              </w:rPr>
              <w:t>504,424.78</w:t>
            </w:r>
          </w:p>
        </w:tc>
      </w:tr>
      <w:tr w14:paraId="7575C370">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74173E3">
            <w:pPr>
              <w:spacing w:after="100" w:line="240" w:lineRule="exact"/>
              <w:rPr>
                <w:rFonts w:ascii="宋体" w:hAnsi="宋体" w:eastAsia="宋体" w:cs="宋体"/>
                <w:sz w:val="18"/>
                <w:szCs w:val="18"/>
              </w:rPr>
            </w:pPr>
            <w:r>
              <w:rPr>
                <w:rFonts w:ascii="宋体" w:hAnsi="宋体" w:eastAsia="宋体" w:cs="宋体"/>
                <w:sz w:val="18"/>
                <w:szCs w:val="18"/>
              </w:rPr>
              <w:t>  宁波乐惠水处理设备</w:t>
            </w:r>
          </w:p>
        </w:tc>
        <w:tc>
          <w:tcPr>
            <w:tcW w:w="1377" w:type="dxa"/>
            <w:tcBorders>
              <w:top w:val="single" w:color="auto" w:sz="2" w:space="0"/>
              <w:left w:val="single" w:color="auto" w:sz="2" w:space="0"/>
              <w:bottom w:val="single" w:color="auto" w:sz="2" w:space="0"/>
              <w:right w:val="single" w:color="auto" w:sz="2" w:space="0"/>
            </w:tcBorders>
            <w:vAlign w:val="center"/>
          </w:tcPr>
          <w:p w14:paraId="6507A0BB">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AE1AE5">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4AB1C9">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9349C1">
            <w:pPr>
              <w:spacing w:after="100" w:line="240" w:lineRule="exact"/>
              <w:jc w:val="right"/>
              <w:rPr>
                <w:rFonts w:ascii="宋体" w:hAnsi="宋体" w:eastAsia="宋体" w:cs="宋体"/>
                <w:sz w:val="18"/>
                <w:szCs w:val="18"/>
              </w:rPr>
            </w:pPr>
            <w:r>
              <w:rPr>
                <w:rFonts w:ascii="宋体" w:hAnsi="宋体" w:eastAsia="宋体" w:cs="宋体"/>
                <w:sz w:val="18"/>
                <w:szCs w:val="18"/>
              </w:rPr>
              <w:t>1,326,902.65</w:t>
            </w:r>
          </w:p>
        </w:tc>
        <w:tc>
          <w:tcPr>
            <w:tcW w:w="1377" w:type="dxa"/>
            <w:tcBorders>
              <w:top w:val="single" w:color="auto" w:sz="2" w:space="0"/>
              <w:left w:val="single" w:color="auto" w:sz="2" w:space="0"/>
              <w:bottom w:val="single" w:color="auto" w:sz="2" w:space="0"/>
              <w:right w:val="single" w:color="auto" w:sz="2" w:space="0"/>
            </w:tcBorders>
            <w:vAlign w:val="center"/>
          </w:tcPr>
          <w:p w14:paraId="3B8153DF">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B7B54EC">
            <w:pPr>
              <w:spacing w:after="100" w:line="240" w:lineRule="exact"/>
              <w:jc w:val="right"/>
              <w:rPr>
                <w:rFonts w:ascii="宋体" w:hAnsi="宋体" w:eastAsia="宋体" w:cs="宋体"/>
                <w:sz w:val="18"/>
                <w:szCs w:val="18"/>
              </w:rPr>
            </w:pPr>
            <w:r>
              <w:rPr>
                <w:rFonts w:ascii="宋体" w:hAnsi="宋体" w:eastAsia="宋体" w:cs="宋体"/>
                <w:sz w:val="18"/>
                <w:szCs w:val="18"/>
              </w:rPr>
              <w:t>1,326,902.65</w:t>
            </w:r>
          </w:p>
        </w:tc>
      </w:tr>
      <w:tr w14:paraId="22F01501">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1D79A7F">
            <w:pPr>
              <w:spacing w:after="100" w:line="240" w:lineRule="exact"/>
              <w:rPr>
                <w:rFonts w:ascii="宋体" w:hAnsi="宋体" w:eastAsia="宋体" w:cs="宋体"/>
                <w:sz w:val="18"/>
                <w:szCs w:val="18"/>
              </w:rPr>
            </w:pPr>
            <w:r>
              <w:rPr>
                <w:rFonts w:ascii="宋体" w:hAnsi="宋体" w:eastAsia="宋体" w:cs="宋体"/>
                <w:sz w:val="18"/>
                <w:szCs w:val="18"/>
              </w:rPr>
              <w:t>  制冷改造项目</w:t>
            </w:r>
          </w:p>
        </w:tc>
        <w:tc>
          <w:tcPr>
            <w:tcW w:w="1377" w:type="dxa"/>
            <w:tcBorders>
              <w:top w:val="single" w:color="auto" w:sz="2" w:space="0"/>
              <w:left w:val="single" w:color="auto" w:sz="2" w:space="0"/>
              <w:bottom w:val="single" w:color="auto" w:sz="2" w:space="0"/>
              <w:right w:val="single" w:color="auto" w:sz="2" w:space="0"/>
            </w:tcBorders>
            <w:vAlign w:val="center"/>
          </w:tcPr>
          <w:p w14:paraId="074EC8E4">
            <w:pPr>
              <w:spacing w:after="100" w:line="240" w:lineRule="exact"/>
              <w:jc w:val="right"/>
              <w:rPr>
                <w:rFonts w:ascii="宋体" w:hAnsi="宋体" w:eastAsia="宋体" w:cs="宋体"/>
                <w:sz w:val="18"/>
                <w:szCs w:val="18"/>
              </w:rPr>
            </w:pPr>
            <w:r>
              <w:rPr>
                <w:rFonts w:ascii="宋体" w:hAnsi="宋体" w:eastAsia="宋体" w:cs="宋体"/>
                <w:sz w:val="18"/>
                <w:szCs w:val="18"/>
              </w:rPr>
              <w:t>410,199.01</w:t>
            </w:r>
          </w:p>
        </w:tc>
        <w:tc>
          <w:tcPr>
            <w:tcW w:w="1377" w:type="dxa"/>
            <w:tcBorders>
              <w:top w:val="single" w:color="auto" w:sz="2" w:space="0"/>
              <w:left w:val="single" w:color="auto" w:sz="2" w:space="0"/>
              <w:bottom w:val="single" w:color="auto" w:sz="2" w:space="0"/>
              <w:right w:val="single" w:color="auto" w:sz="2" w:space="0"/>
            </w:tcBorders>
            <w:vAlign w:val="center"/>
          </w:tcPr>
          <w:p w14:paraId="747D82A1">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095659">
            <w:pPr>
              <w:spacing w:after="100" w:line="240" w:lineRule="exact"/>
              <w:jc w:val="right"/>
              <w:rPr>
                <w:rFonts w:ascii="宋体" w:hAnsi="宋体" w:eastAsia="宋体" w:cs="宋体"/>
                <w:sz w:val="18"/>
                <w:szCs w:val="18"/>
              </w:rPr>
            </w:pPr>
            <w:r>
              <w:rPr>
                <w:rFonts w:ascii="宋体" w:hAnsi="宋体" w:eastAsia="宋体" w:cs="宋体"/>
                <w:sz w:val="18"/>
                <w:szCs w:val="18"/>
              </w:rPr>
              <w:t>410,199.01</w:t>
            </w:r>
          </w:p>
        </w:tc>
        <w:tc>
          <w:tcPr>
            <w:tcW w:w="1377" w:type="dxa"/>
            <w:tcBorders>
              <w:top w:val="single" w:color="auto" w:sz="2" w:space="0"/>
              <w:left w:val="single" w:color="auto" w:sz="2" w:space="0"/>
              <w:bottom w:val="single" w:color="auto" w:sz="2" w:space="0"/>
              <w:right w:val="single" w:color="auto" w:sz="2" w:space="0"/>
            </w:tcBorders>
            <w:vAlign w:val="center"/>
          </w:tcPr>
          <w:p w14:paraId="1742518D">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3F510F">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158730">
            <w:pPr>
              <w:spacing w:after="100" w:line="240" w:lineRule="exact"/>
              <w:jc w:val="right"/>
              <w:rPr>
                <w:rFonts w:ascii="宋体" w:hAnsi="宋体" w:eastAsia="宋体" w:cs="宋体"/>
                <w:sz w:val="18"/>
                <w:szCs w:val="18"/>
              </w:rPr>
            </w:pPr>
          </w:p>
        </w:tc>
      </w:tr>
      <w:tr w14:paraId="33586C84">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F6295A9">
            <w:pPr>
              <w:spacing w:after="100" w:line="240" w:lineRule="exact"/>
              <w:rPr>
                <w:rFonts w:ascii="宋体" w:hAnsi="宋体" w:eastAsia="宋体" w:cs="宋体"/>
                <w:sz w:val="18"/>
                <w:szCs w:val="18"/>
              </w:rPr>
            </w:pPr>
            <w:r>
              <w:rPr>
                <w:rFonts w:ascii="宋体" w:hAnsi="宋体" w:eastAsia="宋体" w:cs="宋体"/>
                <w:sz w:val="18"/>
                <w:szCs w:val="18"/>
              </w:rPr>
              <w:t>  固定污染源烟气在线监测系统</w:t>
            </w:r>
          </w:p>
        </w:tc>
        <w:tc>
          <w:tcPr>
            <w:tcW w:w="1377" w:type="dxa"/>
            <w:tcBorders>
              <w:top w:val="single" w:color="auto" w:sz="2" w:space="0"/>
              <w:left w:val="single" w:color="auto" w:sz="2" w:space="0"/>
              <w:bottom w:val="single" w:color="auto" w:sz="2" w:space="0"/>
              <w:right w:val="single" w:color="auto" w:sz="2" w:space="0"/>
            </w:tcBorders>
            <w:vAlign w:val="center"/>
          </w:tcPr>
          <w:p w14:paraId="34146D7B">
            <w:pPr>
              <w:spacing w:after="100" w:line="240" w:lineRule="exact"/>
              <w:jc w:val="right"/>
              <w:rPr>
                <w:rFonts w:ascii="宋体" w:hAnsi="宋体" w:eastAsia="宋体" w:cs="宋体"/>
                <w:sz w:val="18"/>
                <w:szCs w:val="18"/>
              </w:rPr>
            </w:pPr>
            <w:r>
              <w:rPr>
                <w:rFonts w:ascii="宋体" w:hAnsi="宋体" w:eastAsia="宋体" w:cs="宋体"/>
                <w:sz w:val="18"/>
                <w:szCs w:val="18"/>
              </w:rPr>
              <w:t>95,575.22</w:t>
            </w:r>
          </w:p>
        </w:tc>
        <w:tc>
          <w:tcPr>
            <w:tcW w:w="1377" w:type="dxa"/>
            <w:tcBorders>
              <w:top w:val="single" w:color="auto" w:sz="2" w:space="0"/>
              <w:left w:val="single" w:color="auto" w:sz="2" w:space="0"/>
              <w:bottom w:val="single" w:color="auto" w:sz="2" w:space="0"/>
              <w:right w:val="single" w:color="auto" w:sz="2" w:space="0"/>
            </w:tcBorders>
            <w:vAlign w:val="center"/>
          </w:tcPr>
          <w:p w14:paraId="0EB8CF8B">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FEC263">
            <w:pPr>
              <w:spacing w:after="100" w:line="240" w:lineRule="exact"/>
              <w:jc w:val="right"/>
              <w:rPr>
                <w:rFonts w:ascii="宋体" w:hAnsi="宋体" w:eastAsia="宋体" w:cs="宋体"/>
                <w:sz w:val="18"/>
                <w:szCs w:val="18"/>
              </w:rPr>
            </w:pPr>
            <w:r>
              <w:rPr>
                <w:rFonts w:ascii="宋体" w:hAnsi="宋体" w:eastAsia="宋体" w:cs="宋体"/>
                <w:sz w:val="18"/>
                <w:szCs w:val="18"/>
              </w:rPr>
              <w:t>95,575.22</w:t>
            </w:r>
          </w:p>
        </w:tc>
        <w:tc>
          <w:tcPr>
            <w:tcW w:w="1377" w:type="dxa"/>
            <w:tcBorders>
              <w:top w:val="single" w:color="auto" w:sz="2" w:space="0"/>
              <w:left w:val="single" w:color="auto" w:sz="2" w:space="0"/>
              <w:bottom w:val="single" w:color="auto" w:sz="2" w:space="0"/>
              <w:right w:val="single" w:color="auto" w:sz="2" w:space="0"/>
            </w:tcBorders>
            <w:vAlign w:val="center"/>
          </w:tcPr>
          <w:p w14:paraId="62744753">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E1228E">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4F76E89">
            <w:pPr>
              <w:spacing w:after="100" w:line="240" w:lineRule="exact"/>
              <w:jc w:val="right"/>
              <w:rPr>
                <w:rFonts w:ascii="宋体" w:hAnsi="宋体" w:eastAsia="宋体" w:cs="宋体"/>
                <w:sz w:val="18"/>
                <w:szCs w:val="18"/>
              </w:rPr>
            </w:pPr>
          </w:p>
        </w:tc>
      </w:tr>
      <w:tr w14:paraId="32ED16B3">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247C943">
            <w:pPr>
              <w:spacing w:after="100" w:line="240" w:lineRule="exact"/>
              <w:rPr>
                <w:rFonts w:ascii="宋体" w:hAnsi="宋体" w:eastAsia="宋体" w:cs="宋体"/>
                <w:sz w:val="18"/>
                <w:szCs w:val="18"/>
              </w:rPr>
            </w:pPr>
            <w:r>
              <w:rPr>
                <w:rFonts w:ascii="宋体" w:hAnsi="宋体" w:eastAsia="宋体" w:cs="宋体"/>
                <w:sz w:val="18"/>
                <w:szCs w:val="18"/>
              </w:rPr>
              <w:t>  蒸汽系统改造</w:t>
            </w:r>
          </w:p>
        </w:tc>
        <w:tc>
          <w:tcPr>
            <w:tcW w:w="1377" w:type="dxa"/>
            <w:tcBorders>
              <w:top w:val="single" w:color="auto" w:sz="2" w:space="0"/>
              <w:left w:val="single" w:color="auto" w:sz="2" w:space="0"/>
              <w:bottom w:val="single" w:color="auto" w:sz="2" w:space="0"/>
              <w:right w:val="single" w:color="auto" w:sz="2" w:space="0"/>
            </w:tcBorders>
            <w:vAlign w:val="center"/>
          </w:tcPr>
          <w:p w14:paraId="7700E9DA">
            <w:pPr>
              <w:spacing w:after="100" w:line="240" w:lineRule="exact"/>
              <w:jc w:val="right"/>
              <w:rPr>
                <w:rFonts w:ascii="宋体" w:hAnsi="宋体" w:eastAsia="宋体" w:cs="宋体"/>
                <w:sz w:val="18"/>
                <w:szCs w:val="18"/>
              </w:rPr>
            </w:pPr>
            <w:r>
              <w:rPr>
                <w:rFonts w:ascii="宋体" w:hAnsi="宋体" w:eastAsia="宋体" w:cs="宋体"/>
                <w:sz w:val="18"/>
                <w:szCs w:val="18"/>
              </w:rPr>
              <w:t>472,247.79</w:t>
            </w:r>
          </w:p>
        </w:tc>
        <w:tc>
          <w:tcPr>
            <w:tcW w:w="1377" w:type="dxa"/>
            <w:tcBorders>
              <w:top w:val="single" w:color="auto" w:sz="2" w:space="0"/>
              <w:left w:val="single" w:color="auto" w:sz="2" w:space="0"/>
              <w:bottom w:val="single" w:color="auto" w:sz="2" w:space="0"/>
              <w:right w:val="single" w:color="auto" w:sz="2" w:space="0"/>
            </w:tcBorders>
            <w:vAlign w:val="center"/>
          </w:tcPr>
          <w:p w14:paraId="79183A37">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7E5115">
            <w:pPr>
              <w:spacing w:after="100" w:line="240" w:lineRule="exact"/>
              <w:jc w:val="right"/>
              <w:rPr>
                <w:rFonts w:ascii="宋体" w:hAnsi="宋体" w:eastAsia="宋体" w:cs="宋体"/>
                <w:sz w:val="18"/>
                <w:szCs w:val="18"/>
              </w:rPr>
            </w:pPr>
            <w:r>
              <w:rPr>
                <w:rFonts w:ascii="宋体" w:hAnsi="宋体" w:eastAsia="宋体" w:cs="宋体"/>
                <w:sz w:val="18"/>
                <w:szCs w:val="18"/>
              </w:rPr>
              <w:t>472,247.79</w:t>
            </w:r>
          </w:p>
        </w:tc>
        <w:tc>
          <w:tcPr>
            <w:tcW w:w="1377" w:type="dxa"/>
            <w:tcBorders>
              <w:top w:val="single" w:color="auto" w:sz="2" w:space="0"/>
              <w:left w:val="single" w:color="auto" w:sz="2" w:space="0"/>
              <w:bottom w:val="single" w:color="auto" w:sz="2" w:space="0"/>
              <w:right w:val="single" w:color="auto" w:sz="2" w:space="0"/>
            </w:tcBorders>
            <w:vAlign w:val="center"/>
          </w:tcPr>
          <w:p w14:paraId="55F96B45">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C950B55">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CE0B0D7">
            <w:pPr>
              <w:spacing w:after="100" w:line="240" w:lineRule="exact"/>
              <w:jc w:val="right"/>
              <w:rPr>
                <w:rFonts w:ascii="宋体" w:hAnsi="宋体" w:eastAsia="宋体" w:cs="宋体"/>
                <w:sz w:val="18"/>
                <w:szCs w:val="18"/>
              </w:rPr>
            </w:pPr>
          </w:p>
        </w:tc>
      </w:tr>
      <w:tr w14:paraId="04D4D00E">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C8CAEC3">
            <w:pPr>
              <w:spacing w:after="100" w:line="240" w:lineRule="exact"/>
              <w:rPr>
                <w:rFonts w:ascii="宋体" w:hAnsi="宋体" w:eastAsia="宋体" w:cs="宋体"/>
                <w:sz w:val="18"/>
                <w:szCs w:val="18"/>
              </w:rPr>
            </w:pPr>
            <w:r>
              <w:rPr>
                <w:rFonts w:ascii="宋体" w:hAnsi="宋体" w:eastAsia="宋体" w:cs="宋体"/>
                <w:sz w:val="18"/>
                <w:szCs w:val="18"/>
              </w:rPr>
              <w:t>  煮沸锅热能回收、酵母自动充氧改造、糖化CIP改造</w:t>
            </w:r>
          </w:p>
        </w:tc>
        <w:tc>
          <w:tcPr>
            <w:tcW w:w="1377" w:type="dxa"/>
            <w:tcBorders>
              <w:top w:val="single" w:color="auto" w:sz="2" w:space="0"/>
              <w:left w:val="single" w:color="auto" w:sz="2" w:space="0"/>
              <w:bottom w:val="single" w:color="auto" w:sz="2" w:space="0"/>
              <w:right w:val="single" w:color="auto" w:sz="2" w:space="0"/>
            </w:tcBorders>
            <w:vAlign w:val="center"/>
          </w:tcPr>
          <w:p w14:paraId="4C195198">
            <w:pPr>
              <w:spacing w:after="100" w:line="240" w:lineRule="exact"/>
              <w:jc w:val="right"/>
              <w:rPr>
                <w:rFonts w:ascii="宋体" w:hAnsi="宋体" w:eastAsia="宋体" w:cs="宋体"/>
                <w:sz w:val="18"/>
                <w:szCs w:val="18"/>
              </w:rPr>
            </w:pPr>
            <w:r>
              <w:rPr>
                <w:rFonts w:ascii="宋体" w:hAnsi="宋体" w:eastAsia="宋体" w:cs="宋体"/>
                <w:sz w:val="18"/>
                <w:szCs w:val="18"/>
              </w:rPr>
              <w:t>1,865,329.01</w:t>
            </w:r>
          </w:p>
        </w:tc>
        <w:tc>
          <w:tcPr>
            <w:tcW w:w="1377" w:type="dxa"/>
            <w:tcBorders>
              <w:top w:val="single" w:color="auto" w:sz="2" w:space="0"/>
              <w:left w:val="single" w:color="auto" w:sz="2" w:space="0"/>
              <w:bottom w:val="single" w:color="auto" w:sz="2" w:space="0"/>
              <w:right w:val="single" w:color="auto" w:sz="2" w:space="0"/>
            </w:tcBorders>
            <w:vAlign w:val="center"/>
          </w:tcPr>
          <w:p w14:paraId="025C1D7F">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2E44C7B">
            <w:pPr>
              <w:spacing w:after="100" w:line="240" w:lineRule="exact"/>
              <w:jc w:val="right"/>
              <w:rPr>
                <w:rFonts w:ascii="宋体" w:hAnsi="宋体" w:eastAsia="宋体" w:cs="宋体"/>
                <w:sz w:val="18"/>
                <w:szCs w:val="18"/>
              </w:rPr>
            </w:pPr>
            <w:r>
              <w:rPr>
                <w:rFonts w:ascii="宋体" w:hAnsi="宋体" w:eastAsia="宋体" w:cs="宋体"/>
                <w:sz w:val="18"/>
                <w:szCs w:val="18"/>
              </w:rPr>
              <w:t>1,865,329.01</w:t>
            </w:r>
          </w:p>
        </w:tc>
        <w:tc>
          <w:tcPr>
            <w:tcW w:w="1377" w:type="dxa"/>
            <w:tcBorders>
              <w:top w:val="single" w:color="auto" w:sz="2" w:space="0"/>
              <w:left w:val="single" w:color="auto" w:sz="2" w:space="0"/>
              <w:bottom w:val="single" w:color="auto" w:sz="2" w:space="0"/>
              <w:right w:val="single" w:color="auto" w:sz="2" w:space="0"/>
            </w:tcBorders>
            <w:vAlign w:val="center"/>
          </w:tcPr>
          <w:p w14:paraId="2B56DF22">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EBADAAB">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639842">
            <w:pPr>
              <w:spacing w:after="100" w:line="240" w:lineRule="exact"/>
              <w:jc w:val="right"/>
              <w:rPr>
                <w:rFonts w:ascii="宋体" w:hAnsi="宋体" w:eastAsia="宋体" w:cs="宋体"/>
                <w:sz w:val="18"/>
                <w:szCs w:val="18"/>
              </w:rPr>
            </w:pPr>
          </w:p>
        </w:tc>
      </w:tr>
      <w:tr w14:paraId="2BD2F78F">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33E65C6">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BD36214">
            <w:pPr>
              <w:spacing w:after="100" w:line="240" w:lineRule="exact"/>
              <w:jc w:val="right"/>
              <w:rPr>
                <w:rFonts w:ascii="宋体" w:hAnsi="宋体" w:eastAsia="宋体" w:cs="宋体"/>
                <w:sz w:val="18"/>
                <w:szCs w:val="18"/>
              </w:rPr>
            </w:pPr>
            <w:r>
              <w:rPr>
                <w:rFonts w:ascii="宋体" w:hAnsi="宋体" w:eastAsia="宋体" w:cs="宋体"/>
                <w:sz w:val="18"/>
                <w:szCs w:val="18"/>
              </w:rPr>
              <w:t>2,843,351.03</w:t>
            </w:r>
          </w:p>
        </w:tc>
        <w:tc>
          <w:tcPr>
            <w:tcW w:w="1377" w:type="dxa"/>
            <w:tcBorders>
              <w:top w:val="single" w:color="auto" w:sz="2" w:space="0"/>
              <w:left w:val="single" w:color="auto" w:sz="2" w:space="0"/>
              <w:bottom w:val="single" w:color="auto" w:sz="2" w:space="0"/>
              <w:right w:val="single" w:color="auto" w:sz="2" w:space="0"/>
            </w:tcBorders>
            <w:vAlign w:val="center"/>
          </w:tcPr>
          <w:p w14:paraId="37666A90">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12F339">
            <w:pPr>
              <w:spacing w:after="100" w:line="240" w:lineRule="exact"/>
              <w:jc w:val="right"/>
              <w:rPr>
                <w:rFonts w:ascii="宋体" w:hAnsi="宋体" w:eastAsia="宋体" w:cs="宋体"/>
                <w:sz w:val="18"/>
                <w:szCs w:val="18"/>
              </w:rPr>
            </w:pPr>
            <w:r>
              <w:rPr>
                <w:rFonts w:ascii="宋体" w:hAnsi="宋体" w:eastAsia="宋体" w:cs="宋体"/>
                <w:sz w:val="18"/>
                <w:szCs w:val="18"/>
              </w:rPr>
              <w:t>2,843,351.03</w:t>
            </w:r>
          </w:p>
        </w:tc>
        <w:tc>
          <w:tcPr>
            <w:tcW w:w="1377" w:type="dxa"/>
            <w:tcBorders>
              <w:top w:val="single" w:color="auto" w:sz="2" w:space="0"/>
              <w:left w:val="single" w:color="auto" w:sz="2" w:space="0"/>
              <w:bottom w:val="single" w:color="auto" w:sz="2" w:space="0"/>
              <w:right w:val="single" w:color="auto" w:sz="2" w:space="0"/>
            </w:tcBorders>
            <w:vAlign w:val="center"/>
          </w:tcPr>
          <w:p w14:paraId="4509B48A">
            <w:pPr>
              <w:spacing w:after="100" w:line="240" w:lineRule="exact"/>
              <w:jc w:val="right"/>
              <w:rPr>
                <w:rFonts w:ascii="宋体" w:hAnsi="宋体" w:eastAsia="宋体" w:cs="宋体"/>
                <w:sz w:val="18"/>
                <w:szCs w:val="18"/>
              </w:rPr>
            </w:pPr>
            <w:r>
              <w:rPr>
                <w:rFonts w:ascii="宋体" w:hAnsi="宋体" w:eastAsia="宋体" w:cs="宋体"/>
                <w:sz w:val="18"/>
                <w:szCs w:val="18"/>
              </w:rPr>
              <w:t>10,320,297.72</w:t>
            </w:r>
          </w:p>
        </w:tc>
        <w:tc>
          <w:tcPr>
            <w:tcW w:w="1377" w:type="dxa"/>
            <w:tcBorders>
              <w:top w:val="single" w:color="auto" w:sz="2" w:space="0"/>
              <w:left w:val="single" w:color="auto" w:sz="2" w:space="0"/>
              <w:bottom w:val="single" w:color="auto" w:sz="2" w:space="0"/>
              <w:right w:val="single" w:color="auto" w:sz="2" w:space="0"/>
            </w:tcBorders>
            <w:vAlign w:val="center"/>
          </w:tcPr>
          <w:p w14:paraId="205FDC17">
            <w:pPr>
              <w:spacing w:after="10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8B1C8C">
            <w:pPr>
              <w:spacing w:after="100" w:line="240" w:lineRule="exact"/>
              <w:jc w:val="right"/>
              <w:rPr>
                <w:rFonts w:ascii="宋体" w:hAnsi="宋体" w:eastAsia="宋体" w:cs="宋体"/>
                <w:sz w:val="18"/>
                <w:szCs w:val="18"/>
              </w:rPr>
            </w:pPr>
            <w:r>
              <w:rPr>
                <w:rFonts w:ascii="宋体" w:hAnsi="宋体" w:eastAsia="宋体" w:cs="宋体"/>
                <w:sz w:val="18"/>
                <w:szCs w:val="18"/>
              </w:rPr>
              <w:t>10,320,297.72</w:t>
            </w:r>
          </w:p>
        </w:tc>
      </w:tr>
    </w:tbl>
    <w:p w14:paraId="576FF47A">
      <w:pPr>
        <w:keepNext/>
        <w:keepLines/>
        <w:spacing w:before="300" w:after="100" w:line="280" w:lineRule="exact"/>
        <w:outlineLvl w:val="3"/>
        <w:rPr>
          <w:rFonts w:ascii="宋体" w:hAnsi="宋体" w:eastAsia="宋体" w:cs="宋体"/>
          <w:b/>
          <w:bCs/>
          <w:szCs w:val="21"/>
        </w:rPr>
      </w:pPr>
      <w:bookmarkStart w:id="263" w:name="_Toc989152"/>
      <w:r>
        <w:rPr>
          <w:rFonts w:ascii="宋体" w:hAnsi="宋体" w:eastAsia="宋体" w:cs="宋体"/>
          <w:b/>
          <w:bCs/>
          <w:szCs w:val="21"/>
        </w:rPr>
        <w:t>（2） 重要在建工程项目本期变动情况</w:t>
      </w:r>
      <w:bookmarkEnd w:id="263"/>
    </w:p>
    <w:p w14:paraId="7D02C9C1">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2"/>
        <w:gridCol w:w="742"/>
        <w:gridCol w:w="742"/>
        <w:gridCol w:w="742"/>
        <w:gridCol w:w="742"/>
        <w:gridCol w:w="742"/>
        <w:gridCol w:w="741"/>
        <w:gridCol w:w="741"/>
        <w:gridCol w:w="741"/>
        <w:gridCol w:w="741"/>
        <w:gridCol w:w="741"/>
        <w:gridCol w:w="741"/>
        <w:gridCol w:w="741"/>
      </w:tblGrid>
      <w:tr w14:paraId="51212336">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F02DE5B">
            <w:pPr>
              <w:spacing w:before="40" w:after="10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C1942F7">
            <w:pPr>
              <w:spacing w:before="40" w:after="100" w:line="240" w:lineRule="exact"/>
              <w:jc w:val="center"/>
              <w:rPr>
                <w:rFonts w:ascii="宋体" w:hAnsi="宋体" w:eastAsia="宋体" w:cs="宋体"/>
                <w:sz w:val="18"/>
                <w:szCs w:val="18"/>
              </w:rPr>
            </w:pPr>
            <w:r>
              <w:rPr>
                <w:rFonts w:ascii="宋体" w:hAnsi="宋体" w:eastAsia="宋体" w:cs="宋体"/>
                <w:sz w:val="18"/>
                <w:szCs w:val="18"/>
              </w:rPr>
              <w:t>预算数</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02AEBF3">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9AAAA89">
            <w:pPr>
              <w:spacing w:before="40" w:after="10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35D1AC4">
            <w:pPr>
              <w:spacing w:before="40" w:after="100" w:line="240" w:lineRule="exact"/>
              <w:jc w:val="center"/>
              <w:rPr>
                <w:rFonts w:ascii="宋体" w:hAnsi="宋体" w:eastAsia="宋体" w:cs="宋体"/>
                <w:sz w:val="18"/>
                <w:szCs w:val="18"/>
              </w:rPr>
            </w:pPr>
            <w:r>
              <w:rPr>
                <w:rFonts w:ascii="宋体" w:hAnsi="宋体" w:eastAsia="宋体" w:cs="宋体"/>
                <w:sz w:val="18"/>
                <w:szCs w:val="18"/>
              </w:rPr>
              <w:t>本期转入固定资产金额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5D8B89A">
            <w:pPr>
              <w:spacing w:before="40" w:after="100" w:line="240" w:lineRule="exact"/>
              <w:jc w:val="center"/>
              <w:rPr>
                <w:rFonts w:ascii="宋体" w:hAnsi="宋体" w:eastAsia="宋体" w:cs="宋体"/>
                <w:sz w:val="18"/>
                <w:szCs w:val="18"/>
              </w:rPr>
            </w:pPr>
            <w:r>
              <w:rPr>
                <w:rFonts w:ascii="宋体" w:hAnsi="宋体" w:eastAsia="宋体" w:cs="宋体"/>
                <w:sz w:val="18"/>
                <w:szCs w:val="18"/>
              </w:rPr>
              <w:t>本期其他减少金额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62EDF43">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DEFE314">
            <w:pPr>
              <w:spacing w:before="40" w:after="100" w:line="240" w:lineRule="exact"/>
              <w:jc w:val="center"/>
              <w:rPr>
                <w:rFonts w:ascii="宋体" w:hAnsi="宋体" w:eastAsia="宋体" w:cs="宋体"/>
                <w:sz w:val="18"/>
                <w:szCs w:val="18"/>
              </w:rPr>
            </w:pPr>
            <w:r>
              <w:rPr>
                <w:rFonts w:ascii="宋体" w:hAnsi="宋体" w:eastAsia="宋体" w:cs="宋体"/>
                <w:sz w:val="18"/>
                <w:szCs w:val="18"/>
              </w:rPr>
              <w:t>工程累计投入占预算比例</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C0EDF83">
            <w:pPr>
              <w:spacing w:before="40" w:after="100" w:line="240" w:lineRule="exact"/>
              <w:jc w:val="center"/>
              <w:rPr>
                <w:rFonts w:ascii="宋体" w:hAnsi="宋体" w:eastAsia="宋体" w:cs="宋体"/>
                <w:sz w:val="18"/>
                <w:szCs w:val="18"/>
              </w:rPr>
            </w:pPr>
            <w:r>
              <w:rPr>
                <w:rFonts w:ascii="宋体" w:hAnsi="宋体" w:eastAsia="宋体" w:cs="宋体"/>
                <w:sz w:val="18"/>
                <w:szCs w:val="18"/>
              </w:rPr>
              <w:t>工程进度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1A1A578">
            <w:pPr>
              <w:spacing w:before="40" w:after="100" w:line="240" w:lineRule="exact"/>
              <w:jc w:val="center"/>
              <w:rPr>
                <w:rFonts w:ascii="宋体" w:hAnsi="宋体" w:eastAsia="宋体" w:cs="宋体"/>
                <w:sz w:val="18"/>
                <w:szCs w:val="18"/>
              </w:rPr>
            </w:pPr>
            <w:r>
              <w:rPr>
                <w:rFonts w:ascii="宋体" w:hAnsi="宋体" w:eastAsia="宋体" w:cs="宋体"/>
                <w:sz w:val="18"/>
                <w:szCs w:val="18"/>
              </w:rPr>
              <w:t>利息资本化累计金额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155B042">
            <w:pPr>
              <w:spacing w:before="40" w:after="100" w:line="240" w:lineRule="exact"/>
              <w:jc w:val="center"/>
              <w:rPr>
                <w:rFonts w:ascii="宋体" w:hAnsi="宋体" w:eastAsia="宋体" w:cs="宋体"/>
                <w:sz w:val="18"/>
                <w:szCs w:val="18"/>
              </w:rPr>
            </w:pPr>
            <w:r>
              <w:rPr>
                <w:rFonts w:ascii="宋体" w:hAnsi="宋体" w:eastAsia="宋体" w:cs="宋体"/>
                <w:sz w:val="18"/>
                <w:szCs w:val="18"/>
              </w:rPr>
              <w:t>其中：本期利息资本化金额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F578847">
            <w:pPr>
              <w:spacing w:before="40" w:after="100" w:line="240" w:lineRule="exact"/>
              <w:jc w:val="center"/>
              <w:rPr>
                <w:rFonts w:ascii="宋体" w:hAnsi="宋体" w:eastAsia="宋体" w:cs="宋体"/>
                <w:sz w:val="18"/>
                <w:szCs w:val="18"/>
              </w:rPr>
            </w:pPr>
            <w:r>
              <w:rPr>
                <w:rFonts w:ascii="宋体" w:hAnsi="宋体" w:eastAsia="宋体" w:cs="宋体"/>
                <w:sz w:val="18"/>
                <w:szCs w:val="18"/>
              </w:rPr>
              <w:t>本期利息资本化率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C13DD64">
            <w:pPr>
              <w:spacing w:before="40" w:after="100" w:line="240" w:lineRule="exact"/>
              <w:jc w:val="center"/>
              <w:rPr>
                <w:rFonts w:ascii="宋体" w:hAnsi="宋体" w:eastAsia="宋体" w:cs="宋体"/>
                <w:sz w:val="18"/>
                <w:szCs w:val="18"/>
              </w:rPr>
            </w:pPr>
            <w:r>
              <w:rPr>
                <w:rFonts w:ascii="宋体" w:hAnsi="宋体" w:eastAsia="宋体" w:cs="宋体"/>
                <w:sz w:val="18"/>
                <w:szCs w:val="18"/>
              </w:rPr>
              <w:t>资金来源</w:t>
            </w:r>
          </w:p>
        </w:tc>
      </w:tr>
      <w:tr w14:paraId="60D43BB8">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F50BF61">
            <w:pPr>
              <w:spacing w:after="100" w:line="240" w:lineRule="exact"/>
              <w:rPr>
                <w:rFonts w:ascii="宋体" w:hAnsi="宋体" w:eastAsia="宋体" w:cs="宋体"/>
                <w:sz w:val="18"/>
                <w:szCs w:val="18"/>
              </w:rPr>
            </w:pPr>
            <w:r>
              <w:rPr>
                <w:rFonts w:ascii="宋体" w:hAnsi="宋体" w:eastAsia="宋体" w:cs="宋体"/>
                <w:sz w:val="18"/>
                <w:szCs w:val="18"/>
              </w:rPr>
              <w:t>  发酵罐（6个）</w:t>
            </w:r>
          </w:p>
        </w:tc>
        <w:tc>
          <w:tcPr>
            <w:tcW w:w="741" w:type="dxa"/>
            <w:tcBorders>
              <w:top w:val="single" w:color="auto" w:sz="2" w:space="0"/>
              <w:left w:val="single" w:color="auto" w:sz="2" w:space="0"/>
              <w:bottom w:val="single" w:color="auto" w:sz="2" w:space="0"/>
              <w:right w:val="single" w:color="auto" w:sz="2" w:space="0"/>
            </w:tcBorders>
            <w:vAlign w:val="center"/>
          </w:tcPr>
          <w:p w14:paraId="57CAFA9A">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FCC448">
            <w:pPr>
              <w:spacing w:after="100" w:line="240" w:lineRule="exact"/>
              <w:jc w:val="right"/>
              <w:rPr>
                <w:rFonts w:ascii="宋体" w:hAnsi="宋体" w:eastAsia="宋体" w:cs="宋体"/>
                <w:sz w:val="18"/>
                <w:szCs w:val="18"/>
              </w:rPr>
            </w:pPr>
            <w:r>
              <w:rPr>
                <w:rFonts w:ascii="宋体" w:hAnsi="宋体" w:eastAsia="宋体" w:cs="宋体"/>
                <w:sz w:val="18"/>
                <w:szCs w:val="18"/>
              </w:rPr>
              <w:t>6,881,116.31</w:t>
            </w:r>
          </w:p>
        </w:tc>
        <w:tc>
          <w:tcPr>
            <w:tcW w:w="741" w:type="dxa"/>
            <w:tcBorders>
              <w:top w:val="single" w:color="auto" w:sz="2" w:space="0"/>
              <w:left w:val="single" w:color="auto" w:sz="2" w:space="0"/>
              <w:bottom w:val="single" w:color="auto" w:sz="2" w:space="0"/>
              <w:right w:val="single" w:color="auto" w:sz="2" w:space="0"/>
            </w:tcBorders>
            <w:vAlign w:val="center"/>
          </w:tcPr>
          <w:p w14:paraId="1C02CBEF">
            <w:pPr>
              <w:spacing w:after="100" w:line="240" w:lineRule="exact"/>
              <w:jc w:val="right"/>
              <w:rPr>
                <w:rFonts w:ascii="宋体" w:hAnsi="宋体" w:eastAsia="宋体" w:cs="宋体"/>
                <w:sz w:val="18"/>
                <w:szCs w:val="18"/>
              </w:rPr>
            </w:pPr>
            <w:r>
              <w:rPr>
                <w:rFonts w:ascii="宋体" w:hAnsi="宋体" w:eastAsia="宋体" w:cs="宋体"/>
                <w:sz w:val="18"/>
                <w:szCs w:val="18"/>
              </w:rPr>
              <w:t>694,378.12</w:t>
            </w:r>
          </w:p>
        </w:tc>
        <w:tc>
          <w:tcPr>
            <w:tcW w:w="741" w:type="dxa"/>
            <w:tcBorders>
              <w:top w:val="single" w:color="auto" w:sz="2" w:space="0"/>
              <w:left w:val="single" w:color="auto" w:sz="2" w:space="0"/>
              <w:bottom w:val="single" w:color="auto" w:sz="2" w:space="0"/>
              <w:right w:val="single" w:color="auto" w:sz="2" w:space="0"/>
            </w:tcBorders>
            <w:vAlign w:val="center"/>
          </w:tcPr>
          <w:p w14:paraId="32565822">
            <w:pPr>
              <w:spacing w:after="100" w:line="240" w:lineRule="exact"/>
              <w:jc w:val="right"/>
              <w:rPr>
                <w:rFonts w:ascii="宋体" w:hAnsi="宋体" w:eastAsia="宋体" w:cs="宋体"/>
                <w:sz w:val="18"/>
                <w:szCs w:val="18"/>
              </w:rPr>
            </w:pPr>
            <w:r>
              <w:rPr>
                <w:rFonts w:ascii="宋体" w:hAnsi="宋体" w:eastAsia="宋体" w:cs="宋体"/>
                <w:sz w:val="18"/>
                <w:szCs w:val="18"/>
              </w:rPr>
              <w:t>7,575,494.43</w:t>
            </w:r>
          </w:p>
        </w:tc>
        <w:tc>
          <w:tcPr>
            <w:tcW w:w="741" w:type="dxa"/>
            <w:tcBorders>
              <w:top w:val="single" w:color="auto" w:sz="2" w:space="0"/>
              <w:left w:val="single" w:color="auto" w:sz="2" w:space="0"/>
              <w:bottom w:val="single" w:color="auto" w:sz="2" w:space="0"/>
              <w:right w:val="single" w:color="auto" w:sz="2" w:space="0"/>
            </w:tcBorders>
            <w:vAlign w:val="center"/>
          </w:tcPr>
          <w:p w14:paraId="357FCEB1">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293AF0">
            <w:pPr>
              <w:spacing w:after="100"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5FC6CC79">
            <w:pPr>
              <w:spacing w:after="100" w:line="240" w:lineRule="exact"/>
              <w:jc w:val="righ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689F1C24">
            <w:pPr>
              <w:spacing w:after="100" w:line="240" w:lineRule="exac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3B078E49">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EA4E01">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BF3AC7">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3EC9E6">
            <w:pPr>
              <w:spacing w:after="100" w:line="240" w:lineRule="exact"/>
              <w:rPr>
                <w:rFonts w:ascii="宋体" w:hAnsi="宋体" w:eastAsia="宋体" w:cs="宋体"/>
                <w:sz w:val="18"/>
                <w:szCs w:val="18"/>
              </w:rPr>
            </w:pPr>
            <w:r>
              <w:rPr>
                <w:rFonts w:hint="eastAsia" w:ascii="宋体" w:hAnsi="宋体" w:eastAsia="宋体" w:cs="宋体"/>
                <w:sz w:val="18"/>
                <w:szCs w:val="18"/>
              </w:rPr>
              <w:t>自筹</w:t>
            </w:r>
          </w:p>
        </w:tc>
      </w:tr>
      <w:tr w14:paraId="0C20E043">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4903E067">
            <w:pPr>
              <w:spacing w:after="100" w:line="240" w:lineRule="exact"/>
              <w:rPr>
                <w:rFonts w:ascii="宋体" w:hAnsi="宋体" w:eastAsia="宋体" w:cs="宋体"/>
                <w:sz w:val="18"/>
                <w:szCs w:val="18"/>
              </w:rPr>
            </w:pPr>
            <w:r>
              <w:rPr>
                <w:rFonts w:ascii="宋体" w:hAnsi="宋体" w:eastAsia="宋体" w:cs="宋体"/>
                <w:sz w:val="18"/>
                <w:szCs w:val="18"/>
              </w:rPr>
              <w:t>  清酒罐（2个）</w:t>
            </w:r>
          </w:p>
        </w:tc>
        <w:tc>
          <w:tcPr>
            <w:tcW w:w="741" w:type="dxa"/>
            <w:tcBorders>
              <w:top w:val="single" w:color="auto" w:sz="2" w:space="0"/>
              <w:left w:val="single" w:color="auto" w:sz="2" w:space="0"/>
              <w:bottom w:val="single" w:color="auto" w:sz="2" w:space="0"/>
              <w:right w:val="single" w:color="auto" w:sz="2" w:space="0"/>
            </w:tcBorders>
            <w:vAlign w:val="center"/>
          </w:tcPr>
          <w:p w14:paraId="34C4BD90">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A91799">
            <w:pPr>
              <w:spacing w:after="100" w:line="240" w:lineRule="exact"/>
              <w:jc w:val="right"/>
              <w:rPr>
                <w:rFonts w:ascii="宋体" w:hAnsi="宋体" w:eastAsia="宋体" w:cs="宋体"/>
                <w:sz w:val="18"/>
                <w:szCs w:val="18"/>
              </w:rPr>
            </w:pPr>
            <w:r>
              <w:rPr>
                <w:rFonts w:ascii="宋体" w:hAnsi="宋体" w:eastAsia="宋体" w:cs="宋体"/>
                <w:sz w:val="18"/>
                <w:szCs w:val="18"/>
              </w:rPr>
              <w:t>1,607,853.98</w:t>
            </w:r>
          </w:p>
        </w:tc>
        <w:tc>
          <w:tcPr>
            <w:tcW w:w="741" w:type="dxa"/>
            <w:tcBorders>
              <w:top w:val="single" w:color="auto" w:sz="2" w:space="0"/>
              <w:left w:val="single" w:color="auto" w:sz="2" w:space="0"/>
              <w:bottom w:val="single" w:color="auto" w:sz="2" w:space="0"/>
              <w:right w:val="single" w:color="auto" w:sz="2" w:space="0"/>
            </w:tcBorders>
            <w:vAlign w:val="center"/>
          </w:tcPr>
          <w:p w14:paraId="43FB4410">
            <w:pPr>
              <w:spacing w:after="100" w:line="240" w:lineRule="exact"/>
              <w:jc w:val="right"/>
              <w:rPr>
                <w:rFonts w:ascii="宋体" w:hAnsi="宋体" w:eastAsia="宋体" w:cs="宋体"/>
                <w:sz w:val="18"/>
                <w:szCs w:val="18"/>
              </w:rPr>
            </w:pPr>
            <w:r>
              <w:rPr>
                <w:rFonts w:ascii="宋体" w:hAnsi="宋体" w:eastAsia="宋体" w:cs="宋体"/>
                <w:sz w:val="18"/>
                <w:szCs w:val="18"/>
              </w:rPr>
              <w:t>84,623.90</w:t>
            </w:r>
          </w:p>
        </w:tc>
        <w:tc>
          <w:tcPr>
            <w:tcW w:w="741" w:type="dxa"/>
            <w:tcBorders>
              <w:top w:val="single" w:color="auto" w:sz="2" w:space="0"/>
              <w:left w:val="single" w:color="auto" w:sz="2" w:space="0"/>
              <w:bottom w:val="single" w:color="auto" w:sz="2" w:space="0"/>
              <w:right w:val="single" w:color="auto" w:sz="2" w:space="0"/>
            </w:tcBorders>
            <w:vAlign w:val="center"/>
          </w:tcPr>
          <w:p w14:paraId="196F00D7">
            <w:pPr>
              <w:spacing w:after="100" w:line="240" w:lineRule="exact"/>
              <w:jc w:val="right"/>
              <w:rPr>
                <w:rFonts w:ascii="宋体" w:hAnsi="宋体" w:eastAsia="宋体" w:cs="宋体"/>
                <w:sz w:val="18"/>
                <w:szCs w:val="18"/>
              </w:rPr>
            </w:pPr>
            <w:r>
              <w:rPr>
                <w:rFonts w:ascii="宋体" w:hAnsi="宋体" w:eastAsia="宋体" w:cs="宋体"/>
                <w:sz w:val="18"/>
                <w:szCs w:val="18"/>
              </w:rPr>
              <w:t>1,692,477.88</w:t>
            </w:r>
          </w:p>
        </w:tc>
        <w:tc>
          <w:tcPr>
            <w:tcW w:w="741" w:type="dxa"/>
            <w:tcBorders>
              <w:top w:val="single" w:color="auto" w:sz="2" w:space="0"/>
              <w:left w:val="single" w:color="auto" w:sz="2" w:space="0"/>
              <w:bottom w:val="single" w:color="auto" w:sz="2" w:space="0"/>
              <w:right w:val="single" w:color="auto" w:sz="2" w:space="0"/>
            </w:tcBorders>
            <w:vAlign w:val="center"/>
          </w:tcPr>
          <w:p w14:paraId="52800894">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D5F2C1">
            <w:pPr>
              <w:spacing w:after="100"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6ECE998C">
            <w:pPr>
              <w:spacing w:after="100" w:line="240" w:lineRule="exact"/>
              <w:jc w:val="righ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06E57BFC">
            <w:pPr>
              <w:spacing w:after="100" w:line="240" w:lineRule="exac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2CD22A38">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AA7E9D">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C7FF76">
            <w:pPr>
              <w:spacing w:after="10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A03513">
            <w:pPr>
              <w:spacing w:after="100" w:line="240" w:lineRule="exact"/>
              <w:rPr>
                <w:rFonts w:ascii="宋体" w:hAnsi="宋体" w:eastAsia="宋体" w:cs="宋体"/>
                <w:sz w:val="18"/>
                <w:szCs w:val="18"/>
              </w:rPr>
            </w:pPr>
            <w:r>
              <w:rPr>
                <w:rFonts w:hint="eastAsia" w:ascii="宋体" w:hAnsi="宋体" w:eastAsia="宋体" w:cs="宋体"/>
                <w:sz w:val="18"/>
                <w:szCs w:val="18"/>
              </w:rPr>
              <w:t>自筹</w:t>
            </w:r>
          </w:p>
        </w:tc>
      </w:tr>
      <w:tr w14:paraId="232DA0CE">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4483351">
            <w:pPr>
              <w:spacing w:line="240" w:lineRule="exact"/>
              <w:rPr>
                <w:rFonts w:ascii="宋体" w:hAnsi="宋体" w:eastAsia="宋体" w:cs="宋体"/>
                <w:sz w:val="18"/>
                <w:szCs w:val="18"/>
              </w:rPr>
            </w:pPr>
            <w:r>
              <w:rPr>
                <w:rFonts w:ascii="宋体" w:hAnsi="宋体" w:eastAsia="宋体" w:cs="宋体"/>
                <w:sz w:val="18"/>
                <w:szCs w:val="18"/>
              </w:rPr>
              <w:t>  麦汁充氧系统（包括过滤槽洗糟水调节温度系统）</w:t>
            </w:r>
          </w:p>
        </w:tc>
        <w:tc>
          <w:tcPr>
            <w:tcW w:w="741" w:type="dxa"/>
            <w:tcBorders>
              <w:top w:val="single" w:color="auto" w:sz="2" w:space="0"/>
              <w:left w:val="single" w:color="auto" w:sz="2" w:space="0"/>
              <w:bottom w:val="single" w:color="auto" w:sz="2" w:space="0"/>
              <w:right w:val="single" w:color="auto" w:sz="2" w:space="0"/>
            </w:tcBorders>
            <w:vAlign w:val="center"/>
          </w:tcPr>
          <w:p w14:paraId="40E5A77B">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56F998">
            <w:pPr>
              <w:spacing w:line="240" w:lineRule="exact"/>
              <w:jc w:val="right"/>
              <w:rPr>
                <w:rFonts w:ascii="宋体" w:hAnsi="宋体" w:eastAsia="宋体" w:cs="宋体"/>
                <w:sz w:val="18"/>
                <w:szCs w:val="18"/>
              </w:rPr>
            </w:pPr>
            <w:r>
              <w:rPr>
                <w:rFonts w:ascii="宋体" w:hAnsi="宋体" w:eastAsia="宋体" w:cs="宋体"/>
                <w:sz w:val="18"/>
                <w:szCs w:val="18"/>
              </w:rPr>
              <w:t>504,424.78</w:t>
            </w:r>
          </w:p>
        </w:tc>
        <w:tc>
          <w:tcPr>
            <w:tcW w:w="741" w:type="dxa"/>
            <w:tcBorders>
              <w:top w:val="single" w:color="auto" w:sz="2" w:space="0"/>
              <w:left w:val="single" w:color="auto" w:sz="2" w:space="0"/>
              <w:bottom w:val="single" w:color="auto" w:sz="2" w:space="0"/>
              <w:right w:val="single" w:color="auto" w:sz="2" w:space="0"/>
            </w:tcBorders>
            <w:vAlign w:val="center"/>
          </w:tcPr>
          <w:p w14:paraId="34B202E1">
            <w:pPr>
              <w:spacing w:line="240" w:lineRule="exact"/>
              <w:jc w:val="right"/>
              <w:rPr>
                <w:rFonts w:ascii="宋体" w:hAnsi="宋体" w:eastAsia="宋体" w:cs="宋体"/>
                <w:sz w:val="18"/>
                <w:szCs w:val="18"/>
              </w:rPr>
            </w:pPr>
            <w:r>
              <w:rPr>
                <w:rFonts w:ascii="宋体" w:hAnsi="宋体" w:eastAsia="宋体" w:cs="宋体"/>
                <w:sz w:val="18"/>
                <w:szCs w:val="18"/>
              </w:rPr>
              <w:t>26,548.67</w:t>
            </w:r>
          </w:p>
        </w:tc>
        <w:tc>
          <w:tcPr>
            <w:tcW w:w="741" w:type="dxa"/>
            <w:tcBorders>
              <w:top w:val="single" w:color="auto" w:sz="2" w:space="0"/>
              <w:left w:val="single" w:color="auto" w:sz="2" w:space="0"/>
              <w:bottom w:val="single" w:color="auto" w:sz="2" w:space="0"/>
              <w:right w:val="single" w:color="auto" w:sz="2" w:space="0"/>
            </w:tcBorders>
            <w:vAlign w:val="center"/>
          </w:tcPr>
          <w:p w14:paraId="2C25303B">
            <w:pPr>
              <w:spacing w:line="240" w:lineRule="exact"/>
              <w:jc w:val="right"/>
              <w:rPr>
                <w:rFonts w:ascii="宋体" w:hAnsi="宋体" w:eastAsia="宋体" w:cs="宋体"/>
                <w:sz w:val="18"/>
                <w:szCs w:val="18"/>
              </w:rPr>
            </w:pPr>
            <w:r>
              <w:rPr>
                <w:rFonts w:ascii="宋体" w:hAnsi="宋体" w:eastAsia="宋体" w:cs="宋体"/>
                <w:sz w:val="18"/>
                <w:szCs w:val="18"/>
              </w:rPr>
              <w:t>530,973.45</w:t>
            </w:r>
          </w:p>
        </w:tc>
        <w:tc>
          <w:tcPr>
            <w:tcW w:w="741" w:type="dxa"/>
            <w:tcBorders>
              <w:top w:val="single" w:color="auto" w:sz="2" w:space="0"/>
              <w:left w:val="single" w:color="auto" w:sz="2" w:space="0"/>
              <w:bottom w:val="single" w:color="auto" w:sz="2" w:space="0"/>
              <w:right w:val="single" w:color="auto" w:sz="2" w:space="0"/>
            </w:tcBorders>
            <w:vAlign w:val="center"/>
          </w:tcPr>
          <w:p w14:paraId="29B80DA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F02DFD">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5D20FB7B">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555C7CD7">
            <w:pPr>
              <w:spacing w:line="240" w:lineRule="exac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582E382B">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2DB153">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F87F9C">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44884C">
            <w:pPr>
              <w:spacing w:line="240" w:lineRule="exact"/>
              <w:rPr>
                <w:rFonts w:ascii="宋体" w:hAnsi="宋体" w:eastAsia="宋体" w:cs="宋体"/>
                <w:sz w:val="18"/>
                <w:szCs w:val="18"/>
              </w:rPr>
            </w:pPr>
            <w:r>
              <w:rPr>
                <w:rFonts w:hint="eastAsia" w:ascii="宋体" w:hAnsi="宋体" w:eastAsia="宋体" w:cs="宋体"/>
                <w:sz w:val="18"/>
                <w:szCs w:val="18"/>
              </w:rPr>
              <w:t>自筹</w:t>
            </w:r>
          </w:p>
        </w:tc>
      </w:tr>
      <w:tr w14:paraId="78608D77">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87EC678">
            <w:pPr>
              <w:spacing w:line="240" w:lineRule="exact"/>
              <w:rPr>
                <w:rFonts w:ascii="宋体" w:hAnsi="宋体" w:eastAsia="宋体" w:cs="宋体"/>
                <w:sz w:val="18"/>
                <w:szCs w:val="18"/>
              </w:rPr>
            </w:pPr>
            <w:r>
              <w:rPr>
                <w:rFonts w:ascii="宋体" w:hAnsi="宋体" w:eastAsia="宋体" w:cs="宋体"/>
                <w:sz w:val="18"/>
                <w:szCs w:val="18"/>
              </w:rPr>
              <w:t>  宁波乐惠水处理设备</w:t>
            </w:r>
          </w:p>
        </w:tc>
        <w:tc>
          <w:tcPr>
            <w:tcW w:w="741" w:type="dxa"/>
            <w:tcBorders>
              <w:top w:val="single" w:color="auto" w:sz="2" w:space="0"/>
              <w:left w:val="single" w:color="auto" w:sz="2" w:space="0"/>
              <w:bottom w:val="single" w:color="auto" w:sz="2" w:space="0"/>
              <w:right w:val="single" w:color="auto" w:sz="2" w:space="0"/>
            </w:tcBorders>
            <w:vAlign w:val="center"/>
          </w:tcPr>
          <w:p w14:paraId="2290B5F3">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A0E247">
            <w:pPr>
              <w:spacing w:line="240" w:lineRule="exact"/>
              <w:jc w:val="right"/>
              <w:rPr>
                <w:rFonts w:ascii="宋体" w:hAnsi="宋体" w:eastAsia="宋体" w:cs="宋体"/>
                <w:sz w:val="18"/>
                <w:szCs w:val="18"/>
              </w:rPr>
            </w:pPr>
            <w:r>
              <w:rPr>
                <w:rFonts w:ascii="宋体" w:hAnsi="宋体" w:eastAsia="宋体" w:cs="宋体"/>
                <w:sz w:val="18"/>
                <w:szCs w:val="18"/>
              </w:rPr>
              <w:t>1,326,902.65</w:t>
            </w:r>
          </w:p>
        </w:tc>
        <w:tc>
          <w:tcPr>
            <w:tcW w:w="741" w:type="dxa"/>
            <w:tcBorders>
              <w:top w:val="single" w:color="auto" w:sz="2" w:space="0"/>
              <w:left w:val="single" w:color="auto" w:sz="2" w:space="0"/>
              <w:bottom w:val="single" w:color="auto" w:sz="2" w:space="0"/>
              <w:right w:val="single" w:color="auto" w:sz="2" w:space="0"/>
            </w:tcBorders>
            <w:vAlign w:val="center"/>
          </w:tcPr>
          <w:p w14:paraId="4B157DB5">
            <w:pPr>
              <w:spacing w:line="240" w:lineRule="exact"/>
              <w:jc w:val="right"/>
              <w:rPr>
                <w:rFonts w:ascii="宋体" w:hAnsi="宋体" w:eastAsia="宋体" w:cs="宋体"/>
                <w:sz w:val="18"/>
                <w:szCs w:val="18"/>
              </w:rPr>
            </w:pPr>
            <w:r>
              <w:rPr>
                <w:rFonts w:ascii="宋体" w:hAnsi="宋体" w:eastAsia="宋体" w:cs="宋体"/>
                <w:sz w:val="18"/>
                <w:szCs w:val="18"/>
              </w:rPr>
              <w:t>3,727,017.67</w:t>
            </w:r>
          </w:p>
        </w:tc>
        <w:tc>
          <w:tcPr>
            <w:tcW w:w="741" w:type="dxa"/>
            <w:tcBorders>
              <w:top w:val="single" w:color="auto" w:sz="2" w:space="0"/>
              <w:left w:val="single" w:color="auto" w:sz="2" w:space="0"/>
              <w:bottom w:val="single" w:color="auto" w:sz="2" w:space="0"/>
              <w:right w:val="single" w:color="auto" w:sz="2" w:space="0"/>
            </w:tcBorders>
            <w:vAlign w:val="center"/>
          </w:tcPr>
          <w:p w14:paraId="12846046">
            <w:pPr>
              <w:spacing w:line="240" w:lineRule="exact"/>
              <w:jc w:val="right"/>
              <w:rPr>
                <w:rFonts w:ascii="宋体" w:hAnsi="宋体" w:eastAsia="宋体" w:cs="宋体"/>
                <w:sz w:val="18"/>
                <w:szCs w:val="18"/>
              </w:rPr>
            </w:pPr>
            <w:r>
              <w:rPr>
                <w:rFonts w:ascii="宋体" w:hAnsi="宋体" w:eastAsia="宋体" w:cs="宋体"/>
                <w:sz w:val="18"/>
                <w:szCs w:val="18"/>
              </w:rPr>
              <w:t>5,053,920.32</w:t>
            </w:r>
          </w:p>
        </w:tc>
        <w:tc>
          <w:tcPr>
            <w:tcW w:w="741" w:type="dxa"/>
            <w:tcBorders>
              <w:top w:val="single" w:color="auto" w:sz="2" w:space="0"/>
              <w:left w:val="single" w:color="auto" w:sz="2" w:space="0"/>
              <w:bottom w:val="single" w:color="auto" w:sz="2" w:space="0"/>
              <w:right w:val="single" w:color="auto" w:sz="2" w:space="0"/>
            </w:tcBorders>
            <w:vAlign w:val="center"/>
          </w:tcPr>
          <w:p w14:paraId="7B6E16E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715B9B">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1CD4326F">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139FA019">
            <w:pPr>
              <w:spacing w:line="240" w:lineRule="exac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6DCD9567">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984B6">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94E9F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E1B81B">
            <w:pPr>
              <w:spacing w:line="240" w:lineRule="exact"/>
              <w:rPr>
                <w:rFonts w:ascii="宋体" w:hAnsi="宋体" w:eastAsia="宋体" w:cs="宋体"/>
                <w:sz w:val="18"/>
                <w:szCs w:val="18"/>
              </w:rPr>
            </w:pPr>
            <w:r>
              <w:rPr>
                <w:rFonts w:hint="eastAsia" w:ascii="宋体" w:hAnsi="宋体" w:eastAsia="宋体" w:cs="宋体"/>
                <w:sz w:val="18"/>
                <w:szCs w:val="18"/>
              </w:rPr>
              <w:t>自筹</w:t>
            </w:r>
          </w:p>
        </w:tc>
      </w:tr>
      <w:tr w14:paraId="66EB4B00">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B200E22">
            <w:pPr>
              <w:spacing w:line="240" w:lineRule="exact"/>
              <w:rPr>
                <w:rFonts w:ascii="宋体" w:hAnsi="宋体" w:eastAsia="宋体" w:cs="宋体"/>
                <w:sz w:val="18"/>
                <w:szCs w:val="18"/>
              </w:rPr>
            </w:pPr>
            <w:r>
              <w:rPr>
                <w:rFonts w:ascii="宋体" w:hAnsi="宋体" w:eastAsia="宋体" w:cs="宋体"/>
                <w:sz w:val="18"/>
                <w:szCs w:val="18"/>
              </w:rPr>
              <w:t>  制冷改造项目</w:t>
            </w:r>
          </w:p>
        </w:tc>
        <w:tc>
          <w:tcPr>
            <w:tcW w:w="741" w:type="dxa"/>
            <w:tcBorders>
              <w:top w:val="single" w:color="auto" w:sz="2" w:space="0"/>
              <w:left w:val="single" w:color="auto" w:sz="2" w:space="0"/>
              <w:bottom w:val="single" w:color="auto" w:sz="2" w:space="0"/>
              <w:right w:val="single" w:color="auto" w:sz="2" w:space="0"/>
            </w:tcBorders>
            <w:vAlign w:val="center"/>
          </w:tcPr>
          <w:p w14:paraId="07CB0A98">
            <w:pPr>
              <w:spacing w:line="240" w:lineRule="exact"/>
              <w:jc w:val="right"/>
              <w:rPr>
                <w:rFonts w:ascii="宋体" w:hAnsi="宋体" w:eastAsia="宋体" w:cs="宋体"/>
                <w:sz w:val="18"/>
                <w:szCs w:val="18"/>
              </w:rPr>
            </w:pPr>
            <w:r>
              <w:rPr>
                <w:rFonts w:ascii="宋体" w:hAnsi="宋体" w:eastAsia="宋体" w:cs="宋体"/>
                <w:sz w:val="18"/>
                <w:szCs w:val="18"/>
              </w:rPr>
              <w:t>4</w:t>
            </w:r>
            <w:r>
              <w:rPr>
                <w:rFonts w:hint="eastAsia" w:ascii="宋体" w:hAnsi="宋体" w:eastAsia="宋体" w:cs="宋体"/>
                <w:sz w:val="18"/>
                <w:szCs w:val="18"/>
                <w:lang w:val="en-US" w:eastAsia="zh-CN"/>
              </w:rPr>
              <w:t>,</w:t>
            </w:r>
            <w:r>
              <w:rPr>
                <w:rFonts w:ascii="宋体" w:hAnsi="宋体" w:eastAsia="宋体" w:cs="宋体"/>
                <w:sz w:val="18"/>
                <w:szCs w:val="18"/>
              </w:rPr>
              <w:t>764</w:t>
            </w:r>
            <w:r>
              <w:rPr>
                <w:rFonts w:hint="eastAsia" w:ascii="宋体" w:hAnsi="宋体" w:eastAsia="宋体" w:cs="宋体"/>
                <w:sz w:val="18"/>
                <w:szCs w:val="18"/>
                <w:lang w:val="en-US" w:eastAsia="zh-CN"/>
              </w:rPr>
              <w:t>,</w:t>
            </w:r>
            <w:r>
              <w:rPr>
                <w:rFonts w:ascii="宋体" w:hAnsi="宋体" w:eastAsia="宋体" w:cs="宋体"/>
                <w:sz w:val="18"/>
                <w:szCs w:val="18"/>
              </w:rPr>
              <w:t>181.31</w:t>
            </w:r>
          </w:p>
        </w:tc>
        <w:tc>
          <w:tcPr>
            <w:tcW w:w="741" w:type="dxa"/>
            <w:tcBorders>
              <w:top w:val="single" w:color="auto" w:sz="2" w:space="0"/>
              <w:left w:val="single" w:color="auto" w:sz="2" w:space="0"/>
              <w:bottom w:val="single" w:color="auto" w:sz="2" w:space="0"/>
              <w:right w:val="single" w:color="auto" w:sz="2" w:space="0"/>
            </w:tcBorders>
            <w:vAlign w:val="center"/>
          </w:tcPr>
          <w:p w14:paraId="13620D56">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A664D9">
            <w:pPr>
              <w:spacing w:line="240" w:lineRule="exact"/>
              <w:jc w:val="right"/>
              <w:rPr>
                <w:rFonts w:ascii="宋体" w:hAnsi="宋体" w:eastAsia="宋体" w:cs="宋体"/>
                <w:sz w:val="18"/>
                <w:szCs w:val="18"/>
              </w:rPr>
            </w:pPr>
            <w:r>
              <w:rPr>
                <w:rFonts w:ascii="宋体" w:hAnsi="宋体" w:eastAsia="宋体" w:cs="宋体"/>
                <w:sz w:val="18"/>
                <w:szCs w:val="18"/>
              </w:rPr>
              <w:t>410,199.01</w:t>
            </w:r>
          </w:p>
        </w:tc>
        <w:tc>
          <w:tcPr>
            <w:tcW w:w="741" w:type="dxa"/>
            <w:tcBorders>
              <w:top w:val="single" w:color="auto" w:sz="2" w:space="0"/>
              <w:left w:val="single" w:color="auto" w:sz="2" w:space="0"/>
              <w:bottom w:val="single" w:color="auto" w:sz="2" w:space="0"/>
              <w:right w:val="single" w:color="auto" w:sz="2" w:space="0"/>
            </w:tcBorders>
            <w:vAlign w:val="center"/>
          </w:tcPr>
          <w:p w14:paraId="1177B30D">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1CA183">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6CE360">
            <w:pPr>
              <w:spacing w:line="240" w:lineRule="exact"/>
              <w:jc w:val="right"/>
              <w:rPr>
                <w:rFonts w:ascii="宋体" w:hAnsi="宋体" w:eastAsia="宋体" w:cs="宋体"/>
                <w:sz w:val="18"/>
                <w:szCs w:val="18"/>
              </w:rPr>
            </w:pPr>
            <w:r>
              <w:rPr>
                <w:rFonts w:ascii="宋体" w:hAnsi="宋体" w:eastAsia="宋体" w:cs="宋体"/>
                <w:sz w:val="18"/>
                <w:szCs w:val="18"/>
              </w:rPr>
              <w:t>410,199.01</w:t>
            </w:r>
          </w:p>
        </w:tc>
        <w:tc>
          <w:tcPr>
            <w:tcW w:w="741" w:type="dxa"/>
            <w:tcBorders>
              <w:top w:val="single" w:color="auto" w:sz="2" w:space="0"/>
              <w:left w:val="single" w:color="auto" w:sz="2" w:space="0"/>
              <w:bottom w:val="single" w:color="auto" w:sz="2" w:space="0"/>
              <w:right w:val="single" w:color="auto" w:sz="2" w:space="0"/>
            </w:tcBorders>
            <w:vAlign w:val="center"/>
          </w:tcPr>
          <w:p w14:paraId="155BA9FA">
            <w:pPr>
              <w:spacing w:line="240" w:lineRule="exact"/>
              <w:jc w:val="right"/>
              <w:rPr>
                <w:rFonts w:ascii="宋体" w:hAnsi="宋体" w:eastAsia="宋体" w:cs="宋体"/>
                <w:sz w:val="18"/>
                <w:szCs w:val="18"/>
              </w:rPr>
            </w:pPr>
            <w:r>
              <w:rPr>
                <w:rFonts w:ascii="宋体" w:hAnsi="宋体" w:eastAsia="宋体" w:cs="宋体"/>
                <w:sz w:val="18"/>
                <w:szCs w:val="18"/>
              </w:rPr>
              <w:t>3.88%</w:t>
            </w:r>
          </w:p>
        </w:tc>
        <w:tc>
          <w:tcPr>
            <w:tcW w:w="741" w:type="dxa"/>
            <w:tcBorders>
              <w:top w:val="single" w:color="auto" w:sz="2" w:space="0"/>
              <w:left w:val="single" w:color="auto" w:sz="2" w:space="0"/>
              <w:bottom w:val="single" w:color="auto" w:sz="2" w:space="0"/>
              <w:right w:val="single" w:color="auto" w:sz="2" w:space="0"/>
            </w:tcBorders>
            <w:vAlign w:val="center"/>
          </w:tcPr>
          <w:p w14:paraId="789495F6">
            <w:pPr>
              <w:spacing w:line="240" w:lineRule="exact"/>
              <w:rPr>
                <w:rFonts w:ascii="宋体" w:hAnsi="宋体" w:eastAsia="宋体" w:cs="宋体"/>
                <w:sz w:val="18"/>
                <w:szCs w:val="18"/>
              </w:rPr>
            </w:pPr>
            <w:r>
              <w:rPr>
                <w:rFonts w:ascii="宋体" w:hAnsi="宋体" w:eastAsia="宋体" w:cs="宋体"/>
                <w:sz w:val="18"/>
                <w:szCs w:val="18"/>
              </w:rPr>
              <w:t>3.88%</w:t>
            </w:r>
          </w:p>
        </w:tc>
        <w:tc>
          <w:tcPr>
            <w:tcW w:w="741" w:type="dxa"/>
            <w:tcBorders>
              <w:top w:val="single" w:color="auto" w:sz="2" w:space="0"/>
              <w:left w:val="single" w:color="auto" w:sz="2" w:space="0"/>
              <w:bottom w:val="single" w:color="auto" w:sz="2" w:space="0"/>
              <w:right w:val="single" w:color="auto" w:sz="2" w:space="0"/>
            </w:tcBorders>
            <w:vAlign w:val="center"/>
          </w:tcPr>
          <w:p w14:paraId="7749FCC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72FBE3">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362A1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F9096C">
            <w:pPr>
              <w:spacing w:line="240" w:lineRule="exact"/>
              <w:rPr>
                <w:rFonts w:ascii="宋体" w:hAnsi="宋体" w:eastAsia="宋体" w:cs="宋体"/>
                <w:sz w:val="18"/>
                <w:szCs w:val="18"/>
              </w:rPr>
            </w:pPr>
            <w:r>
              <w:rPr>
                <w:rFonts w:hint="eastAsia" w:ascii="宋体" w:hAnsi="宋体" w:eastAsia="宋体" w:cs="宋体"/>
                <w:sz w:val="18"/>
                <w:szCs w:val="18"/>
              </w:rPr>
              <w:t>自筹</w:t>
            </w:r>
          </w:p>
        </w:tc>
      </w:tr>
      <w:tr w14:paraId="0790C85D">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BA925E0">
            <w:pPr>
              <w:spacing w:line="240" w:lineRule="exact"/>
              <w:rPr>
                <w:rFonts w:ascii="宋体" w:hAnsi="宋体" w:eastAsia="宋体" w:cs="宋体"/>
                <w:sz w:val="18"/>
                <w:szCs w:val="18"/>
              </w:rPr>
            </w:pPr>
            <w:r>
              <w:rPr>
                <w:rFonts w:ascii="宋体" w:hAnsi="宋体" w:eastAsia="宋体" w:cs="宋体"/>
                <w:sz w:val="18"/>
                <w:szCs w:val="18"/>
              </w:rPr>
              <w:t>  固定污染源烟气在线监测系统</w:t>
            </w:r>
          </w:p>
        </w:tc>
        <w:tc>
          <w:tcPr>
            <w:tcW w:w="741" w:type="dxa"/>
            <w:tcBorders>
              <w:top w:val="single" w:color="auto" w:sz="2" w:space="0"/>
              <w:left w:val="single" w:color="auto" w:sz="2" w:space="0"/>
              <w:bottom w:val="single" w:color="auto" w:sz="2" w:space="0"/>
              <w:right w:val="single" w:color="auto" w:sz="2" w:space="0"/>
            </w:tcBorders>
            <w:vAlign w:val="center"/>
          </w:tcPr>
          <w:p w14:paraId="531EEB46">
            <w:pPr>
              <w:spacing w:line="240" w:lineRule="exact"/>
              <w:jc w:val="right"/>
              <w:rPr>
                <w:rFonts w:ascii="宋体" w:hAnsi="宋体" w:eastAsia="宋体" w:cs="宋体"/>
                <w:sz w:val="18"/>
                <w:szCs w:val="18"/>
              </w:rPr>
            </w:pPr>
            <w:r>
              <w:rPr>
                <w:rFonts w:ascii="宋体" w:hAnsi="宋体" w:eastAsia="宋体" w:cs="宋体"/>
                <w:sz w:val="18"/>
                <w:szCs w:val="18"/>
              </w:rPr>
              <w:t>318</w:t>
            </w:r>
            <w:r>
              <w:rPr>
                <w:rFonts w:hint="eastAsia" w:ascii="宋体" w:hAnsi="宋体" w:eastAsia="宋体" w:cs="宋体"/>
                <w:sz w:val="18"/>
                <w:szCs w:val="18"/>
                <w:lang w:val="en-US" w:eastAsia="zh-CN"/>
              </w:rPr>
              <w:t>,</w:t>
            </w:r>
            <w:r>
              <w:rPr>
                <w:rFonts w:ascii="宋体" w:hAnsi="宋体" w:eastAsia="宋体" w:cs="宋体"/>
                <w:sz w:val="18"/>
                <w:szCs w:val="18"/>
              </w:rPr>
              <w:t>584.07</w:t>
            </w:r>
          </w:p>
        </w:tc>
        <w:tc>
          <w:tcPr>
            <w:tcW w:w="741" w:type="dxa"/>
            <w:tcBorders>
              <w:top w:val="single" w:color="auto" w:sz="2" w:space="0"/>
              <w:left w:val="single" w:color="auto" w:sz="2" w:space="0"/>
              <w:bottom w:val="single" w:color="auto" w:sz="2" w:space="0"/>
              <w:right w:val="single" w:color="auto" w:sz="2" w:space="0"/>
            </w:tcBorders>
            <w:vAlign w:val="center"/>
          </w:tcPr>
          <w:p w14:paraId="6434C1A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F63314">
            <w:pPr>
              <w:spacing w:line="240" w:lineRule="exact"/>
              <w:jc w:val="right"/>
              <w:rPr>
                <w:rFonts w:ascii="宋体" w:hAnsi="宋体" w:eastAsia="宋体" w:cs="宋体"/>
                <w:sz w:val="18"/>
                <w:szCs w:val="18"/>
              </w:rPr>
            </w:pPr>
            <w:r>
              <w:rPr>
                <w:rFonts w:ascii="宋体" w:hAnsi="宋体" w:eastAsia="宋体" w:cs="宋体"/>
                <w:sz w:val="18"/>
                <w:szCs w:val="18"/>
              </w:rPr>
              <w:t>95,575.22</w:t>
            </w:r>
          </w:p>
        </w:tc>
        <w:tc>
          <w:tcPr>
            <w:tcW w:w="741" w:type="dxa"/>
            <w:tcBorders>
              <w:top w:val="single" w:color="auto" w:sz="2" w:space="0"/>
              <w:left w:val="single" w:color="auto" w:sz="2" w:space="0"/>
              <w:bottom w:val="single" w:color="auto" w:sz="2" w:space="0"/>
              <w:right w:val="single" w:color="auto" w:sz="2" w:space="0"/>
            </w:tcBorders>
            <w:vAlign w:val="center"/>
          </w:tcPr>
          <w:p w14:paraId="3E12796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C951C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52C01D">
            <w:pPr>
              <w:spacing w:line="240" w:lineRule="exact"/>
              <w:jc w:val="right"/>
              <w:rPr>
                <w:rFonts w:ascii="宋体" w:hAnsi="宋体" w:eastAsia="宋体" w:cs="宋体"/>
                <w:sz w:val="18"/>
                <w:szCs w:val="18"/>
              </w:rPr>
            </w:pPr>
            <w:r>
              <w:rPr>
                <w:rFonts w:ascii="宋体" w:hAnsi="宋体" w:eastAsia="宋体" w:cs="宋体"/>
                <w:sz w:val="18"/>
                <w:szCs w:val="18"/>
              </w:rPr>
              <w:t>95,575.22</w:t>
            </w:r>
          </w:p>
        </w:tc>
        <w:tc>
          <w:tcPr>
            <w:tcW w:w="741" w:type="dxa"/>
            <w:tcBorders>
              <w:top w:val="single" w:color="auto" w:sz="2" w:space="0"/>
              <w:left w:val="single" w:color="auto" w:sz="2" w:space="0"/>
              <w:bottom w:val="single" w:color="auto" w:sz="2" w:space="0"/>
              <w:right w:val="single" w:color="auto" w:sz="2" w:space="0"/>
            </w:tcBorders>
            <w:vAlign w:val="center"/>
          </w:tcPr>
          <w:p w14:paraId="3CA118AA">
            <w:pPr>
              <w:spacing w:line="240" w:lineRule="exact"/>
              <w:jc w:val="right"/>
              <w:rPr>
                <w:rFonts w:ascii="宋体" w:hAnsi="宋体" w:eastAsia="宋体" w:cs="宋体"/>
                <w:sz w:val="18"/>
                <w:szCs w:val="18"/>
              </w:rPr>
            </w:pPr>
            <w:r>
              <w:rPr>
                <w:rFonts w:ascii="宋体" w:hAnsi="宋体" w:eastAsia="宋体" w:cs="宋体"/>
                <w:sz w:val="18"/>
                <w:szCs w:val="18"/>
              </w:rPr>
              <w:t>30.00%</w:t>
            </w:r>
          </w:p>
        </w:tc>
        <w:tc>
          <w:tcPr>
            <w:tcW w:w="741" w:type="dxa"/>
            <w:tcBorders>
              <w:top w:val="single" w:color="auto" w:sz="2" w:space="0"/>
              <w:left w:val="single" w:color="auto" w:sz="2" w:space="0"/>
              <w:bottom w:val="single" w:color="auto" w:sz="2" w:space="0"/>
              <w:right w:val="single" w:color="auto" w:sz="2" w:space="0"/>
            </w:tcBorders>
            <w:vAlign w:val="center"/>
          </w:tcPr>
          <w:p w14:paraId="0B3BFC9D">
            <w:pPr>
              <w:spacing w:line="240" w:lineRule="exact"/>
              <w:rPr>
                <w:rFonts w:ascii="宋体" w:hAnsi="宋体" w:eastAsia="宋体" w:cs="宋体"/>
                <w:sz w:val="18"/>
                <w:szCs w:val="18"/>
              </w:rPr>
            </w:pPr>
            <w:r>
              <w:rPr>
                <w:rFonts w:ascii="宋体" w:hAnsi="宋体" w:eastAsia="宋体" w:cs="宋体"/>
                <w:sz w:val="18"/>
                <w:szCs w:val="18"/>
              </w:rPr>
              <w:t>95.00%</w:t>
            </w:r>
          </w:p>
        </w:tc>
        <w:tc>
          <w:tcPr>
            <w:tcW w:w="741" w:type="dxa"/>
            <w:tcBorders>
              <w:top w:val="single" w:color="auto" w:sz="2" w:space="0"/>
              <w:left w:val="single" w:color="auto" w:sz="2" w:space="0"/>
              <w:bottom w:val="single" w:color="auto" w:sz="2" w:space="0"/>
              <w:right w:val="single" w:color="auto" w:sz="2" w:space="0"/>
            </w:tcBorders>
            <w:vAlign w:val="center"/>
          </w:tcPr>
          <w:p w14:paraId="1756D81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ADE2D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E5550A">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FC13CF">
            <w:pPr>
              <w:spacing w:line="240" w:lineRule="exact"/>
              <w:rPr>
                <w:rFonts w:ascii="宋体" w:hAnsi="宋体" w:eastAsia="宋体" w:cs="宋体"/>
                <w:sz w:val="18"/>
                <w:szCs w:val="18"/>
              </w:rPr>
            </w:pPr>
            <w:r>
              <w:rPr>
                <w:rFonts w:hint="eastAsia" w:ascii="宋体" w:hAnsi="宋体" w:eastAsia="宋体" w:cs="宋体"/>
                <w:sz w:val="18"/>
                <w:szCs w:val="18"/>
              </w:rPr>
              <w:t>自筹</w:t>
            </w:r>
          </w:p>
        </w:tc>
      </w:tr>
      <w:tr w14:paraId="43C3A565">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58635B4B">
            <w:pPr>
              <w:spacing w:line="240" w:lineRule="exact"/>
              <w:rPr>
                <w:rFonts w:ascii="宋体" w:hAnsi="宋体" w:eastAsia="宋体" w:cs="宋体"/>
                <w:sz w:val="18"/>
                <w:szCs w:val="18"/>
              </w:rPr>
            </w:pPr>
            <w:r>
              <w:rPr>
                <w:rFonts w:ascii="宋体" w:hAnsi="宋体" w:eastAsia="宋体" w:cs="宋体"/>
                <w:sz w:val="18"/>
                <w:szCs w:val="18"/>
              </w:rPr>
              <w:t>  蒸汽系统改造</w:t>
            </w:r>
          </w:p>
        </w:tc>
        <w:tc>
          <w:tcPr>
            <w:tcW w:w="741" w:type="dxa"/>
            <w:tcBorders>
              <w:top w:val="single" w:color="auto" w:sz="2" w:space="0"/>
              <w:left w:val="single" w:color="auto" w:sz="2" w:space="0"/>
              <w:bottom w:val="single" w:color="auto" w:sz="2" w:space="0"/>
              <w:right w:val="single" w:color="auto" w:sz="2" w:space="0"/>
            </w:tcBorders>
            <w:vAlign w:val="center"/>
          </w:tcPr>
          <w:p w14:paraId="76B23F55">
            <w:pPr>
              <w:spacing w:line="240" w:lineRule="exact"/>
              <w:jc w:val="right"/>
              <w:rPr>
                <w:rFonts w:ascii="宋体" w:hAnsi="宋体" w:eastAsia="宋体" w:cs="宋体"/>
                <w:sz w:val="18"/>
                <w:szCs w:val="18"/>
              </w:rPr>
            </w:pPr>
            <w:r>
              <w:rPr>
                <w:rFonts w:ascii="宋体" w:hAnsi="宋体" w:eastAsia="宋体" w:cs="宋体"/>
                <w:sz w:val="18"/>
                <w:szCs w:val="18"/>
              </w:rPr>
              <w:t>472</w:t>
            </w:r>
            <w:r>
              <w:rPr>
                <w:rFonts w:hint="eastAsia" w:ascii="宋体" w:hAnsi="宋体" w:eastAsia="宋体" w:cs="宋体"/>
                <w:sz w:val="18"/>
                <w:szCs w:val="18"/>
                <w:lang w:val="en-US" w:eastAsia="zh-CN"/>
              </w:rPr>
              <w:t>,</w:t>
            </w:r>
            <w:r>
              <w:rPr>
                <w:rFonts w:ascii="宋体" w:hAnsi="宋体" w:eastAsia="宋体" w:cs="宋体"/>
                <w:sz w:val="18"/>
                <w:szCs w:val="18"/>
              </w:rPr>
              <w:t>247.79</w:t>
            </w:r>
          </w:p>
        </w:tc>
        <w:tc>
          <w:tcPr>
            <w:tcW w:w="741" w:type="dxa"/>
            <w:tcBorders>
              <w:top w:val="single" w:color="auto" w:sz="2" w:space="0"/>
              <w:left w:val="single" w:color="auto" w:sz="2" w:space="0"/>
              <w:bottom w:val="single" w:color="auto" w:sz="2" w:space="0"/>
              <w:right w:val="single" w:color="auto" w:sz="2" w:space="0"/>
            </w:tcBorders>
            <w:vAlign w:val="center"/>
          </w:tcPr>
          <w:p w14:paraId="2F34A01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EE1761">
            <w:pPr>
              <w:spacing w:line="240" w:lineRule="exact"/>
              <w:jc w:val="right"/>
              <w:rPr>
                <w:rFonts w:ascii="宋体" w:hAnsi="宋体" w:eastAsia="宋体" w:cs="宋体"/>
                <w:sz w:val="18"/>
                <w:szCs w:val="18"/>
              </w:rPr>
            </w:pPr>
            <w:r>
              <w:rPr>
                <w:rFonts w:ascii="宋体" w:hAnsi="宋体" w:eastAsia="宋体" w:cs="宋体"/>
                <w:sz w:val="18"/>
                <w:szCs w:val="18"/>
              </w:rPr>
              <w:t>472,247.79</w:t>
            </w:r>
          </w:p>
        </w:tc>
        <w:tc>
          <w:tcPr>
            <w:tcW w:w="741" w:type="dxa"/>
            <w:tcBorders>
              <w:top w:val="single" w:color="auto" w:sz="2" w:space="0"/>
              <w:left w:val="single" w:color="auto" w:sz="2" w:space="0"/>
              <w:bottom w:val="single" w:color="auto" w:sz="2" w:space="0"/>
              <w:right w:val="single" w:color="auto" w:sz="2" w:space="0"/>
            </w:tcBorders>
            <w:vAlign w:val="center"/>
          </w:tcPr>
          <w:p w14:paraId="19039E3C">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DA2DE7">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1FC30B">
            <w:pPr>
              <w:spacing w:line="240" w:lineRule="exact"/>
              <w:jc w:val="right"/>
              <w:rPr>
                <w:rFonts w:ascii="宋体" w:hAnsi="宋体" w:eastAsia="宋体" w:cs="宋体"/>
                <w:sz w:val="18"/>
                <w:szCs w:val="18"/>
              </w:rPr>
            </w:pPr>
            <w:r>
              <w:rPr>
                <w:rFonts w:ascii="宋体" w:hAnsi="宋体" w:eastAsia="宋体" w:cs="宋体"/>
                <w:sz w:val="18"/>
                <w:szCs w:val="18"/>
              </w:rPr>
              <w:t>472,247.79</w:t>
            </w:r>
          </w:p>
        </w:tc>
        <w:tc>
          <w:tcPr>
            <w:tcW w:w="741" w:type="dxa"/>
            <w:tcBorders>
              <w:top w:val="single" w:color="auto" w:sz="2" w:space="0"/>
              <w:left w:val="single" w:color="auto" w:sz="2" w:space="0"/>
              <w:bottom w:val="single" w:color="auto" w:sz="2" w:space="0"/>
              <w:right w:val="single" w:color="auto" w:sz="2" w:space="0"/>
            </w:tcBorders>
            <w:vAlign w:val="center"/>
          </w:tcPr>
          <w:p w14:paraId="608A6BD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741" w:type="dxa"/>
            <w:tcBorders>
              <w:top w:val="single" w:color="auto" w:sz="2" w:space="0"/>
              <w:left w:val="single" w:color="auto" w:sz="2" w:space="0"/>
              <w:bottom w:val="single" w:color="auto" w:sz="2" w:space="0"/>
              <w:right w:val="single" w:color="auto" w:sz="2" w:space="0"/>
            </w:tcBorders>
            <w:vAlign w:val="center"/>
          </w:tcPr>
          <w:p w14:paraId="3956FD34">
            <w:pPr>
              <w:spacing w:line="240" w:lineRule="exact"/>
              <w:rPr>
                <w:rFonts w:ascii="宋体" w:hAnsi="宋体" w:eastAsia="宋体" w:cs="宋体"/>
                <w:sz w:val="18"/>
                <w:szCs w:val="18"/>
              </w:rPr>
            </w:pPr>
            <w:r>
              <w:rPr>
                <w:rFonts w:ascii="宋体" w:hAnsi="宋体" w:eastAsia="宋体" w:cs="宋体"/>
                <w:sz w:val="18"/>
                <w:szCs w:val="18"/>
              </w:rPr>
              <w:t>40.00%</w:t>
            </w:r>
          </w:p>
        </w:tc>
        <w:tc>
          <w:tcPr>
            <w:tcW w:w="741" w:type="dxa"/>
            <w:tcBorders>
              <w:top w:val="single" w:color="auto" w:sz="2" w:space="0"/>
              <w:left w:val="single" w:color="auto" w:sz="2" w:space="0"/>
              <w:bottom w:val="single" w:color="auto" w:sz="2" w:space="0"/>
              <w:right w:val="single" w:color="auto" w:sz="2" w:space="0"/>
            </w:tcBorders>
            <w:vAlign w:val="center"/>
          </w:tcPr>
          <w:p w14:paraId="593C8A4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91D68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E0DCBB">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080AEED">
            <w:pPr>
              <w:spacing w:line="240" w:lineRule="exact"/>
              <w:rPr>
                <w:rFonts w:ascii="宋体" w:hAnsi="宋体" w:eastAsia="宋体" w:cs="宋体"/>
                <w:sz w:val="18"/>
                <w:szCs w:val="18"/>
              </w:rPr>
            </w:pPr>
            <w:r>
              <w:rPr>
                <w:rFonts w:hint="eastAsia" w:ascii="宋体" w:hAnsi="宋体" w:eastAsia="宋体" w:cs="宋体"/>
                <w:sz w:val="18"/>
                <w:szCs w:val="18"/>
              </w:rPr>
              <w:t>自筹</w:t>
            </w:r>
          </w:p>
        </w:tc>
      </w:tr>
      <w:tr w14:paraId="73FFB084">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43ACF1BA">
            <w:pPr>
              <w:spacing w:line="240" w:lineRule="exact"/>
              <w:rPr>
                <w:rFonts w:ascii="宋体" w:hAnsi="宋体" w:eastAsia="宋体" w:cs="宋体"/>
                <w:sz w:val="18"/>
                <w:szCs w:val="18"/>
              </w:rPr>
            </w:pPr>
            <w:r>
              <w:rPr>
                <w:rFonts w:ascii="宋体" w:hAnsi="宋体" w:eastAsia="宋体" w:cs="宋体"/>
                <w:sz w:val="18"/>
                <w:szCs w:val="18"/>
              </w:rPr>
              <w:t>  煮沸锅热能回收、酵母自动充氧改造、糖化CIP改造</w:t>
            </w:r>
          </w:p>
        </w:tc>
        <w:tc>
          <w:tcPr>
            <w:tcW w:w="741" w:type="dxa"/>
            <w:tcBorders>
              <w:top w:val="single" w:color="auto" w:sz="2" w:space="0"/>
              <w:left w:val="single" w:color="auto" w:sz="2" w:space="0"/>
              <w:bottom w:val="single" w:color="auto" w:sz="2" w:space="0"/>
              <w:right w:val="single" w:color="auto" w:sz="2" w:space="0"/>
            </w:tcBorders>
            <w:vAlign w:val="center"/>
          </w:tcPr>
          <w:p w14:paraId="5CC244D6">
            <w:pPr>
              <w:spacing w:line="240" w:lineRule="exact"/>
              <w:jc w:val="right"/>
              <w:rPr>
                <w:rFonts w:ascii="宋体" w:hAnsi="宋体" w:eastAsia="宋体" w:cs="宋体"/>
                <w:sz w:val="18"/>
                <w:szCs w:val="18"/>
              </w:rPr>
            </w:pPr>
            <w:r>
              <w:rPr>
                <w:rFonts w:hint="eastAsia" w:ascii="宋体" w:hAnsi="宋体" w:eastAsia="宋体" w:cs="宋体"/>
                <w:sz w:val="18"/>
                <w:szCs w:val="18"/>
              </w:rPr>
              <w:t>4</w:t>
            </w:r>
            <w:r>
              <w:rPr>
                <w:rFonts w:hint="eastAsia" w:ascii="宋体" w:hAnsi="宋体" w:eastAsia="宋体" w:cs="宋体"/>
                <w:sz w:val="18"/>
                <w:szCs w:val="18"/>
                <w:lang w:val="en-US" w:eastAsia="zh-CN"/>
              </w:rPr>
              <w:t>,</w:t>
            </w:r>
            <w:r>
              <w:rPr>
                <w:rFonts w:ascii="宋体" w:hAnsi="宋体" w:eastAsia="宋体" w:cs="宋体"/>
                <w:sz w:val="18"/>
                <w:szCs w:val="18"/>
              </w:rPr>
              <w:t>428</w:t>
            </w:r>
            <w:r>
              <w:rPr>
                <w:rFonts w:hint="eastAsia" w:ascii="宋体" w:hAnsi="宋体" w:eastAsia="宋体" w:cs="宋体"/>
                <w:sz w:val="18"/>
                <w:szCs w:val="18"/>
                <w:lang w:val="en-US" w:eastAsia="zh-CN"/>
              </w:rPr>
              <w:t>,</w:t>
            </w:r>
            <w:r>
              <w:rPr>
                <w:rFonts w:ascii="宋体" w:hAnsi="宋体" w:eastAsia="宋体" w:cs="宋体"/>
                <w:sz w:val="18"/>
                <w:szCs w:val="18"/>
              </w:rPr>
              <w:t>399.04</w:t>
            </w:r>
          </w:p>
        </w:tc>
        <w:tc>
          <w:tcPr>
            <w:tcW w:w="741" w:type="dxa"/>
            <w:tcBorders>
              <w:top w:val="single" w:color="auto" w:sz="2" w:space="0"/>
              <w:left w:val="single" w:color="auto" w:sz="2" w:space="0"/>
              <w:bottom w:val="single" w:color="auto" w:sz="2" w:space="0"/>
              <w:right w:val="single" w:color="auto" w:sz="2" w:space="0"/>
            </w:tcBorders>
            <w:vAlign w:val="center"/>
          </w:tcPr>
          <w:p w14:paraId="23D79E89">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E9AA9D">
            <w:pPr>
              <w:spacing w:line="240" w:lineRule="exact"/>
              <w:jc w:val="right"/>
              <w:rPr>
                <w:rFonts w:ascii="宋体" w:hAnsi="宋体" w:eastAsia="宋体" w:cs="宋体"/>
                <w:sz w:val="18"/>
                <w:szCs w:val="18"/>
              </w:rPr>
            </w:pPr>
            <w:r>
              <w:rPr>
                <w:rFonts w:ascii="宋体" w:hAnsi="宋体" w:eastAsia="宋体" w:cs="宋体"/>
                <w:sz w:val="18"/>
                <w:szCs w:val="18"/>
              </w:rPr>
              <w:t>1,865,329.01</w:t>
            </w:r>
          </w:p>
        </w:tc>
        <w:tc>
          <w:tcPr>
            <w:tcW w:w="741" w:type="dxa"/>
            <w:tcBorders>
              <w:top w:val="single" w:color="auto" w:sz="2" w:space="0"/>
              <w:left w:val="single" w:color="auto" w:sz="2" w:space="0"/>
              <w:bottom w:val="single" w:color="auto" w:sz="2" w:space="0"/>
              <w:right w:val="single" w:color="auto" w:sz="2" w:space="0"/>
            </w:tcBorders>
            <w:vAlign w:val="center"/>
          </w:tcPr>
          <w:p w14:paraId="1C430F6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B25EAC">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E6C32C">
            <w:pPr>
              <w:spacing w:line="240" w:lineRule="exact"/>
              <w:jc w:val="right"/>
              <w:rPr>
                <w:rFonts w:ascii="宋体" w:hAnsi="宋体" w:eastAsia="宋体" w:cs="宋体"/>
                <w:sz w:val="18"/>
                <w:szCs w:val="18"/>
              </w:rPr>
            </w:pPr>
            <w:r>
              <w:rPr>
                <w:rFonts w:ascii="宋体" w:hAnsi="宋体" w:eastAsia="宋体" w:cs="宋体"/>
                <w:sz w:val="18"/>
                <w:szCs w:val="18"/>
              </w:rPr>
              <w:t>1,865,329.01</w:t>
            </w:r>
          </w:p>
        </w:tc>
        <w:tc>
          <w:tcPr>
            <w:tcW w:w="741" w:type="dxa"/>
            <w:tcBorders>
              <w:top w:val="single" w:color="auto" w:sz="2" w:space="0"/>
              <w:left w:val="single" w:color="auto" w:sz="2" w:space="0"/>
              <w:bottom w:val="single" w:color="auto" w:sz="2" w:space="0"/>
              <w:right w:val="single" w:color="auto" w:sz="2" w:space="0"/>
            </w:tcBorders>
            <w:vAlign w:val="center"/>
          </w:tcPr>
          <w:p w14:paraId="3BDA7542">
            <w:pPr>
              <w:spacing w:line="240" w:lineRule="exact"/>
              <w:jc w:val="right"/>
              <w:rPr>
                <w:rFonts w:ascii="宋体" w:hAnsi="宋体" w:eastAsia="宋体" w:cs="宋体"/>
                <w:sz w:val="18"/>
                <w:szCs w:val="18"/>
              </w:rPr>
            </w:pPr>
            <w:r>
              <w:rPr>
                <w:rFonts w:ascii="宋体" w:hAnsi="宋体" w:eastAsia="宋体" w:cs="宋体"/>
                <w:sz w:val="18"/>
                <w:szCs w:val="18"/>
              </w:rPr>
              <w:t>75.66%</w:t>
            </w:r>
          </w:p>
        </w:tc>
        <w:tc>
          <w:tcPr>
            <w:tcW w:w="741" w:type="dxa"/>
            <w:tcBorders>
              <w:top w:val="single" w:color="auto" w:sz="2" w:space="0"/>
              <w:left w:val="single" w:color="auto" w:sz="2" w:space="0"/>
              <w:bottom w:val="single" w:color="auto" w:sz="2" w:space="0"/>
              <w:right w:val="single" w:color="auto" w:sz="2" w:space="0"/>
            </w:tcBorders>
            <w:vAlign w:val="center"/>
          </w:tcPr>
          <w:p w14:paraId="46D12BA2">
            <w:pPr>
              <w:spacing w:line="240" w:lineRule="exact"/>
              <w:rPr>
                <w:rFonts w:ascii="宋体" w:hAnsi="宋体" w:eastAsia="宋体" w:cs="宋体"/>
                <w:sz w:val="18"/>
                <w:szCs w:val="18"/>
              </w:rPr>
            </w:pPr>
            <w:r>
              <w:rPr>
                <w:rFonts w:ascii="宋体" w:hAnsi="宋体" w:eastAsia="宋体" w:cs="宋体"/>
                <w:sz w:val="18"/>
                <w:szCs w:val="18"/>
              </w:rPr>
              <w:t>97.00%</w:t>
            </w:r>
          </w:p>
        </w:tc>
        <w:tc>
          <w:tcPr>
            <w:tcW w:w="741" w:type="dxa"/>
            <w:tcBorders>
              <w:top w:val="single" w:color="auto" w:sz="2" w:space="0"/>
              <w:left w:val="single" w:color="auto" w:sz="2" w:space="0"/>
              <w:bottom w:val="single" w:color="auto" w:sz="2" w:space="0"/>
              <w:right w:val="single" w:color="auto" w:sz="2" w:space="0"/>
            </w:tcBorders>
            <w:vAlign w:val="center"/>
          </w:tcPr>
          <w:p w14:paraId="6183CAB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0447F7">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4989C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374FDD">
            <w:pPr>
              <w:spacing w:line="240" w:lineRule="exact"/>
              <w:rPr>
                <w:rFonts w:ascii="宋体" w:hAnsi="宋体" w:eastAsia="宋体" w:cs="宋体"/>
                <w:sz w:val="18"/>
                <w:szCs w:val="18"/>
              </w:rPr>
            </w:pPr>
            <w:r>
              <w:rPr>
                <w:rFonts w:hint="eastAsia" w:ascii="宋体" w:hAnsi="宋体" w:eastAsia="宋体" w:cs="宋体"/>
                <w:sz w:val="18"/>
                <w:szCs w:val="18"/>
              </w:rPr>
              <w:t>自筹</w:t>
            </w:r>
          </w:p>
        </w:tc>
      </w:tr>
      <w:tr w14:paraId="6F488541">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323B2FD">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7B965146">
            <w:pPr>
              <w:spacing w:line="240" w:lineRule="exact"/>
              <w:jc w:val="right"/>
              <w:rPr>
                <w:rFonts w:ascii="宋体" w:hAnsi="宋体" w:eastAsia="宋体" w:cs="宋体"/>
                <w:sz w:val="18"/>
                <w:szCs w:val="18"/>
              </w:rPr>
            </w:pPr>
            <w:r>
              <w:rPr>
                <w:rFonts w:ascii="宋体" w:hAnsi="宋体" w:eastAsia="宋体" w:cs="宋体"/>
                <w:sz w:val="18"/>
                <w:szCs w:val="18"/>
              </w:rPr>
              <w:t>9</w:t>
            </w:r>
            <w:r>
              <w:rPr>
                <w:rFonts w:hint="eastAsia" w:ascii="宋体" w:hAnsi="宋体" w:eastAsia="宋体" w:cs="宋体"/>
                <w:sz w:val="18"/>
                <w:szCs w:val="18"/>
                <w:lang w:val="en-US" w:eastAsia="zh-CN"/>
              </w:rPr>
              <w:t>,</w:t>
            </w:r>
            <w:r>
              <w:rPr>
                <w:rFonts w:ascii="宋体" w:hAnsi="宋体" w:eastAsia="宋体" w:cs="宋体"/>
                <w:sz w:val="18"/>
                <w:szCs w:val="18"/>
              </w:rPr>
              <w:t>983</w:t>
            </w:r>
            <w:r>
              <w:rPr>
                <w:rFonts w:hint="eastAsia" w:ascii="宋体" w:hAnsi="宋体" w:eastAsia="宋体" w:cs="宋体"/>
                <w:sz w:val="18"/>
                <w:szCs w:val="18"/>
                <w:lang w:val="en-US" w:eastAsia="zh-CN"/>
              </w:rPr>
              <w:t>,</w:t>
            </w:r>
            <w:r>
              <w:rPr>
                <w:rFonts w:ascii="宋体" w:hAnsi="宋体" w:eastAsia="宋体" w:cs="宋体"/>
                <w:sz w:val="18"/>
                <w:szCs w:val="18"/>
              </w:rPr>
              <w:t>412.21</w:t>
            </w:r>
          </w:p>
        </w:tc>
        <w:tc>
          <w:tcPr>
            <w:tcW w:w="741" w:type="dxa"/>
            <w:tcBorders>
              <w:top w:val="single" w:color="auto" w:sz="2" w:space="0"/>
              <w:left w:val="single" w:color="auto" w:sz="2" w:space="0"/>
              <w:bottom w:val="single" w:color="auto" w:sz="2" w:space="0"/>
              <w:right w:val="single" w:color="auto" w:sz="2" w:space="0"/>
            </w:tcBorders>
            <w:vAlign w:val="center"/>
          </w:tcPr>
          <w:p w14:paraId="50B8E191">
            <w:pPr>
              <w:spacing w:line="240" w:lineRule="exact"/>
              <w:jc w:val="right"/>
              <w:rPr>
                <w:rFonts w:ascii="宋体" w:hAnsi="宋体" w:eastAsia="宋体" w:cs="宋体"/>
                <w:sz w:val="18"/>
                <w:szCs w:val="18"/>
              </w:rPr>
            </w:pPr>
            <w:r>
              <w:rPr>
                <w:rFonts w:ascii="宋体" w:hAnsi="宋体" w:eastAsia="宋体" w:cs="宋体"/>
                <w:sz w:val="18"/>
                <w:szCs w:val="18"/>
              </w:rPr>
              <w:t>10,320,297.72</w:t>
            </w:r>
          </w:p>
        </w:tc>
        <w:tc>
          <w:tcPr>
            <w:tcW w:w="741" w:type="dxa"/>
            <w:tcBorders>
              <w:top w:val="single" w:color="auto" w:sz="2" w:space="0"/>
              <w:left w:val="single" w:color="auto" w:sz="2" w:space="0"/>
              <w:bottom w:val="single" w:color="auto" w:sz="2" w:space="0"/>
              <w:right w:val="single" w:color="auto" w:sz="2" w:space="0"/>
            </w:tcBorders>
            <w:vAlign w:val="center"/>
          </w:tcPr>
          <w:p w14:paraId="5FB24A52">
            <w:pPr>
              <w:spacing w:line="240" w:lineRule="exact"/>
              <w:jc w:val="right"/>
              <w:rPr>
                <w:rFonts w:ascii="宋体" w:hAnsi="宋体" w:eastAsia="宋体" w:cs="宋体"/>
                <w:sz w:val="18"/>
                <w:szCs w:val="18"/>
              </w:rPr>
            </w:pPr>
            <w:r>
              <w:rPr>
                <w:rFonts w:ascii="宋体" w:hAnsi="宋体" w:eastAsia="宋体" w:cs="宋体"/>
                <w:sz w:val="18"/>
                <w:szCs w:val="18"/>
              </w:rPr>
              <w:t>7,375,919.39</w:t>
            </w:r>
          </w:p>
        </w:tc>
        <w:tc>
          <w:tcPr>
            <w:tcW w:w="741" w:type="dxa"/>
            <w:tcBorders>
              <w:top w:val="single" w:color="auto" w:sz="2" w:space="0"/>
              <w:left w:val="single" w:color="auto" w:sz="2" w:space="0"/>
              <w:bottom w:val="single" w:color="auto" w:sz="2" w:space="0"/>
              <w:right w:val="single" w:color="auto" w:sz="2" w:space="0"/>
            </w:tcBorders>
            <w:vAlign w:val="center"/>
          </w:tcPr>
          <w:p w14:paraId="55DA130A">
            <w:pPr>
              <w:spacing w:line="240" w:lineRule="exact"/>
              <w:jc w:val="right"/>
              <w:rPr>
                <w:rFonts w:ascii="宋体" w:hAnsi="宋体" w:eastAsia="宋体" w:cs="宋体"/>
                <w:sz w:val="18"/>
                <w:szCs w:val="18"/>
              </w:rPr>
            </w:pPr>
            <w:r>
              <w:rPr>
                <w:rFonts w:ascii="宋体" w:hAnsi="宋体" w:eastAsia="宋体" w:cs="宋体"/>
                <w:sz w:val="18"/>
                <w:szCs w:val="18"/>
              </w:rPr>
              <w:t>14,852,866.08</w:t>
            </w:r>
          </w:p>
        </w:tc>
        <w:tc>
          <w:tcPr>
            <w:tcW w:w="741" w:type="dxa"/>
            <w:tcBorders>
              <w:top w:val="single" w:color="auto" w:sz="2" w:space="0"/>
              <w:left w:val="single" w:color="auto" w:sz="2" w:space="0"/>
              <w:bottom w:val="single" w:color="auto" w:sz="2" w:space="0"/>
              <w:right w:val="single" w:color="auto" w:sz="2" w:space="0"/>
            </w:tcBorders>
            <w:vAlign w:val="center"/>
          </w:tcPr>
          <w:p w14:paraId="2A194C03">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2785DFB7">
            <w:pPr>
              <w:spacing w:line="240" w:lineRule="exact"/>
              <w:jc w:val="right"/>
              <w:rPr>
                <w:rFonts w:ascii="宋体" w:hAnsi="宋体" w:eastAsia="宋体" w:cs="宋体"/>
                <w:sz w:val="18"/>
                <w:szCs w:val="18"/>
              </w:rPr>
            </w:pPr>
            <w:r>
              <w:rPr>
                <w:rFonts w:ascii="宋体" w:hAnsi="宋体" w:eastAsia="宋体" w:cs="宋体"/>
                <w:sz w:val="18"/>
                <w:szCs w:val="18"/>
              </w:rPr>
              <w:t>2,843,351.03</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5E4340A"/>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EAD4531"/>
        </w:tc>
        <w:tc>
          <w:tcPr>
            <w:tcW w:w="741" w:type="dxa"/>
            <w:tcBorders>
              <w:top w:val="single" w:color="auto" w:sz="2" w:space="0"/>
              <w:left w:val="single" w:color="auto" w:sz="2" w:space="0"/>
              <w:bottom w:val="single" w:color="auto" w:sz="2" w:space="0"/>
              <w:right w:val="single" w:color="auto" w:sz="2" w:space="0"/>
            </w:tcBorders>
            <w:vAlign w:val="center"/>
          </w:tcPr>
          <w:p w14:paraId="48442F4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D7C09D">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053BD9">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DD5D490"/>
        </w:tc>
      </w:tr>
    </w:tbl>
    <w:p w14:paraId="4C2D12DC">
      <w:pPr>
        <w:keepNext/>
        <w:keepLines/>
        <w:spacing w:before="300" w:after="100" w:line="280" w:lineRule="exact"/>
        <w:outlineLvl w:val="3"/>
        <w:rPr>
          <w:rFonts w:ascii="宋体" w:hAnsi="宋体" w:eastAsia="宋体" w:cs="宋体"/>
          <w:b/>
          <w:bCs/>
          <w:szCs w:val="21"/>
        </w:rPr>
      </w:pPr>
      <w:bookmarkStart w:id="264" w:name="_Toc989153"/>
      <w:r>
        <w:rPr>
          <w:rFonts w:ascii="宋体" w:hAnsi="宋体" w:eastAsia="宋体" w:cs="宋体"/>
          <w:b/>
          <w:bCs/>
          <w:szCs w:val="21"/>
        </w:rPr>
        <w:t>（3） 本期计提在建工程减值准备情况</w:t>
      </w:r>
      <w:bookmarkEnd w:id="264"/>
    </w:p>
    <w:p w14:paraId="783972B0">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3F3293DF">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EF1B1F0">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9442286">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ED3C75">
            <w:pPr>
              <w:spacing w:before="40" w:after="10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9351CCF">
            <w:pPr>
              <w:spacing w:before="40" w:after="10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9F15E7">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181D8E">
            <w:pPr>
              <w:spacing w:before="40" w:after="100" w:line="240" w:lineRule="exact"/>
              <w:jc w:val="center"/>
              <w:rPr>
                <w:rFonts w:ascii="宋体" w:hAnsi="宋体" w:eastAsia="宋体" w:cs="宋体"/>
                <w:sz w:val="18"/>
                <w:szCs w:val="18"/>
              </w:rPr>
            </w:pPr>
            <w:r>
              <w:rPr>
                <w:rFonts w:ascii="宋体" w:hAnsi="宋体" w:eastAsia="宋体" w:cs="宋体"/>
                <w:sz w:val="18"/>
                <w:szCs w:val="18"/>
              </w:rPr>
              <w:t>计提原因</w:t>
            </w:r>
          </w:p>
        </w:tc>
      </w:tr>
    </w:tbl>
    <w:p w14:paraId="7898A185">
      <w:pPr>
        <w:spacing w:before="100" w:after="100" w:line="240" w:lineRule="exact"/>
      </w:pPr>
      <w:r>
        <w:rPr>
          <w:rFonts w:ascii="宋体" w:hAnsi="宋体" w:eastAsia="宋体" w:cs="宋体"/>
          <w:sz w:val="18"/>
          <w:szCs w:val="18"/>
        </w:rPr>
        <w:t>其他说明</w:t>
      </w:r>
    </w:p>
    <w:p w14:paraId="5A6C6AB2">
      <w:pPr>
        <w:keepNext/>
        <w:keepLines/>
        <w:spacing w:before="300" w:after="100" w:line="280" w:lineRule="exact"/>
        <w:outlineLvl w:val="3"/>
        <w:rPr>
          <w:rFonts w:ascii="宋体" w:hAnsi="宋体" w:eastAsia="宋体" w:cs="宋体"/>
          <w:b/>
          <w:bCs/>
          <w:szCs w:val="21"/>
        </w:rPr>
      </w:pPr>
      <w:bookmarkStart w:id="265" w:name="_Toc989154"/>
      <w:r>
        <w:rPr>
          <w:rFonts w:ascii="宋体" w:hAnsi="宋体" w:eastAsia="宋体" w:cs="宋体"/>
          <w:b/>
          <w:bCs/>
          <w:szCs w:val="21"/>
        </w:rPr>
        <w:t>（4） 在建工程的减值测试情况</w:t>
      </w:r>
      <w:bookmarkEnd w:id="265"/>
    </w:p>
    <w:p w14:paraId="0C4612B2">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747FCF2">
      <w:pPr>
        <w:keepNext/>
        <w:keepLines/>
        <w:spacing w:before="300" w:after="100" w:line="280" w:lineRule="exact"/>
        <w:outlineLvl w:val="3"/>
        <w:rPr>
          <w:rFonts w:ascii="宋体" w:hAnsi="宋体" w:eastAsia="宋体" w:cs="宋体"/>
          <w:b/>
          <w:bCs/>
          <w:szCs w:val="21"/>
        </w:rPr>
      </w:pPr>
      <w:bookmarkStart w:id="266" w:name="_Toc989155"/>
      <w:r>
        <w:rPr>
          <w:rFonts w:ascii="宋体" w:hAnsi="宋体" w:eastAsia="宋体" w:cs="宋体"/>
          <w:b/>
          <w:bCs/>
          <w:szCs w:val="21"/>
        </w:rPr>
        <w:t>（5） 工程物资</w:t>
      </w:r>
      <w:bookmarkEnd w:id="266"/>
    </w:p>
    <w:p w14:paraId="1FBFB84B">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2EA120D">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90DC9C6">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1027112">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5B8859A">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292F388">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8C363E6">
            <w:pPr>
              <w:spacing w:after="100"/>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DC4CF8">
            <w:pPr>
              <w:spacing w:before="40" w:after="10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81747A">
            <w:pPr>
              <w:spacing w:before="40" w:after="10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5E3081">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77A9F1">
            <w:pPr>
              <w:spacing w:before="40" w:after="10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BF5DA9">
            <w:pPr>
              <w:spacing w:before="40" w:after="10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7917CD">
            <w:pPr>
              <w:spacing w:before="40" w:after="10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5995EE7F">
      <w:pPr>
        <w:spacing w:before="100" w:after="100" w:line="240" w:lineRule="exact"/>
      </w:pPr>
      <w:r>
        <w:rPr>
          <w:rFonts w:ascii="宋体" w:hAnsi="宋体" w:eastAsia="宋体" w:cs="宋体"/>
          <w:sz w:val="18"/>
          <w:szCs w:val="18"/>
        </w:rPr>
        <w:t>其他说明：</w:t>
      </w:r>
    </w:p>
    <w:p w14:paraId="37205EFE">
      <w:pPr>
        <w:pStyle w:val="3"/>
        <w:spacing w:after="100" w:line="280" w:lineRule="exact"/>
        <w:jc w:val="left"/>
        <w:rPr>
          <w:rFonts w:ascii="宋体" w:hAnsi="宋体" w:cs="宋体"/>
          <w:b/>
          <w:bCs/>
        </w:rPr>
      </w:pPr>
      <w:bookmarkStart w:id="267" w:name="_Toc989156"/>
      <w:r>
        <w:rPr>
          <w:rFonts w:ascii="宋体" w:hAnsi="宋体" w:cs="宋体"/>
          <w:b/>
          <w:bCs/>
        </w:rPr>
        <w:t>23、生产性生物资产</w:t>
      </w:r>
      <w:bookmarkEnd w:id="267"/>
    </w:p>
    <w:p w14:paraId="6FE910A2">
      <w:pPr>
        <w:keepNext/>
        <w:keepLines/>
        <w:spacing w:before="300" w:after="100" w:line="280" w:lineRule="exact"/>
        <w:outlineLvl w:val="3"/>
        <w:rPr>
          <w:rFonts w:ascii="宋体" w:hAnsi="宋体" w:eastAsia="宋体" w:cs="宋体"/>
          <w:b/>
          <w:bCs/>
          <w:szCs w:val="21"/>
        </w:rPr>
      </w:pPr>
      <w:bookmarkStart w:id="268" w:name="_Toc989157"/>
      <w:r>
        <w:rPr>
          <w:rFonts w:ascii="宋体" w:hAnsi="宋体" w:eastAsia="宋体" w:cs="宋体"/>
          <w:b/>
          <w:bCs/>
          <w:szCs w:val="21"/>
        </w:rPr>
        <w:t>（1） 采用成本计量模式的生产性生物资产</w:t>
      </w:r>
      <w:bookmarkEnd w:id="268"/>
    </w:p>
    <w:p w14:paraId="5B30194D">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F4781F4">
      <w:pPr>
        <w:keepNext/>
        <w:keepLines/>
        <w:spacing w:before="300" w:after="100" w:line="280" w:lineRule="exact"/>
        <w:outlineLvl w:val="3"/>
        <w:rPr>
          <w:rFonts w:ascii="宋体" w:hAnsi="宋体" w:eastAsia="宋体" w:cs="宋体"/>
          <w:b/>
          <w:bCs/>
          <w:szCs w:val="21"/>
        </w:rPr>
      </w:pPr>
      <w:bookmarkStart w:id="269" w:name="_Toc989158"/>
      <w:r>
        <w:rPr>
          <w:rFonts w:ascii="宋体" w:hAnsi="宋体" w:eastAsia="宋体" w:cs="宋体"/>
          <w:b/>
          <w:bCs/>
          <w:szCs w:val="21"/>
        </w:rPr>
        <w:t>（2） 采用成本计量模式的生产性生物资产的减值测试情况</w:t>
      </w:r>
      <w:bookmarkEnd w:id="269"/>
    </w:p>
    <w:p w14:paraId="55514575">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9E26ED9">
      <w:pPr>
        <w:keepNext/>
        <w:keepLines/>
        <w:spacing w:before="300" w:after="100" w:line="280" w:lineRule="exact"/>
        <w:outlineLvl w:val="3"/>
        <w:rPr>
          <w:rFonts w:ascii="宋体" w:hAnsi="宋体" w:eastAsia="宋体" w:cs="宋体"/>
          <w:b/>
          <w:bCs/>
          <w:szCs w:val="21"/>
        </w:rPr>
      </w:pPr>
      <w:bookmarkStart w:id="270" w:name="_Toc989159"/>
      <w:r>
        <w:rPr>
          <w:rFonts w:ascii="宋体" w:hAnsi="宋体" w:eastAsia="宋体" w:cs="宋体"/>
          <w:b/>
          <w:bCs/>
          <w:szCs w:val="21"/>
        </w:rPr>
        <w:t>（3） 采用公允价值计量模式的生产性生物资产</w:t>
      </w:r>
      <w:bookmarkEnd w:id="270"/>
    </w:p>
    <w:p w14:paraId="6EC35066">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5F04387">
      <w:pPr>
        <w:pStyle w:val="3"/>
        <w:spacing w:after="100" w:line="280" w:lineRule="exact"/>
        <w:jc w:val="left"/>
        <w:rPr>
          <w:rFonts w:ascii="宋体" w:hAnsi="宋体" w:cs="宋体"/>
          <w:b/>
          <w:bCs/>
        </w:rPr>
      </w:pPr>
      <w:bookmarkStart w:id="271" w:name="_Toc989160"/>
      <w:r>
        <w:rPr>
          <w:rFonts w:ascii="宋体" w:hAnsi="宋体" w:cs="宋体"/>
          <w:b/>
          <w:bCs/>
        </w:rPr>
        <w:t>24、油气资产</w:t>
      </w:r>
      <w:bookmarkEnd w:id="271"/>
    </w:p>
    <w:p w14:paraId="7D5B703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7ED4746">
      <w:pPr>
        <w:pStyle w:val="3"/>
        <w:spacing w:after="100" w:line="280" w:lineRule="exact"/>
        <w:jc w:val="left"/>
        <w:rPr>
          <w:rFonts w:ascii="宋体" w:hAnsi="宋体" w:cs="宋体"/>
          <w:b/>
          <w:bCs/>
        </w:rPr>
      </w:pPr>
      <w:bookmarkStart w:id="272" w:name="_Toc989161"/>
      <w:r>
        <w:rPr>
          <w:rFonts w:ascii="宋体" w:hAnsi="宋体" w:cs="宋体"/>
          <w:b/>
          <w:bCs/>
        </w:rPr>
        <w:t>25、使用权资产</w:t>
      </w:r>
      <w:bookmarkEnd w:id="272"/>
    </w:p>
    <w:p w14:paraId="24D418FB">
      <w:pPr>
        <w:keepNext/>
        <w:keepLines/>
        <w:spacing w:before="300" w:after="100" w:line="280" w:lineRule="exact"/>
        <w:outlineLvl w:val="3"/>
        <w:rPr>
          <w:rFonts w:ascii="宋体" w:hAnsi="宋体" w:eastAsia="宋体" w:cs="宋体"/>
          <w:b/>
          <w:bCs/>
          <w:szCs w:val="21"/>
        </w:rPr>
      </w:pPr>
      <w:bookmarkStart w:id="273" w:name="_Toc989162"/>
      <w:r>
        <w:rPr>
          <w:rFonts w:ascii="宋体" w:hAnsi="宋体" w:eastAsia="宋体" w:cs="宋体"/>
          <w:b/>
          <w:bCs/>
          <w:szCs w:val="21"/>
        </w:rPr>
        <w:t>（1） 使用权资产情况</w:t>
      </w:r>
      <w:bookmarkEnd w:id="273"/>
    </w:p>
    <w:p w14:paraId="77CF12C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B8E5C6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101B9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vAlign w:val="center"/>
          </w:tcPr>
          <w:p w14:paraId="2AFFF5E2">
            <w:pPr>
              <w:spacing w:line="240" w:lineRule="exact"/>
              <w:jc w:val="center"/>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889A25">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20ED915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7AAE09">
            <w:pPr>
              <w:spacing w:before="40" w:after="40" w:line="240" w:lineRule="exact"/>
              <w:rPr>
                <w:rFonts w:ascii="宋体" w:hAnsi="宋体" w:eastAsia="宋体" w:cs="宋体"/>
                <w:sz w:val="18"/>
                <w:szCs w:val="18"/>
              </w:rPr>
            </w:pPr>
            <w:r>
              <w:rPr>
                <w:rFonts w:ascii="宋体" w:hAnsi="宋体" w:eastAsia="宋体" w:cs="宋体"/>
                <w:sz w:val="18"/>
                <w:szCs w:val="18"/>
              </w:rPr>
              <w:t>一、账面原值</w:t>
            </w:r>
          </w:p>
        </w:tc>
        <w:tc>
          <w:tcPr>
            <w:tcW w:w="3213" w:type="dxa"/>
            <w:tcBorders>
              <w:top w:val="single" w:color="auto" w:sz="2" w:space="0"/>
              <w:left w:val="single" w:color="auto" w:sz="2" w:space="0"/>
              <w:bottom w:val="single" w:color="auto" w:sz="2" w:space="0"/>
              <w:right w:val="single" w:color="auto" w:sz="2" w:space="0"/>
            </w:tcBorders>
            <w:vAlign w:val="center"/>
          </w:tcPr>
          <w:p w14:paraId="30735D1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C83D89">
            <w:pPr>
              <w:spacing w:line="240" w:lineRule="exact"/>
              <w:jc w:val="right"/>
              <w:rPr>
                <w:rFonts w:ascii="宋体" w:hAnsi="宋体" w:eastAsia="宋体" w:cs="宋体"/>
                <w:sz w:val="18"/>
                <w:szCs w:val="18"/>
              </w:rPr>
            </w:pPr>
          </w:p>
        </w:tc>
      </w:tr>
      <w:tr w14:paraId="2B12F34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EE08B4">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4AD0C78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8302E5">
            <w:pPr>
              <w:spacing w:line="240" w:lineRule="exact"/>
              <w:jc w:val="right"/>
              <w:rPr>
                <w:rFonts w:ascii="宋体" w:hAnsi="宋体" w:eastAsia="宋体" w:cs="宋体"/>
                <w:sz w:val="18"/>
                <w:szCs w:val="18"/>
              </w:rPr>
            </w:pPr>
          </w:p>
        </w:tc>
      </w:tr>
      <w:tr w14:paraId="35475A7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0B5D0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3213" w:type="dxa"/>
            <w:tcBorders>
              <w:top w:val="single" w:color="auto" w:sz="2" w:space="0"/>
              <w:left w:val="single" w:color="auto" w:sz="2" w:space="0"/>
              <w:bottom w:val="single" w:color="auto" w:sz="2" w:space="0"/>
              <w:right w:val="single" w:color="auto" w:sz="2" w:space="0"/>
            </w:tcBorders>
            <w:vAlign w:val="center"/>
          </w:tcPr>
          <w:p w14:paraId="7BFBDF6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B57B49">
            <w:pPr>
              <w:spacing w:line="240" w:lineRule="exact"/>
              <w:jc w:val="right"/>
              <w:rPr>
                <w:rFonts w:ascii="宋体" w:hAnsi="宋体" w:eastAsia="宋体" w:cs="宋体"/>
                <w:sz w:val="18"/>
                <w:szCs w:val="18"/>
              </w:rPr>
            </w:pPr>
          </w:p>
        </w:tc>
      </w:tr>
      <w:tr w14:paraId="3027CAC8">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674561">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DD572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6566DC">
            <w:pPr>
              <w:spacing w:line="240" w:lineRule="exact"/>
              <w:jc w:val="right"/>
              <w:rPr>
                <w:rFonts w:ascii="宋体" w:hAnsi="宋体" w:eastAsia="宋体" w:cs="宋体"/>
                <w:sz w:val="18"/>
                <w:szCs w:val="18"/>
              </w:rPr>
            </w:pPr>
          </w:p>
        </w:tc>
      </w:tr>
      <w:tr w14:paraId="5DDDEE0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9B31BA">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3213" w:type="dxa"/>
            <w:tcBorders>
              <w:top w:val="single" w:color="auto" w:sz="2" w:space="0"/>
              <w:left w:val="single" w:color="auto" w:sz="2" w:space="0"/>
              <w:bottom w:val="single" w:color="auto" w:sz="2" w:space="0"/>
              <w:right w:val="single" w:color="auto" w:sz="2" w:space="0"/>
            </w:tcBorders>
            <w:vAlign w:val="center"/>
          </w:tcPr>
          <w:p w14:paraId="39CF629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0639A2">
            <w:pPr>
              <w:spacing w:line="240" w:lineRule="exact"/>
              <w:jc w:val="right"/>
              <w:rPr>
                <w:rFonts w:ascii="宋体" w:hAnsi="宋体" w:eastAsia="宋体" w:cs="宋体"/>
                <w:sz w:val="18"/>
                <w:szCs w:val="18"/>
              </w:rPr>
            </w:pPr>
          </w:p>
        </w:tc>
      </w:tr>
      <w:tr w14:paraId="143B6621">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601EEF2">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38705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3981F6">
            <w:pPr>
              <w:spacing w:line="240" w:lineRule="exact"/>
              <w:jc w:val="right"/>
              <w:rPr>
                <w:rFonts w:ascii="宋体" w:hAnsi="宋体" w:eastAsia="宋体" w:cs="宋体"/>
                <w:sz w:val="18"/>
                <w:szCs w:val="18"/>
              </w:rPr>
            </w:pPr>
          </w:p>
        </w:tc>
      </w:tr>
      <w:tr w14:paraId="4A543D0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C9B676">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6669A8B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7ADBEE">
            <w:pPr>
              <w:spacing w:line="240" w:lineRule="exact"/>
              <w:jc w:val="right"/>
              <w:rPr>
                <w:rFonts w:ascii="宋体" w:hAnsi="宋体" w:eastAsia="宋体" w:cs="宋体"/>
                <w:sz w:val="18"/>
                <w:szCs w:val="18"/>
              </w:rPr>
            </w:pPr>
          </w:p>
        </w:tc>
      </w:tr>
      <w:tr w14:paraId="56D0A41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B65A9D">
            <w:pPr>
              <w:spacing w:before="40" w:after="40" w:line="240" w:lineRule="exact"/>
              <w:rPr>
                <w:rFonts w:ascii="宋体" w:hAnsi="宋体" w:eastAsia="宋体" w:cs="宋体"/>
                <w:sz w:val="18"/>
                <w:szCs w:val="18"/>
              </w:rPr>
            </w:pPr>
            <w:r>
              <w:rPr>
                <w:rFonts w:ascii="宋体" w:hAnsi="宋体" w:eastAsia="宋体" w:cs="宋体"/>
                <w:sz w:val="18"/>
                <w:szCs w:val="18"/>
              </w:rPr>
              <w:t>二、累计折旧</w:t>
            </w:r>
          </w:p>
        </w:tc>
        <w:tc>
          <w:tcPr>
            <w:tcW w:w="3213" w:type="dxa"/>
            <w:tcBorders>
              <w:top w:val="single" w:color="auto" w:sz="2" w:space="0"/>
              <w:left w:val="single" w:color="auto" w:sz="2" w:space="0"/>
              <w:bottom w:val="single" w:color="auto" w:sz="2" w:space="0"/>
              <w:right w:val="single" w:color="auto" w:sz="2" w:space="0"/>
            </w:tcBorders>
            <w:vAlign w:val="center"/>
          </w:tcPr>
          <w:p w14:paraId="1ABEF26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67450C">
            <w:pPr>
              <w:spacing w:line="240" w:lineRule="exact"/>
              <w:jc w:val="right"/>
              <w:rPr>
                <w:rFonts w:ascii="宋体" w:hAnsi="宋体" w:eastAsia="宋体" w:cs="宋体"/>
                <w:sz w:val="18"/>
                <w:szCs w:val="18"/>
              </w:rPr>
            </w:pPr>
          </w:p>
        </w:tc>
      </w:tr>
      <w:tr w14:paraId="2818DD5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33F22E">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6CDE90C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165C3E4">
            <w:pPr>
              <w:spacing w:line="240" w:lineRule="exact"/>
              <w:jc w:val="right"/>
              <w:rPr>
                <w:rFonts w:ascii="宋体" w:hAnsi="宋体" w:eastAsia="宋体" w:cs="宋体"/>
                <w:sz w:val="18"/>
                <w:szCs w:val="18"/>
              </w:rPr>
            </w:pPr>
          </w:p>
        </w:tc>
      </w:tr>
      <w:tr w14:paraId="41B3F46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EF3DF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3213" w:type="dxa"/>
            <w:tcBorders>
              <w:top w:val="single" w:color="auto" w:sz="2" w:space="0"/>
              <w:left w:val="single" w:color="auto" w:sz="2" w:space="0"/>
              <w:bottom w:val="single" w:color="auto" w:sz="2" w:space="0"/>
              <w:right w:val="single" w:color="auto" w:sz="2" w:space="0"/>
            </w:tcBorders>
            <w:vAlign w:val="center"/>
          </w:tcPr>
          <w:p w14:paraId="61285EB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C70266">
            <w:pPr>
              <w:spacing w:line="240" w:lineRule="exact"/>
              <w:jc w:val="right"/>
              <w:rPr>
                <w:rFonts w:ascii="宋体" w:hAnsi="宋体" w:eastAsia="宋体" w:cs="宋体"/>
                <w:sz w:val="18"/>
                <w:szCs w:val="18"/>
              </w:rPr>
            </w:pPr>
          </w:p>
        </w:tc>
      </w:tr>
      <w:tr w14:paraId="4A73F28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B4A642">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（1）计提</w:t>
            </w:r>
          </w:p>
        </w:tc>
        <w:tc>
          <w:tcPr>
            <w:tcW w:w="3213" w:type="dxa"/>
            <w:tcBorders>
              <w:top w:val="single" w:color="auto" w:sz="2" w:space="0"/>
              <w:left w:val="single" w:color="auto" w:sz="2" w:space="0"/>
              <w:bottom w:val="single" w:color="auto" w:sz="2" w:space="0"/>
              <w:right w:val="single" w:color="auto" w:sz="2" w:space="0"/>
            </w:tcBorders>
            <w:vAlign w:val="center"/>
          </w:tcPr>
          <w:p w14:paraId="405AEF5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9CD3BD">
            <w:pPr>
              <w:spacing w:line="240" w:lineRule="exact"/>
              <w:jc w:val="right"/>
              <w:rPr>
                <w:rFonts w:ascii="宋体" w:hAnsi="宋体" w:eastAsia="宋体" w:cs="宋体"/>
                <w:sz w:val="18"/>
                <w:szCs w:val="18"/>
              </w:rPr>
            </w:pPr>
          </w:p>
        </w:tc>
      </w:tr>
      <w:tr w14:paraId="6E65153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D2BB1B4">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04D3AF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DC7AEF">
            <w:pPr>
              <w:spacing w:line="240" w:lineRule="exact"/>
              <w:jc w:val="right"/>
              <w:rPr>
                <w:rFonts w:ascii="宋体" w:hAnsi="宋体" w:eastAsia="宋体" w:cs="宋体"/>
                <w:sz w:val="18"/>
                <w:szCs w:val="18"/>
              </w:rPr>
            </w:pPr>
          </w:p>
        </w:tc>
      </w:tr>
      <w:tr w14:paraId="174FC04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ECAD03">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3213" w:type="dxa"/>
            <w:tcBorders>
              <w:top w:val="single" w:color="auto" w:sz="2" w:space="0"/>
              <w:left w:val="single" w:color="auto" w:sz="2" w:space="0"/>
              <w:bottom w:val="single" w:color="auto" w:sz="2" w:space="0"/>
              <w:right w:val="single" w:color="auto" w:sz="2" w:space="0"/>
            </w:tcBorders>
            <w:vAlign w:val="center"/>
          </w:tcPr>
          <w:p w14:paraId="30B61CA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757D2B">
            <w:pPr>
              <w:spacing w:line="240" w:lineRule="exact"/>
              <w:jc w:val="right"/>
              <w:rPr>
                <w:rFonts w:ascii="宋体" w:hAnsi="宋体" w:eastAsia="宋体" w:cs="宋体"/>
                <w:sz w:val="18"/>
                <w:szCs w:val="18"/>
              </w:rPr>
            </w:pPr>
          </w:p>
        </w:tc>
      </w:tr>
      <w:tr w14:paraId="2B07097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91101A">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w:t>
            </w:r>
          </w:p>
        </w:tc>
        <w:tc>
          <w:tcPr>
            <w:tcW w:w="3213" w:type="dxa"/>
            <w:tcBorders>
              <w:top w:val="single" w:color="auto" w:sz="2" w:space="0"/>
              <w:left w:val="single" w:color="auto" w:sz="2" w:space="0"/>
              <w:bottom w:val="single" w:color="auto" w:sz="2" w:space="0"/>
              <w:right w:val="single" w:color="auto" w:sz="2" w:space="0"/>
            </w:tcBorders>
            <w:vAlign w:val="center"/>
          </w:tcPr>
          <w:p w14:paraId="7D23B63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1371F1">
            <w:pPr>
              <w:spacing w:line="240" w:lineRule="exact"/>
              <w:jc w:val="right"/>
              <w:rPr>
                <w:rFonts w:ascii="宋体" w:hAnsi="宋体" w:eastAsia="宋体" w:cs="宋体"/>
                <w:sz w:val="18"/>
                <w:szCs w:val="18"/>
              </w:rPr>
            </w:pPr>
          </w:p>
        </w:tc>
      </w:tr>
      <w:tr w14:paraId="750C556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803B935">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E4F3F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6FBF57">
            <w:pPr>
              <w:spacing w:line="240" w:lineRule="exact"/>
              <w:jc w:val="right"/>
              <w:rPr>
                <w:rFonts w:ascii="宋体" w:hAnsi="宋体" w:eastAsia="宋体" w:cs="宋体"/>
                <w:sz w:val="18"/>
                <w:szCs w:val="18"/>
              </w:rPr>
            </w:pPr>
          </w:p>
        </w:tc>
      </w:tr>
      <w:tr w14:paraId="6129A53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363B38">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3C8AC0A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0E1433">
            <w:pPr>
              <w:spacing w:line="240" w:lineRule="exact"/>
              <w:jc w:val="right"/>
              <w:rPr>
                <w:rFonts w:ascii="宋体" w:hAnsi="宋体" w:eastAsia="宋体" w:cs="宋体"/>
                <w:sz w:val="18"/>
                <w:szCs w:val="18"/>
              </w:rPr>
            </w:pPr>
          </w:p>
        </w:tc>
      </w:tr>
      <w:tr w14:paraId="78F88CE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B43422">
            <w:pPr>
              <w:spacing w:before="40" w:after="40" w:line="240" w:lineRule="exact"/>
              <w:rPr>
                <w:rFonts w:ascii="宋体" w:hAnsi="宋体" w:eastAsia="宋体" w:cs="宋体"/>
                <w:sz w:val="18"/>
                <w:szCs w:val="18"/>
              </w:rPr>
            </w:pPr>
            <w:r>
              <w:rPr>
                <w:rFonts w:ascii="宋体" w:hAnsi="宋体" w:eastAsia="宋体" w:cs="宋体"/>
                <w:sz w:val="18"/>
                <w:szCs w:val="18"/>
              </w:rPr>
              <w:t>三、减值准备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3D40A73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5B988F">
            <w:pPr>
              <w:spacing w:line="240" w:lineRule="exact"/>
              <w:jc w:val="right"/>
              <w:rPr>
                <w:rFonts w:ascii="宋体" w:hAnsi="宋体" w:eastAsia="宋体" w:cs="宋体"/>
                <w:sz w:val="18"/>
                <w:szCs w:val="18"/>
              </w:rPr>
            </w:pPr>
          </w:p>
        </w:tc>
      </w:tr>
      <w:tr w14:paraId="29B40C6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42439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7327272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1611C2">
            <w:pPr>
              <w:spacing w:line="240" w:lineRule="exact"/>
              <w:jc w:val="right"/>
              <w:rPr>
                <w:rFonts w:ascii="宋体" w:hAnsi="宋体" w:eastAsia="宋体" w:cs="宋体"/>
                <w:sz w:val="18"/>
                <w:szCs w:val="18"/>
              </w:rPr>
            </w:pPr>
          </w:p>
        </w:tc>
      </w:tr>
      <w:tr w14:paraId="191EBD4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4DA057">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3213" w:type="dxa"/>
            <w:tcBorders>
              <w:top w:val="single" w:color="auto" w:sz="2" w:space="0"/>
              <w:left w:val="single" w:color="auto" w:sz="2" w:space="0"/>
              <w:bottom w:val="single" w:color="auto" w:sz="2" w:space="0"/>
              <w:right w:val="single" w:color="auto" w:sz="2" w:space="0"/>
            </w:tcBorders>
            <w:vAlign w:val="center"/>
          </w:tcPr>
          <w:p w14:paraId="6C0D154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F61F61">
            <w:pPr>
              <w:spacing w:line="240" w:lineRule="exact"/>
              <w:jc w:val="right"/>
              <w:rPr>
                <w:rFonts w:ascii="宋体" w:hAnsi="宋体" w:eastAsia="宋体" w:cs="宋体"/>
                <w:sz w:val="18"/>
                <w:szCs w:val="18"/>
              </w:rPr>
            </w:pPr>
          </w:p>
        </w:tc>
      </w:tr>
      <w:tr w14:paraId="2A70BD6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5136D9">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（1）计提</w:t>
            </w:r>
          </w:p>
        </w:tc>
        <w:tc>
          <w:tcPr>
            <w:tcW w:w="3213" w:type="dxa"/>
            <w:tcBorders>
              <w:top w:val="single" w:color="auto" w:sz="2" w:space="0"/>
              <w:left w:val="single" w:color="auto" w:sz="2" w:space="0"/>
              <w:bottom w:val="single" w:color="auto" w:sz="2" w:space="0"/>
              <w:right w:val="single" w:color="auto" w:sz="2" w:space="0"/>
            </w:tcBorders>
            <w:vAlign w:val="center"/>
          </w:tcPr>
          <w:p w14:paraId="05B1F0B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66B38DA">
            <w:pPr>
              <w:spacing w:line="240" w:lineRule="exact"/>
              <w:jc w:val="right"/>
              <w:rPr>
                <w:rFonts w:ascii="宋体" w:hAnsi="宋体" w:eastAsia="宋体" w:cs="宋体"/>
                <w:sz w:val="18"/>
                <w:szCs w:val="18"/>
              </w:rPr>
            </w:pPr>
          </w:p>
        </w:tc>
      </w:tr>
      <w:tr w14:paraId="3FE45C5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21F6A84">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46301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AF5F36">
            <w:pPr>
              <w:spacing w:line="240" w:lineRule="exact"/>
              <w:jc w:val="right"/>
              <w:rPr>
                <w:rFonts w:ascii="宋体" w:hAnsi="宋体" w:eastAsia="宋体" w:cs="宋体"/>
                <w:sz w:val="18"/>
                <w:szCs w:val="18"/>
              </w:rPr>
            </w:pPr>
          </w:p>
        </w:tc>
      </w:tr>
      <w:tr w14:paraId="5DF48CD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B6E7D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3213" w:type="dxa"/>
            <w:tcBorders>
              <w:top w:val="single" w:color="auto" w:sz="2" w:space="0"/>
              <w:left w:val="single" w:color="auto" w:sz="2" w:space="0"/>
              <w:bottom w:val="single" w:color="auto" w:sz="2" w:space="0"/>
              <w:right w:val="single" w:color="auto" w:sz="2" w:space="0"/>
            </w:tcBorders>
            <w:vAlign w:val="center"/>
          </w:tcPr>
          <w:p w14:paraId="21E843F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68380E4">
            <w:pPr>
              <w:spacing w:line="240" w:lineRule="exact"/>
              <w:jc w:val="right"/>
              <w:rPr>
                <w:rFonts w:ascii="宋体" w:hAnsi="宋体" w:eastAsia="宋体" w:cs="宋体"/>
                <w:sz w:val="18"/>
                <w:szCs w:val="18"/>
              </w:rPr>
            </w:pPr>
          </w:p>
        </w:tc>
      </w:tr>
      <w:tr w14:paraId="7BB11E8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CBB7B3">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w:t>
            </w:r>
          </w:p>
        </w:tc>
        <w:tc>
          <w:tcPr>
            <w:tcW w:w="3213" w:type="dxa"/>
            <w:tcBorders>
              <w:top w:val="single" w:color="auto" w:sz="2" w:space="0"/>
              <w:left w:val="single" w:color="auto" w:sz="2" w:space="0"/>
              <w:bottom w:val="single" w:color="auto" w:sz="2" w:space="0"/>
              <w:right w:val="single" w:color="auto" w:sz="2" w:space="0"/>
            </w:tcBorders>
            <w:vAlign w:val="center"/>
          </w:tcPr>
          <w:p w14:paraId="67530C3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808910A">
            <w:pPr>
              <w:spacing w:line="240" w:lineRule="exact"/>
              <w:jc w:val="right"/>
              <w:rPr>
                <w:rFonts w:ascii="宋体" w:hAnsi="宋体" w:eastAsia="宋体" w:cs="宋体"/>
                <w:sz w:val="18"/>
                <w:szCs w:val="18"/>
              </w:rPr>
            </w:pPr>
          </w:p>
        </w:tc>
      </w:tr>
      <w:tr w14:paraId="7709BDD1">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4ECD81D">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2BBDD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1F54EC">
            <w:pPr>
              <w:spacing w:line="240" w:lineRule="exact"/>
              <w:jc w:val="right"/>
              <w:rPr>
                <w:rFonts w:ascii="宋体" w:hAnsi="宋体" w:eastAsia="宋体" w:cs="宋体"/>
                <w:sz w:val="18"/>
                <w:szCs w:val="18"/>
              </w:rPr>
            </w:pPr>
          </w:p>
        </w:tc>
      </w:tr>
      <w:tr w14:paraId="0477D3C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C4043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39E1C30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503238E">
            <w:pPr>
              <w:spacing w:line="240" w:lineRule="exact"/>
              <w:jc w:val="right"/>
              <w:rPr>
                <w:rFonts w:ascii="宋体" w:hAnsi="宋体" w:eastAsia="宋体" w:cs="宋体"/>
                <w:sz w:val="18"/>
                <w:szCs w:val="18"/>
              </w:rPr>
            </w:pPr>
          </w:p>
        </w:tc>
      </w:tr>
      <w:tr w14:paraId="5F6BB1C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04674B">
            <w:pPr>
              <w:spacing w:before="40" w:after="40" w:line="240" w:lineRule="exact"/>
              <w:rPr>
                <w:rFonts w:ascii="宋体" w:hAnsi="宋体" w:eastAsia="宋体" w:cs="宋体"/>
                <w:sz w:val="18"/>
                <w:szCs w:val="18"/>
              </w:rPr>
            </w:pPr>
            <w:r>
              <w:rPr>
                <w:rFonts w:ascii="宋体" w:hAnsi="宋体" w:eastAsia="宋体" w:cs="宋体"/>
                <w:sz w:val="18"/>
                <w:szCs w:val="18"/>
              </w:rPr>
              <w:t>四、账面价值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37FB4E3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F53128">
            <w:pPr>
              <w:spacing w:line="240" w:lineRule="exact"/>
              <w:jc w:val="right"/>
              <w:rPr>
                <w:rFonts w:ascii="宋体" w:hAnsi="宋体" w:eastAsia="宋体" w:cs="宋体"/>
                <w:sz w:val="18"/>
                <w:szCs w:val="18"/>
              </w:rPr>
            </w:pPr>
          </w:p>
        </w:tc>
      </w:tr>
      <w:tr w14:paraId="666B31A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9129B7">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1.期末账面价值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78FA315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142B01E">
            <w:pPr>
              <w:spacing w:line="240" w:lineRule="exact"/>
              <w:jc w:val="right"/>
              <w:rPr>
                <w:rFonts w:ascii="宋体" w:hAnsi="宋体" w:eastAsia="宋体" w:cs="宋体"/>
                <w:sz w:val="18"/>
                <w:szCs w:val="18"/>
              </w:rPr>
            </w:pPr>
          </w:p>
        </w:tc>
      </w:tr>
      <w:tr w14:paraId="1CCB9E5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5CF42A">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2.期初账面价值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3E0FCBF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F0FD0D6">
            <w:pPr>
              <w:spacing w:line="240" w:lineRule="exact"/>
              <w:jc w:val="right"/>
              <w:rPr>
                <w:rFonts w:ascii="宋体" w:hAnsi="宋体" w:eastAsia="宋体" w:cs="宋体"/>
                <w:sz w:val="18"/>
                <w:szCs w:val="18"/>
              </w:rPr>
            </w:pPr>
          </w:p>
        </w:tc>
      </w:tr>
    </w:tbl>
    <w:p w14:paraId="4A8698DE">
      <w:pPr>
        <w:keepNext/>
        <w:keepLines/>
        <w:spacing w:before="300" w:after="100" w:line="280" w:lineRule="exact"/>
        <w:outlineLvl w:val="3"/>
        <w:rPr>
          <w:rFonts w:ascii="宋体" w:hAnsi="宋体" w:eastAsia="宋体" w:cs="宋体"/>
          <w:b/>
          <w:bCs/>
          <w:szCs w:val="21"/>
        </w:rPr>
      </w:pPr>
      <w:bookmarkStart w:id="274" w:name="_Toc989163"/>
      <w:r>
        <w:rPr>
          <w:rFonts w:ascii="宋体" w:hAnsi="宋体" w:eastAsia="宋体" w:cs="宋体"/>
          <w:b/>
          <w:bCs/>
          <w:szCs w:val="21"/>
        </w:rPr>
        <w:t>（2） 使用权资产的减值测试情况</w:t>
      </w:r>
      <w:bookmarkEnd w:id="274"/>
    </w:p>
    <w:p w14:paraId="28A36301">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258820B">
      <w:pPr>
        <w:spacing w:before="100" w:after="100" w:line="240" w:lineRule="exact"/>
      </w:pPr>
      <w:r>
        <w:rPr>
          <w:rFonts w:ascii="宋体" w:hAnsi="宋体" w:eastAsia="宋体" w:cs="宋体"/>
          <w:sz w:val="18"/>
          <w:szCs w:val="18"/>
        </w:rPr>
        <w:t>其他说明：</w:t>
      </w:r>
    </w:p>
    <w:p w14:paraId="08BEE5E8">
      <w:pPr>
        <w:pStyle w:val="3"/>
        <w:spacing w:after="100" w:line="280" w:lineRule="exact"/>
        <w:jc w:val="left"/>
        <w:rPr>
          <w:rFonts w:ascii="宋体" w:hAnsi="宋体" w:cs="宋体"/>
          <w:b/>
          <w:bCs/>
        </w:rPr>
      </w:pPr>
      <w:bookmarkStart w:id="275" w:name="_Toc989164"/>
      <w:r>
        <w:rPr>
          <w:rFonts w:ascii="宋体" w:hAnsi="宋体" w:cs="宋体"/>
          <w:b/>
          <w:bCs/>
        </w:rPr>
        <w:t>26、无形资产</w:t>
      </w:r>
      <w:bookmarkEnd w:id="275"/>
    </w:p>
    <w:p w14:paraId="1E86B460">
      <w:pPr>
        <w:keepNext/>
        <w:keepLines/>
        <w:spacing w:before="300" w:after="100" w:line="280" w:lineRule="exact"/>
        <w:outlineLvl w:val="3"/>
        <w:rPr>
          <w:rFonts w:ascii="宋体" w:hAnsi="宋体" w:eastAsia="宋体" w:cs="宋体"/>
          <w:b/>
          <w:bCs/>
          <w:szCs w:val="21"/>
        </w:rPr>
      </w:pPr>
      <w:bookmarkStart w:id="276" w:name="_Toc989165"/>
      <w:r>
        <w:rPr>
          <w:rFonts w:ascii="宋体" w:hAnsi="宋体" w:eastAsia="宋体" w:cs="宋体"/>
          <w:b/>
          <w:bCs/>
          <w:szCs w:val="21"/>
        </w:rPr>
        <w:t>（1） 无形资产情况</w:t>
      </w:r>
      <w:bookmarkEnd w:id="276"/>
    </w:p>
    <w:p w14:paraId="30C2781B">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3FCB917">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86644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C0A6D1">
            <w:pPr>
              <w:spacing w:before="40" w:after="40" w:line="240" w:lineRule="exact"/>
              <w:jc w:val="center"/>
              <w:rPr>
                <w:rFonts w:ascii="宋体" w:hAnsi="宋体" w:eastAsia="宋体" w:cs="宋体"/>
                <w:sz w:val="18"/>
                <w:szCs w:val="18"/>
              </w:rPr>
            </w:pPr>
            <w:r>
              <w:rPr>
                <w:rFonts w:ascii="宋体" w:hAnsi="宋体" w:eastAsia="宋体" w:cs="宋体"/>
                <w:sz w:val="18"/>
                <w:szCs w:val="18"/>
              </w:rPr>
              <w:t>土地使用权</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CC8946">
            <w:pPr>
              <w:spacing w:before="40" w:after="40" w:line="240" w:lineRule="exact"/>
              <w:jc w:val="center"/>
              <w:rPr>
                <w:rFonts w:ascii="宋体" w:hAnsi="宋体" w:eastAsia="宋体" w:cs="宋体"/>
                <w:sz w:val="18"/>
                <w:szCs w:val="18"/>
              </w:rPr>
            </w:pPr>
            <w:r>
              <w:rPr>
                <w:rFonts w:ascii="宋体" w:hAnsi="宋体" w:eastAsia="宋体" w:cs="宋体"/>
                <w:sz w:val="18"/>
                <w:szCs w:val="18"/>
              </w:rPr>
              <w:t>专利权</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FBB2B1B">
            <w:pPr>
              <w:spacing w:before="40" w:after="40" w:line="240" w:lineRule="exact"/>
              <w:jc w:val="center"/>
              <w:rPr>
                <w:rFonts w:ascii="宋体" w:hAnsi="宋体" w:eastAsia="宋体" w:cs="宋体"/>
                <w:sz w:val="18"/>
                <w:szCs w:val="18"/>
              </w:rPr>
            </w:pPr>
            <w:r>
              <w:rPr>
                <w:rFonts w:ascii="宋体" w:hAnsi="宋体" w:eastAsia="宋体" w:cs="宋体"/>
                <w:sz w:val="18"/>
                <w:szCs w:val="18"/>
              </w:rPr>
              <w:t>非专利技术</w:t>
            </w:r>
          </w:p>
        </w:tc>
        <w:tc>
          <w:tcPr>
            <w:tcW w:w="1377" w:type="dxa"/>
            <w:tcBorders>
              <w:top w:val="single" w:color="auto" w:sz="2" w:space="0"/>
              <w:left w:val="single" w:color="auto" w:sz="2" w:space="0"/>
              <w:bottom w:val="single" w:color="auto" w:sz="2" w:space="0"/>
              <w:right w:val="single" w:color="auto" w:sz="2" w:space="0"/>
            </w:tcBorders>
            <w:vAlign w:val="center"/>
          </w:tcPr>
          <w:p w14:paraId="5A717B21">
            <w:pPr>
              <w:spacing w:line="240" w:lineRule="exact"/>
              <w:jc w:val="center"/>
              <w:rPr>
                <w:rFonts w:ascii="宋体" w:hAnsi="宋体" w:eastAsia="宋体" w:cs="宋体"/>
                <w:sz w:val="18"/>
                <w:szCs w:val="18"/>
              </w:rPr>
            </w:pPr>
            <w:r>
              <w:rPr>
                <w:rFonts w:ascii="宋体" w:hAnsi="宋体" w:eastAsia="宋体" w:cs="宋体"/>
                <w:sz w:val="18"/>
                <w:szCs w:val="18"/>
              </w:rPr>
              <w:t>商标使用权</w:t>
            </w:r>
          </w:p>
        </w:tc>
        <w:tc>
          <w:tcPr>
            <w:tcW w:w="1377" w:type="dxa"/>
            <w:tcBorders>
              <w:top w:val="single" w:color="auto" w:sz="2" w:space="0"/>
              <w:left w:val="single" w:color="auto" w:sz="2" w:space="0"/>
              <w:bottom w:val="single" w:color="auto" w:sz="2" w:space="0"/>
              <w:right w:val="single" w:color="auto" w:sz="2" w:space="0"/>
            </w:tcBorders>
            <w:vAlign w:val="center"/>
          </w:tcPr>
          <w:p w14:paraId="4E8D9666">
            <w:pPr>
              <w:spacing w:line="240" w:lineRule="exact"/>
              <w:jc w:val="center"/>
              <w:rPr>
                <w:rFonts w:ascii="宋体" w:hAnsi="宋体" w:eastAsia="宋体" w:cs="宋体"/>
                <w:sz w:val="18"/>
                <w:szCs w:val="18"/>
              </w:rPr>
            </w:pPr>
            <w:r>
              <w:rPr>
                <w:rFonts w:ascii="宋体" w:hAnsi="宋体" w:eastAsia="宋体" w:cs="宋体"/>
                <w:sz w:val="18"/>
                <w:szCs w:val="18"/>
              </w:rPr>
              <w:t>财务软件</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8CFB919">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33F1DA0D">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558C5C">
            <w:pPr>
              <w:spacing w:before="40" w:after="40" w:line="240" w:lineRule="exact"/>
              <w:rPr>
                <w:rFonts w:ascii="宋体" w:hAnsi="宋体" w:eastAsia="宋体" w:cs="宋体"/>
                <w:sz w:val="18"/>
                <w:szCs w:val="18"/>
              </w:rPr>
            </w:pPr>
            <w:r>
              <w:rPr>
                <w:rFonts w:ascii="宋体" w:hAnsi="宋体" w:eastAsia="宋体" w:cs="宋体"/>
                <w:sz w:val="18"/>
                <w:szCs w:val="18"/>
              </w:rPr>
              <w:t>一、账面原值</w:t>
            </w:r>
          </w:p>
        </w:tc>
        <w:tc>
          <w:tcPr>
            <w:tcW w:w="1377" w:type="dxa"/>
            <w:tcBorders>
              <w:top w:val="single" w:color="auto" w:sz="2" w:space="0"/>
              <w:left w:val="single" w:color="auto" w:sz="2" w:space="0"/>
              <w:bottom w:val="single" w:color="auto" w:sz="2" w:space="0"/>
              <w:right w:val="single" w:color="auto" w:sz="2" w:space="0"/>
            </w:tcBorders>
            <w:vAlign w:val="center"/>
          </w:tcPr>
          <w:p w14:paraId="59F6799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A288D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687FC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8FB408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E6395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331D25">
            <w:pPr>
              <w:spacing w:line="240" w:lineRule="exact"/>
              <w:jc w:val="right"/>
              <w:rPr>
                <w:rFonts w:ascii="宋体" w:hAnsi="宋体" w:eastAsia="宋体" w:cs="宋体"/>
                <w:sz w:val="18"/>
                <w:szCs w:val="18"/>
              </w:rPr>
            </w:pPr>
          </w:p>
        </w:tc>
      </w:tr>
      <w:tr w14:paraId="174C10AE">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046F4B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1377" w:type="dxa"/>
            <w:tcBorders>
              <w:top w:val="single" w:color="auto" w:sz="2" w:space="0"/>
              <w:left w:val="single" w:color="auto" w:sz="2" w:space="0"/>
              <w:bottom w:val="single" w:color="auto" w:sz="2" w:space="0"/>
              <w:right w:val="single" w:color="auto" w:sz="2" w:space="0"/>
            </w:tcBorders>
            <w:vAlign w:val="center"/>
          </w:tcPr>
          <w:p w14:paraId="1D281CEE">
            <w:pPr>
              <w:spacing w:line="240" w:lineRule="exact"/>
              <w:jc w:val="right"/>
              <w:rPr>
                <w:rFonts w:ascii="宋体" w:hAnsi="宋体" w:eastAsia="宋体" w:cs="宋体"/>
                <w:sz w:val="18"/>
                <w:szCs w:val="18"/>
              </w:rPr>
            </w:pPr>
            <w:r>
              <w:rPr>
                <w:rFonts w:ascii="宋体" w:hAnsi="宋体" w:eastAsia="宋体" w:cs="宋体"/>
                <w:sz w:val="18"/>
                <w:szCs w:val="18"/>
              </w:rPr>
              <w:t>7,214,617.19</w:t>
            </w:r>
          </w:p>
        </w:tc>
        <w:tc>
          <w:tcPr>
            <w:tcW w:w="1377" w:type="dxa"/>
            <w:tcBorders>
              <w:top w:val="single" w:color="auto" w:sz="2" w:space="0"/>
              <w:left w:val="single" w:color="auto" w:sz="2" w:space="0"/>
              <w:bottom w:val="single" w:color="auto" w:sz="2" w:space="0"/>
              <w:right w:val="single" w:color="auto" w:sz="2" w:space="0"/>
            </w:tcBorders>
            <w:vAlign w:val="center"/>
          </w:tcPr>
          <w:p w14:paraId="26EA8C4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F13A9DB">
            <w:pPr>
              <w:spacing w:line="240" w:lineRule="exact"/>
              <w:jc w:val="right"/>
              <w:rPr>
                <w:rFonts w:ascii="宋体" w:hAnsi="宋体" w:eastAsia="宋体" w:cs="宋体"/>
                <w:sz w:val="18"/>
                <w:szCs w:val="18"/>
              </w:rPr>
            </w:pPr>
            <w:r>
              <w:rPr>
                <w:rFonts w:ascii="宋体" w:hAnsi="宋体" w:eastAsia="宋体" w:cs="宋体"/>
                <w:sz w:val="18"/>
                <w:szCs w:val="18"/>
              </w:rPr>
              <w:t>8,133,356.00</w:t>
            </w:r>
          </w:p>
        </w:tc>
        <w:tc>
          <w:tcPr>
            <w:tcW w:w="1377" w:type="dxa"/>
            <w:tcBorders>
              <w:top w:val="single" w:color="auto" w:sz="2" w:space="0"/>
              <w:left w:val="single" w:color="auto" w:sz="2" w:space="0"/>
              <w:bottom w:val="single" w:color="auto" w:sz="2" w:space="0"/>
              <w:right w:val="single" w:color="auto" w:sz="2" w:space="0"/>
            </w:tcBorders>
            <w:vAlign w:val="center"/>
          </w:tcPr>
          <w:p w14:paraId="0067DCED">
            <w:pPr>
              <w:spacing w:line="240" w:lineRule="exact"/>
              <w:jc w:val="right"/>
              <w:rPr>
                <w:rFonts w:ascii="宋体" w:hAnsi="宋体" w:eastAsia="宋体" w:cs="宋体"/>
                <w:sz w:val="18"/>
                <w:szCs w:val="18"/>
              </w:rPr>
            </w:pPr>
            <w:r>
              <w:rPr>
                <w:rFonts w:ascii="宋体" w:hAnsi="宋体" w:eastAsia="宋体" w:cs="宋体"/>
                <w:sz w:val="18"/>
                <w:szCs w:val="18"/>
              </w:rPr>
              <w:t>21,733,000.00</w:t>
            </w:r>
          </w:p>
        </w:tc>
        <w:tc>
          <w:tcPr>
            <w:tcW w:w="1377" w:type="dxa"/>
            <w:tcBorders>
              <w:top w:val="single" w:color="auto" w:sz="2" w:space="0"/>
              <w:left w:val="single" w:color="auto" w:sz="2" w:space="0"/>
              <w:bottom w:val="single" w:color="auto" w:sz="2" w:space="0"/>
              <w:right w:val="single" w:color="auto" w:sz="2" w:space="0"/>
            </w:tcBorders>
            <w:vAlign w:val="center"/>
          </w:tcPr>
          <w:p w14:paraId="2B932393">
            <w:pPr>
              <w:spacing w:line="240" w:lineRule="exact"/>
              <w:jc w:val="right"/>
              <w:rPr>
                <w:rFonts w:ascii="宋体" w:hAnsi="宋体" w:eastAsia="宋体" w:cs="宋体"/>
                <w:sz w:val="18"/>
                <w:szCs w:val="18"/>
              </w:rPr>
            </w:pPr>
            <w:r>
              <w:rPr>
                <w:rFonts w:ascii="宋体" w:hAnsi="宋体" w:eastAsia="宋体" w:cs="宋体"/>
                <w:sz w:val="18"/>
                <w:szCs w:val="18"/>
              </w:rPr>
              <w:t>236,572.63</w:t>
            </w:r>
          </w:p>
        </w:tc>
        <w:tc>
          <w:tcPr>
            <w:tcW w:w="1377" w:type="dxa"/>
            <w:tcBorders>
              <w:top w:val="single" w:color="auto" w:sz="2" w:space="0"/>
              <w:left w:val="single" w:color="auto" w:sz="2" w:space="0"/>
              <w:bottom w:val="single" w:color="auto" w:sz="2" w:space="0"/>
              <w:right w:val="single" w:color="auto" w:sz="2" w:space="0"/>
            </w:tcBorders>
            <w:vAlign w:val="center"/>
          </w:tcPr>
          <w:p w14:paraId="46C89013">
            <w:pPr>
              <w:spacing w:line="240" w:lineRule="exact"/>
              <w:jc w:val="right"/>
              <w:rPr>
                <w:rFonts w:ascii="宋体" w:hAnsi="宋体" w:eastAsia="宋体" w:cs="宋体"/>
                <w:sz w:val="18"/>
                <w:szCs w:val="18"/>
              </w:rPr>
            </w:pPr>
            <w:r>
              <w:rPr>
                <w:rFonts w:ascii="宋体" w:hAnsi="宋体" w:eastAsia="宋体" w:cs="宋体"/>
                <w:sz w:val="18"/>
                <w:szCs w:val="18"/>
              </w:rPr>
              <w:t>37,317,545.82</w:t>
            </w:r>
          </w:p>
        </w:tc>
      </w:tr>
      <w:tr w14:paraId="60B8A442">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28ACA4">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1377" w:type="dxa"/>
            <w:tcBorders>
              <w:top w:val="single" w:color="auto" w:sz="2" w:space="0"/>
              <w:left w:val="single" w:color="auto" w:sz="2" w:space="0"/>
              <w:bottom w:val="single" w:color="auto" w:sz="2" w:space="0"/>
              <w:right w:val="single" w:color="auto" w:sz="2" w:space="0"/>
            </w:tcBorders>
            <w:vAlign w:val="center"/>
          </w:tcPr>
          <w:p w14:paraId="1F73E9B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D9FF0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219787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2EA38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43498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68ACC4">
            <w:pPr>
              <w:spacing w:line="240" w:lineRule="exact"/>
              <w:jc w:val="right"/>
              <w:rPr>
                <w:rFonts w:ascii="宋体" w:hAnsi="宋体" w:eastAsia="宋体" w:cs="宋体"/>
                <w:sz w:val="18"/>
                <w:szCs w:val="18"/>
              </w:rPr>
            </w:pPr>
          </w:p>
        </w:tc>
      </w:tr>
      <w:tr w14:paraId="0F7FD5A2">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8255A4">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（1）购置</w:t>
            </w:r>
          </w:p>
        </w:tc>
        <w:tc>
          <w:tcPr>
            <w:tcW w:w="1377" w:type="dxa"/>
            <w:tcBorders>
              <w:top w:val="single" w:color="auto" w:sz="2" w:space="0"/>
              <w:left w:val="single" w:color="auto" w:sz="2" w:space="0"/>
              <w:bottom w:val="single" w:color="auto" w:sz="2" w:space="0"/>
              <w:right w:val="single" w:color="auto" w:sz="2" w:space="0"/>
            </w:tcBorders>
            <w:vAlign w:val="center"/>
          </w:tcPr>
          <w:p w14:paraId="711C2A0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0842F6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1B170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4F192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8483B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BE1D88">
            <w:pPr>
              <w:spacing w:line="240" w:lineRule="exact"/>
              <w:jc w:val="right"/>
              <w:rPr>
                <w:rFonts w:ascii="宋体" w:hAnsi="宋体" w:eastAsia="宋体" w:cs="宋体"/>
                <w:sz w:val="18"/>
                <w:szCs w:val="18"/>
              </w:rPr>
            </w:pPr>
          </w:p>
        </w:tc>
      </w:tr>
      <w:tr w14:paraId="6A119924">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33588E">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（2）内部研发</w:t>
            </w:r>
          </w:p>
        </w:tc>
        <w:tc>
          <w:tcPr>
            <w:tcW w:w="1377" w:type="dxa"/>
            <w:tcBorders>
              <w:top w:val="single" w:color="auto" w:sz="2" w:space="0"/>
              <w:left w:val="single" w:color="auto" w:sz="2" w:space="0"/>
              <w:bottom w:val="single" w:color="auto" w:sz="2" w:space="0"/>
              <w:right w:val="single" w:color="auto" w:sz="2" w:space="0"/>
            </w:tcBorders>
            <w:vAlign w:val="center"/>
          </w:tcPr>
          <w:p w14:paraId="6AD91BF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12F7E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0BC0CB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4189A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49863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9AF6DBC">
            <w:pPr>
              <w:spacing w:line="240" w:lineRule="exact"/>
              <w:jc w:val="right"/>
              <w:rPr>
                <w:rFonts w:ascii="宋体" w:hAnsi="宋体" w:eastAsia="宋体" w:cs="宋体"/>
                <w:sz w:val="18"/>
                <w:szCs w:val="18"/>
              </w:rPr>
            </w:pPr>
          </w:p>
        </w:tc>
      </w:tr>
      <w:tr w14:paraId="661E2BA6">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2CDDBC">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（3）企业合并增加</w:t>
            </w:r>
          </w:p>
        </w:tc>
        <w:tc>
          <w:tcPr>
            <w:tcW w:w="1377" w:type="dxa"/>
            <w:tcBorders>
              <w:top w:val="single" w:color="auto" w:sz="2" w:space="0"/>
              <w:left w:val="single" w:color="auto" w:sz="2" w:space="0"/>
              <w:bottom w:val="single" w:color="auto" w:sz="2" w:space="0"/>
              <w:right w:val="single" w:color="auto" w:sz="2" w:space="0"/>
            </w:tcBorders>
            <w:vAlign w:val="center"/>
          </w:tcPr>
          <w:p w14:paraId="14433F1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2D89F0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5B01C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5F13F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8DD64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3614844">
            <w:pPr>
              <w:spacing w:line="240" w:lineRule="exact"/>
              <w:jc w:val="right"/>
              <w:rPr>
                <w:rFonts w:ascii="宋体" w:hAnsi="宋体" w:eastAsia="宋体" w:cs="宋体"/>
                <w:sz w:val="18"/>
                <w:szCs w:val="18"/>
              </w:rPr>
            </w:pPr>
          </w:p>
        </w:tc>
      </w:tr>
      <w:tr w14:paraId="479E4071">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E7D5C11">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41CD1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64FDA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64193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28C84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898D99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E112E3">
            <w:pPr>
              <w:spacing w:line="240" w:lineRule="exact"/>
              <w:jc w:val="right"/>
              <w:rPr>
                <w:rFonts w:ascii="宋体" w:hAnsi="宋体" w:eastAsia="宋体" w:cs="宋体"/>
                <w:sz w:val="18"/>
                <w:szCs w:val="18"/>
              </w:rPr>
            </w:pPr>
          </w:p>
        </w:tc>
      </w:tr>
      <w:tr w14:paraId="34BCA10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1B0ED0">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1377" w:type="dxa"/>
            <w:tcBorders>
              <w:top w:val="single" w:color="auto" w:sz="2" w:space="0"/>
              <w:left w:val="single" w:color="auto" w:sz="2" w:space="0"/>
              <w:bottom w:val="single" w:color="auto" w:sz="2" w:space="0"/>
              <w:right w:val="single" w:color="auto" w:sz="2" w:space="0"/>
            </w:tcBorders>
            <w:vAlign w:val="center"/>
          </w:tcPr>
          <w:p w14:paraId="3213FA4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375894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F1F481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E1CC2F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7145B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48B72B7">
            <w:pPr>
              <w:spacing w:line="240" w:lineRule="exact"/>
              <w:jc w:val="right"/>
              <w:rPr>
                <w:rFonts w:ascii="宋体" w:hAnsi="宋体" w:eastAsia="宋体" w:cs="宋体"/>
                <w:sz w:val="18"/>
                <w:szCs w:val="18"/>
              </w:rPr>
            </w:pPr>
          </w:p>
        </w:tc>
      </w:tr>
      <w:tr w14:paraId="1DF5B93D">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7AA5D8">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w:t>
            </w:r>
          </w:p>
        </w:tc>
        <w:tc>
          <w:tcPr>
            <w:tcW w:w="1377" w:type="dxa"/>
            <w:tcBorders>
              <w:top w:val="single" w:color="auto" w:sz="2" w:space="0"/>
              <w:left w:val="single" w:color="auto" w:sz="2" w:space="0"/>
              <w:bottom w:val="single" w:color="auto" w:sz="2" w:space="0"/>
              <w:right w:val="single" w:color="auto" w:sz="2" w:space="0"/>
            </w:tcBorders>
            <w:vAlign w:val="center"/>
          </w:tcPr>
          <w:p w14:paraId="5339258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262D3D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65A05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9C6180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93C0B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5625D1">
            <w:pPr>
              <w:spacing w:line="240" w:lineRule="exact"/>
              <w:jc w:val="right"/>
              <w:rPr>
                <w:rFonts w:ascii="宋体" w:hAnsi="宋体" w:eastAsia="宋体" w:cs="宋体"/>
                <w:sz w:val="18"/>
                <w:szCs w:val="18"/>
              </w:rPr>
            </w:pPr>
          </w:p>
        </w:tc>
      </w:tr>
      <w:tr w14:paraId="303719C6">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6D02BBA">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B2A853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45788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2EB6C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27C0C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1C224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25C0BA2">
            <w:pPr>
              <w:spacing w:line="240" w:lineRule="exact"/>
              <w:jc w:val="right"/>
              <w:rPr>
                <w:rFonts w:ascii="宋体" w:hAnsi="宋体" w:eastAsia="宋体" w:cs="宋体"/>
                <w:sz w:val="18"/>
                <w:szCs w:val="18"/>
              </w:rPr>
            </w:pPr>
          </w:p>
        </w:tc>
      </w:tr>
      <w:tr w14:paraId="76466368">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CE49393">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1377" w:type="dxa"/>
            <w:tcBorders>
              <w:top w:val="single" w:color="auto" w:sz="2" w:space="0"/>
              <w:left w:val="single" w:color="auto" w:sz="2" w:space="0"/>
              <w:bottom w:val="single" w:color="auto" w:sz="2" w:space="0"/>
              <w:right w:val="single" w:color="auto" w:sz="2" w:space="0"/>
            </w:tcBorders>
            <w:vAlign w:val="center"/>
          </w:tcPr>
          <w:p w14:paraId="77FE55A7">
            <w:pPr>
              <w:spacing w:line="240" w:lineRule="exact"/>
              <w:jc w:val="right"/>
              <w:rPr>
                <w:rFonts w:ascii="宋体" w:hAnsi="宋体" w:eastAsia="宋体" w:cs="宋体"/>
                <w:sz w:val="18"/>
                <w:szCs w:val="18"/>
              </w:rPr>
            </w:pPr>
            <w:r>
              <w:rPr>
                <w:rFonts w:ascii="宋体" w:hAnsi="宋体" w:eastAsia="宋体" w:cs="宋体"/>
                <w:sz w:val="18"/>
                <w:szCs w:val="18"/>
              </w:rPr>
              <w:t>7,214,617.19</w:t>
            </w:r>
          </w:p>
        </w:tc>
        <w:tc>
          <w:tcPr>
            <w:tcW w:w="1377" w:type="dxa"/>
            <w:tcBorders>
              <w:top w:val="single" w:color="auto" w:sz="2" w:space="0"/>
              <w:left w:val="single" w:color="auto" w:sz="2" w:space="0"/>
              <w:bottom w:val="single" w:color="auto" w:sz="2" w:space="0"/>
              <w:right w:val="single" w:color="auto" w:sz="2" w:space="0"/>
            </w:tcBorders>
            <w:vAlign w:val="center"/>
          </w:tcPr>
          <w:p w14:paraId="7328CD0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4F160E">
            <w:pPr>
              <w:spacing w:line="240" w:lineRule="exact"/>
              <w:jc w:val="right"/>
              <w:rPr>
                <w:rFonts w:ascii="宋体" w:hAnsi="宋体" w:eastAsia="宋体" w:cs="宋体"/>
                <w:sz w:val="18"/>
                <w:szCs w:val="18"/>
              </w:rPr>
            </w:pPr>
            <w:r>
              <w:rPr>
                <w:rFonts w:ascii="宋体" w:hAnsi="宋体" w:eastAsia="宋体" w:cs="宋体"/>
                <w:sz w:val="18"/>
                <w:szCs w:val="18"/>
              </w:rPr>
              <w:t>8,133,356.00</w:t>
            </w:r>
          </w:p>
        </w:tc>
        <w:tc>
          <w:tcPr>
            <w:tcW w:w="1377" w:type="dxa"/>
            <w:tcBorders>
              <w:top w:val="single" w:color="auto" w:sz="2" w:space="0"/>
              <w:left w:val="single" w:color="auto" w:sz="2" w:space="0"/>
              <w:bottom w:val="single" w:color="auto" w:sz="2" w:space="0"/>
              <w:right w:val="single" w:color="auto" w:sz="2" w:space="0"/>
            </w:tcBorders>
            <w:vAlign w:val="center"/>
          </w:tcPr>
          <w:p w14:paraId="180E090E">
            <w:pPr>
              <w:spacing w:line="240" w:lineRule="exact"/>
              <w:jc w:val="right"/>
              <w:rPr>
                <w:rFonts w:ascii="宋体" w:hAnsi="宋体" w:eastAsia="宋体" w:cs="宋体"/>
                <w:sz w:val="18"/>
                <w:szCs w:val="18"/>
              </w:rPr>
            </w:pPr>
            <w:r>
              <w:rPr>
                <w:rFonts w:ascii="宋体" w:hAnsi="宋体" w:eastAsia="宋体" w:cs="宋体"/>
                <w:sz w:val="18"/>
                <w:szCs w:val="18"/>
              </w:rPr>
              <w:t>21,733,000.00</w:t>
            </w:r>
          </w:p>
        </w:tc>
        <w:tc>
          <w:tcPr>
            <w:tcW w:w="1377" w:type="dxa"/>
            <w:tcBorders>
              <w:top w:val="single" w:color="auto" w:sz="2" w:space="0"/>
              <w:left w:val="single" w:color="auto" w:sz="2" w:space="0"/>
              <w:bottom w:val="single" w:color="auto" w:sz="2" w:space="0"/>
              <w:right w:val="single" w:color="auto" w:sz="2" w:space="0"/>
            </w:tcBorders>
            <w:vAlign w:val="center"/>
          </w:tcPr>
          <w:p w14:paraId="6D7E1C33">
            <w:pPr>
              <w:spacing w:line="240" w:lineRule="exact"/>
              <w:jc w:val="right"/>
              <w:rPr>
                <w:rFonts w:ascii="宋体" w:hAnsi="宋体" w:eastAsia="宋体" w:cs="宋体"/>
                <w:sz w:val="18"/>
                <w:szCs w:val="18"/>
              </w:rPr>
            </w:pPr>
            <w:r>
              <w:rPr>
                <w:rFonts w:ascii="宋体" w:hAnsi="宋体" w:eastAsia="宋体" w:cs="宋体"/>
                <w:sz w:val="18"/>
                <w:szCs w:val="18"/>
              </w:rPr>
              <w:t>236,572.63</w:t>
            </w:r>
          </w:p>
        </w:tc>
        <w:tc>
          <w:tcPr>
            <w:tcW w:w="1377" w:type="dxa"/>
            <w:tcBorders>
              <w:top w:val="single" w:color="auto" w:sz="2" w:space="0"/>
              <w:left w:val="single" w:color="auto" w:sz="2" w:space="0"/>
              <w:bottom w:val="single" w:color="auto" w:sz="2" w:space="0"/>
              <w:right w:val="single" w:color="auto" w:sz="2" w:space="0"/>
            </w:tcBorders>
            <w:vAlign w:val="center"/>
          </w:tcPr>
          <w:p w14:paraId="1A0CC09F">
            <w:pPr>
              <w:spacing w:line="240" w:lineRule="exact"/>
              <w:jc w:val="right"/>
              <w:rPr>
                <w:rFonts w:ascii="宋体" w:hAnsi="宋体" w:eastAsia="宋体" w:cs="宋体"/>
                <w:sz w:val="18"/>
                <w:szCs w:val="18"/>
              </w:rPr>
            </w:pPr>
            <w:r>
              <w:rPr>
                <w:rFonts w:ascii="宋体" w:hAnsi="宋体" w:eastAsia="宋体" w:cs="宋体"/>
                <w:sz w:val="18"/>
                <w:szCs w:val="18"/>
              </w:rPr>
              <w:t>37,317,545.82</w:t>
            </w:r>
          </w:p>
        </w:tc>
      </w:tr>
      <w:tr w14:paraId="05755E4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609036">
            <w:pPr>
              <w:spacing w:before="40" w:after="40" w:line="240" w:lineRule="exact"/>
              <w:rPr>
                <w:rFonts w:ascii="宋体" w:hAnsi="宋体" w:eastAsia="宋体" w:cs="宋体"/>
                <w:sz w:val="18"/>
                <w:szCs w:val="18"/>
              </w:rPr>
            </w:pPr>
            <w:r>
              <w:rPr>
                <w:rFonts w:ascii="宋体" w:hAnsi="宋体" w:eastAsia="宋体" w:cs="宋体"/>
                <w:sz w:val="18"/>
                <w:szCs w:val="18"/>
              </w:rPr>
              <w:t>二、累计摊销</w:t>
            </w:r>
          </w:p>
        </w:tc>
        <w:tc>
          <w:tcPr>
            <w:tcW w:w="1377" w:type="dxa"/>
            <w:tcBorders>
              <w:top w:val="single" w:color="auto" w:sz="2" w:space="0"/>
              <w:left w:val="single" w:color="auto" w:sz="2" w:space="0"/>
              <w:bottom w:val="single" w:color="auto" w:sz="2" w:space="0"/>
              <w:right w:val="single" w:color="auto" w:sz="2" w:space="0"/>
            </w:tcBorders>
            <w:vAlign w:val="center"/>
          </w:tcPr>
          <w:p w14:paraId="64890BC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896D3C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D47290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DFD99C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50155E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48C333">
            <w:pPr>
              <w:spacing w:line="240" w:lineRule="exact"/>
              <w:jc w:val="right"/>
              <w:rPr>
                <w:rFonts w:ascii="宋体" w:hAnsi="宋体" w:eastAsia="宋体" w:cs="宋体"/>
                <w:sz w:val="18"/>
                <w:szCs w:val="18"/>
              </w:rPr>
            </w:pPr>
          </w:p>
        </w:tc>
      </w:tr>
      <w:tr w14:paraId="608B23C4">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2AED96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1377" w:type="dxa"/>
            <w:tcBorders>
              <w:top w:val="single" w:color="auto" w:sz="2" w:space="0"/>
              <w:left w:val="single" w:color="auto" w:sz="2" w:space="0"/>
              <w:bottom w:val="single" w:color="auto" w:sz="2" w:space="0"/>
              <w:right w:val="single" w:color="auto" w:sz="2" w:space="0"/>
            </w:tcBorders>
            <w:vAlign w:val="center"/>
          </w:tcPr>
          <w:p w14:paraId="08D832AC">
            <w:pPr>
              <w:spacing w:line="240" w:lineRule="exact"/>
              <w:jc w:val="right"/>
              <w:rPr>
                <w:rFonts w:ascii="宋体" w:hAnsi="宋体" w:eastAsia="宋体" w:cs="宋体"/>
                <w:sz w:val="18"/>
                <w:szCs w:val="18"/>
              </w:rPr>
            </w:pPr>
            <w:r>
              <w:rPr>
                <w:rFonts w:ascii="宋体" w:hAnsi="宋体" w:eastAsia="宋体" w:cs="宋体"/>
                <w:sz w:val="18"/>
                <w:szCs w:val="18"/>
              </w:rPr>
              <w:t>2,813,700.24</w:t>
            </w:r>
          </w:p>
        </w:tc>
        <w:tc>
          <w:tcPr>
            <w:tcW w:w="1377" w:type="dxa"/>
            <w:tcBorders>
              <w:top w:val="single" w:color="auto" w:sz="2" w:space="0"/>
              <w:left w:val="single" w:color="auto" w:sz="2" w:space="0"/>
              <w:bottom w:val="single" w:color="auto" w:sz="2" w:space="0"/>
              <w:right w:val="single" w:color="auto" w:sz="2" w:space="0"/>
            </w:tcBorders>
            <w:vAlign w:val="center"/>
          </w:tcPr>
          <w:p w14:paraId="691C9E9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FC065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48C3B2E">
            <w:pPr>
              <w:spacing w:line="240" w:lineRule="exact"/>
              <w:jc w:val="right"/>
              <w:rPr>
                <w:rFonts w:ascii="宋体" w:hAnsi="宋体" w:eastAsia="宋体" w:cs="宋体"/>
                <w:sz w:val="18"/>
                <w:szCs w:val="18"/>
              </w:rPr>
            </w:pPr>
            <w:r>
              <w:rPr>
                <w:rFonts w:ascii="宋体" w:hAnsi="宋体" w:eastAsia="宋体" w:cs="宋体"/>
                <w:sz w:val="18"/>
                <w:szCs w:val="18"/>
              </w:rPr>
              <w:t>21,733,000.00</w:t>
            </w:r>
          </w:p>
        </w:tc>
        <w:tc>
          <w:tcPr>
            <w:tcW w:w="1377" w:type="dxa"/>
            <w:tcBorders>
              <w:top w:val="single" w:color="auto" w:sz="2" w:space="0"/>
              <w:left w:val="single" w:color="auto" w:sz="2" w:space="0"/>
              <w:bottom w:val="single" w:color="auto" w:sz="2" w:space="0"/>
              <w:right w:val="single" w:color="auto" w:sz="2" w:space="0"/>
            </w:tcBorders>
            <w:vAlign w:val="center"/>
          </w:tcPr>
          <w:p w14:paraId="32C72C0D">
            <w:pPr>
              <w:spacing w:line="240" w:lineRule="exact"/>
              <w:jc w:val="right"/>
              <w:rPr>
                <w:rFonts w:ascii="宋体" w:hAnsi="宋体" w:eastAsia="宋体" w:cs="宋体"/>
                <w:sz w:val="18"/>
                <w:szCs w:val="18"/>
              </w:rPr>
            </w:pPr>
            <w:r>
              <w:rPr>
                <w:rFonts w:ascii="宋体" w:hAnsi="宋体" w:eastAsia="宋体" w:cs="宋体"/>
                <w:sz w:val="18"/>
                <w:szCs w:val="18"/>
              </w:rPr>
              <w:t>201,985.37</w:t>
            </w:r>
          </w:p>
        </w:tc>
        <w:tc>
          <w:tcPr>
            <w:tcW w:w="1377" w:type="dxa"/>
            <w:tcBorders>
              <w:top w:val="single" w:color="auto" w:sz="2" w:space="0"/>
              <w:left w:val="single" w:color="auto" w:sz="2" w:space="0"/>
              <w:bottom w:val="single" w:color="auto" w:sz="2" w:space="0"/>
              <w:right w:val="single" w:color="auto" w:sz="2" w:space="0"/>
            </w:tcBorders>
            <w:vAlign w:val="center"/>
          </w:tcPr>
          <w:p w14:paraId="1DF1CE7C">
            <w:pPr>
              <w:spacing w:line="240" w:lineRule="exact"/>
              <w:jc w:val="right"/>
              <w:rPr>
                <w:rFonts w:ascii="宋体" w:hAnsi="宋体" w:eastAsia="宋体" w:cs="宋体"/>
                <w:sz w:val="18"/>
                <w:szCs w:val="18"/>
              </w:rPr>
            </w:pPr>
            <w:r>
              <w:rPr>
                <w:rFonts w:ascii="宋体" w:hAnsi="宋体" w:eastAsia="宋体" w:cs="宋体"/>
                <w:sz w:val="18"/>
                <w:szCs w:val="18"/>
              </w:rPr>
              <w:t>24,748,685.61</w:t>
            </w:r>
          </w:p>
        </w:tc>
      </w:tr>
      <w:tr w14:paraId="0749BC7F">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E8034C">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1377" w:type="dxa"/>
            <w:tcBorders>
              <w:top w:val="single" w:color="auto" w:sz="2" w:space="0"/>
              <w:left w:val="single" w:color="auto" w:sz="2" w:space="0"/>
              <w:bottom w:val="single" w:color="auto" w:sz="2" w:space="0"/>
              <w:right w:val="single" w:color="auto" w:sz="2" w:space="0"/>
            </w:tcBorders>
            <w:vAlign w:val="center"/>
          </w:tcPr>
          <w:p w14:paraId="63D3666E">
            <w:pPr>
              <w:spacing w:line="240" w:lineRule="exact"/>
              <w:jc w:val="right"/>
              <w:rPr>
                <w:rFonts w:ascii="宋体" w:hAnsi="宋体" w:eastAsia="宋体" w:cs="宋体"/>
                <w:sz w:val="18"/>
                <w:szCs w:val="18"/>
              </w:rPr>
            </w:pPr>
            <w:r>
              <w:rPr>
                <w:rFonts w:ascii="宋体" w:hAnsi="宋体" w:eastAsia="宋体" w:cs="宋体"/>
                <w:sz w:val="18"/>
                <w:szCs w:val="18"/>
              </w:rPr>
              <w:t>72,146.16</w:t>
            </w:r>
          </w:p>
        </w:tc>
        <w:tc>
          <w:tcPr>
            <w:tcW w:w="1377" w:type="dxa"/>
            <w:tcBorders>
              <w:top w:val="single" w:color="auto" w:sz="2" w:space="0"/>
              <w:left w:val="single" w:color="auto" w:sz="2" w:space="0"/>
              <w:bottom w:val="single" w:color="auto" w:sz="2" w:space="0"/>
              <w:right w:val="single" w:color="auto" w:sz="2" w:space="0"/>
            </w:tcBorders>
            <w:vAlign w:val="center"/>
          </w:tcPr>
          <w:p w14:paraId="400D726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EB07E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9BEA8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806E24">
            <w:pPr>
              <w:spacing w:line="240" w:lineRule="exact"/>
              <w:jc w:val="right"/>
              <w:rPr>
                <w:rFonts w:ascii="宋体" w:hAnsi="宋体" w:eastAsia="宋体" w:cs="宋体"/>
                <w:sz w:val="18"/>
                <w:szCs w:val="18"/>
              </w:rPr>
            </w:pPr>
            <w:r>
              <w:rPr>
                <w:rFonts w:ascii="宋体" w:hAnsi="宋体" w:eastAsia="宋体" w:cs="宋体"/>
                <w:sz w:val="18"/>
                <w:szCs w:val="18"/>
              </w:rPr>
              <w:t>4,611.66</w:t>
            </w:r>
          </w:p>
        </w:tc>
        <w:tc>
          <w:tcPr>
            <w:tcW w:w="1377" w:type="dxa"/>
            <w:tcBorders>
              <w:top w:val="single" w:color="auto" w:sz="2" w:space="0"/>
              <w:left w:val="single" w:color="auto" w:sz="2" w:space="0"/>
              <w:bottom w:val="single" w:color="auto" w:sz="2" w:space="0"/>
              <w:right w:val="single" w:color="auto" w:sz="2" w:space="0"/>
            </w:tcBorders>
            <w:vAlign w:val="center"/>
          </w:tcPr>
          <w:p w14:paraId="730E5116">
            <w:pPr>
              <w:spacing w:line="240" w:lineRule="exact"/>
              <w:jc w:val="right"/>
              <w:rPr>
                <w:rFonts w:ascii="宋体" w:hAnsi="宋体" w:eastAsia="宋体" w:cs="宋体"/>
                <w:sz w:val="18"/>
                <w:szCs w:val="18"/>
              </w:rPr>
            </w:pPr>
            <w:r>
              <w:rPr>
                <w:rFonts w:ascii="宋体" w:hAnsi="宋体" w:eastAsia="宋体" w:cs="宋体"/>
                <w:sz w:val="18"/>
                <w:szCs w:val="18"/>
              </w:rPr>
              <w:t>76,757.82</w:t>
            </w:r>
          </w:p>
        </w:tc>
      </w:tr>
      <w:tr w14:paraId="231398E6">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D0FF39">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（1）计提</w:t>
            </w:r>
          </w:p>
        </w:tc>
        <w:tc>
          <w:tcPr>
            <w:tcW w:w="1377" w:type="dxa"/>
            <w:tcBorders>
              <w:top w:val="single" w:color="auto" w:sz="2" w:space="0"/>
              <w:left w:val="single" w:color="auto" w:sz="2" w:space="0"/>
              <w:bottom w:val="single" w:color="auto" w:sz="2" w:space="0"/>
              <w:right w:val="single" w:color="auto" w:sz="2" w:space="0"/>
            </w:tcBorders>
            <w:vAlign w:val="center"/>
          </w:tcPr>
          <w:p w14:paraId="16DBF232">
            <w:pPr>
              <w:spacing w:line="240" w:lineRule="exact"/>
              <w:jc w:val="right"/>
              <w:rPr>
                <w:rFonts w:ascii="宋体" w:hAnsi="宋体" w:eastAsia="宋体" w:cs="宋体"/>
                <w:sz w:val="18"/>
                <w:szCs w:val="18"/>
              </w:rPr>
            </w:pPr>
            <w:r>
              <w:rPr>
                <w:rFonts w:ascii="宋体" w:hAnsi="宋体" w:eastAsia="宋体" w:cs="宋体"/>
                <w:sz w:val="18"/>
                <w:szCs w:val="18"/>
              </w:rPr>
              <w:t>72,146.16</w:t>
            </w:r>
          </w:p>
        </w:tc>
        <w:tc>
          <w:tcPr>
            <w:tcW w:w="1377" w:type="dxa"/>
            <w:tcBorders>
              <w:top w:val="single" w:color="auto" w:sz="2" w:space="0"/>
              <w:left w:val="single" w:color="auto" w:sz="2" w:space="0"/>
              <w:bottom w:val="single" w:color="auto" w:sz="2" w:space="0"/>
              <w:right w:val="single" w:color="auto" w:sz="2" w:space="0"/>
            </w:tcBorders>
            <w:vAlign w:val="center"/>
          </w:tcPr>
          <w:p w14:paraId="0EE71C6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338F2F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CD778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77007D5">
            <w:pPr>
              <w:spacing w:line="240" w:lineRule="exact"/>
              <w:jc w:val="right"/>
              <w:rPr>
                <w:rFonts w:ascii="宋体" w:hAnsi="宋体" w:eastAsia="宋体" w:cs="宋体"/>
                <w:sz w:val="18"/>
                <w:szCs w:val="18"/>
              </w:rPr>
            </w:pPr>
            <w:r>
              <w:rPr>
                <w:rFonts w:ascii="宋体" w:hAnsi="宋体" w:eastAsia="宋体" w:cs="宋体"/>
                <w:sz w:val="18"/>
                <w:szCs w:val="18"/>
              </w:rPr>
              <w:t>4,611.66</w:t>
            </w:r>
          </w:p>
        </w:tc>
        <w:tc>
          <w:tcPr>
            <w:tcW w:w="1377" w:type="dxa"/>
            <w:tcBorders>
              <w:top w:val="single" w:color="auto" w:sz="2" w:space="0"/>
              <w:left w:val="single" w:color="auto" w:sz="2" w:space="0"/>
              <w:bottom w:val="single" w:color="auto" w:sz="2" w:space="0"/>
              <w:right w:val="single" w:color="auto" w:sz="2" w:space="0"/>
            </w:tcBorders>
            <w:vAlign w:val="center"/>
          </w:tcPr>
          <w:p w14:paraId="2FE94548">
            <w:pPr>
              <w:spacing w:line="240" w:lineRule="exact"/>
              <w:jc w:val="right"/>
              <w:rPr>
                <w:rFonts w:ascii="宋体" w:hAnsi="宋体" w:eastAsia="宋体" w:cs="宋体"/>
                <w:sz w:val="18"/>
                <w:szCs w:val="18"/>
              </w:rPr>
            </w:pPr>
            <w:r>
              <w:rPr>
                <w:rFonts w:ascii="宋体" w:hAnsi="宋体" w:eastAsia="宋体" w:cs="宋体"/>
                <w:sz w:val="18"/>
                <w:szCs w:val="18"/>
              </w:rPr>
              <w:t>76,757.82</w:t>
            </w:r>
          </w:p>
        </w:tc>
      </w:tr>
      <w:tr w14:paraId="3F2B3EEC">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1DD7CCE">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09CF1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85A808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02308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0BC72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E46B3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F28028">
            <w:pPr>
              <w:spacing w:line="240" w:lineRule="exact"/>
              <w:jc w:val="right"/>
              <w:rPr>
                <w:rFonts w:ascii="宋体" w:hAnsi="宋体" w:eastAsia="宋体" w:cs="宋体"/>
                <w:sz w:val="18"/>
                <w:szCs w:val="18"/>
              </w:rPr>
            </w:pPr>
          </w:p>
        </w:tc>
      </w:tr>
      <w:tr w14:paraId="5F35C3D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19C61D">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1377" w:type="dxa"/>
            <w:tcBorders>
              <w:top w:val="single" w:color="auto" w:sz="2" w:space="0"/>
              <w:left w:val="single" w:color="auto" w:sz="2" w:space="0"/>
              <w:bottom w:val="single" w:color="auto" w:sz="2" w:space="0"/>
              <w:right w:val="single" w:color="auto" w:sz="2" w:space="0"/>
            </w:tcBorders>
            <w:vAlign w:val="center"/>
          </w:tcPr>
          <w:p w14:paraId="6CD2335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0813D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BED7EA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2100A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A229F7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4C9D27">
            <w:pPr>
              <w:spacing w:line="240" w:lineRule="exact"/>
              <w:jc w:val="right"/>
              <w:rPr>
                <w:rFonts w:ascii="宋体" w:hAnsi="宋体" w:eastAsia="宋体" w:cs="宋体"/>
                <w:sz w:val="18"/>
                <w:szCs w:val="18"/>
              </w:rPr>
            </w:pPr>
          </w:p>
        </w:tc>
      </w:tr>
      <w:tr w14:paraId="246F4D08">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CA73E24">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w:t>
            </w:r>
          </w:p>
        </w:tc>
        <w:tc>
          <w:tcPr>
            <w:tcW w:w="1377" w:type="dxa"/>
            <w:tcBorders>
              <w:top w:val="single" w:color="auto" w:sz="2" w:space="0"/>
              <w:left w:val="single" w:color="auto" w:sz="2" w:space="0"/>
              <w:bottom w:val="single" w:color="auto" w:sz="2" w:space="0"/>
              <w:right w:val="single" w:color="auto" w:sz="2" w:space="0"/>
            </w:tcBorders>
            <w:vAlign w:val="center"/>
          </w:tcPr>
          <w:p w14:paraId="2707AA8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C266A9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D30EE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EE64E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A15D8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8E4164">
            <w:pPr>
              <w:spacing w:line="240" w:lineRule="exact"/>
              <w:jc w:val="right"/>
              <w:rPr>
                <w:rFonts w:ascii="宋体" w:hAnsi="宋体" w:eastAsia="宋体" w:cs="宋体"/>
                <w:sz w:val="18"/>
                <w:szCs w:val="18"/>
              </w:rPr>
            </w:pPr>
          </w:p>
        </w:tc>
      </w:tr>
      <w:tr w14:paraId="312CBDFB">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CEAEC1E">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712E4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099C3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BB6AF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04207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5D367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7FFF37B">
            <w:pPr>
              <w:spacing w:line="240" w:lineRule="exact"/>
              <w:jc w:val="right"/>
              <w:rPr>
                <w:rFonts w:ascii="宋体" w:hAnsi="宋体" w:eastAsia="宋体" w:cs="宋体"/>
                <w:sz w:val="18"/>
                <w:szCs w:val="18"/>
              </w:rPr>
            </w:pPr>
          </w:p>
        </w:tc>
      </w:tr>
      <w:tr w14:paraId="5FCC4F46">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C81093F">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1377" w:type="dxa"/>
            <w:tcBorders>
              <w:top w:val="single" w:color="auto" w:sz="2" w:space="0"/>
              <w:left w:val="single" w:color="auto" w:sz="2" w:space="0"/>
              <w:bottom w:val="single" w:color="auto" w:sz="2" w:space="0"/>
              <w:right w:val="single" w:color="auto" w:sz="2" w:space="0"/>
            </w:tcBorders>
            <w:vAlign w:val="center"/>
          </w:tcPr>
          <w:p w14:paraId="1D4C7F2B">
            <w:pPr>
              <w:spacing w:line="240" w:lineRule="exact"/>
              <w:jc w:val="right"/>
              <w:rPr>
                <w:rFonts w:ascii="宋体" w:hAnsi="宋体" w:eastAsia="宋体" w:cs="宋体"/>
                <w:sz w:val="18"/>
                <w:szCs w:val="18"/>
              </w:rPr>
            </w:pPr>
            <w:r>
              <w:rPr>
                <w:rFonts w:ascii="宋体" w:hAnsi="宋体" w:eastAsia="宋体" w:cs="宋体"/>
                <w:sz w:val="18"/>
                <w:szCs w:val="18"/>
              </w:rPr>
              <w:t>2,885,846.40</w:t>
            </w:r>
          </w:p>
        </w:tc>
        <w:tc>
          <w:tcPr>
            <w:tcW w:w="1377" w:type="dxa"/>
            <w:tcBorders>
              <w:top w:val="single" w:color="auto" w:sz="2" w:space="0"/>
              <w:left w:val="single" w:color="auto" w:sz="2" w:space="0"/>
              <w:bottom w:val="single" w:color="auto" w:sz="2" w:space="0"/>
              <w:right w:val="single" w:color="auto" w:sz="2" w:space="0"/>
            </w:tcBorders>
            <w:vAlign w:val="center"/>
          </w:tcPr>
          <w:p w14:paraId="1AB760D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0A4E1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621D6D">
            <w:pPr>
              <w:spacing w:line="240" w:lineRule="exact"/>
              <w:jc w:val="right"/>
              <w:rPr>
                <w:rFonts w:ascii="宋体" w:hAnsi="宋体" w:eastAsia="宋体" w:cs="宋体"/>
                <w:sz w:val="18"/>
                <w:szCs w:val="18"/>
              </w:rPr>
            </w:pPr>
            <w:r>
              <w:rPr>
                <w:rFonts w:ascii="宋体" w:hAnsi="宋体" w:eastAsia="宋体" w:cs="宋体"/>
                <w:sz w:val="18"/>
                <w:szCs w:val="18"/>
              </w:rPr>
              <w:t>21,733,000.00</w:t>
            </w:r>
          </w:p>
        </w:tc>
        <w:tc>
          <w:tcPr>
            <w:tcW w:w="1377" w:type="dxa"/>
            <w:tcBorders>
              <w:top w:val="single" w:color="auto" w:sz="2" w:space="0"/>
              <w:left w:val="single" w:color="auto" w:sz="2" w:space="0"/>
              <w:bottom w:val="single" w:color="auto" w:sz="2" w:space="0"/>
              <w:right w:val="single" w:color="auto" w:sz="2" w:space="0"/>
            </w:tcBorders>
            <w:vAlign w:val="center"/>
          </w:tcPr>
          <w:p w14:paraId="650F8F00">
            <w:pPr>
              <w:spacing w:line="240" w:lineRule="exact"/>
              <w:jc w:val="right"/>
              <w:rPr>
                <w:rFonts w:ascii="宋体" w:hAnsi="宋体" w:eastAsia="宋体" w:cs="宋体"/>
                <w:sz w:val="18"/>
                <w:szCs w:val="18"/>
              </w:rPr>
            </w:pPr>
            <w:r>
              <w:rPr>
                <w:rFonts w:ascii="宋体" w:hAnsi="宋体" w:eastAsia="宋体" w:cs="宋体"/>
                <w:sz w:val="18"/>
                <w:szCs w:val="18"/>
              </w:rPr>
              <w:t>206,597.03</w:t>
            </w:r>
          </w:p>
        </w:tc>
        <w:tc>
          <w:tcPr>
            <w:tcW w:w="1377" w:type="dxa"/>
            <w:tcBorders>
              <w:top w:val="single" w:color="auto" w:sz="2" w:space="0"/>
              <w:left w:val="single" w:color="auto" w:sz="2" w:space="0"/>
              <w:bottom w:val="single" w:color="auto" w:sz="2" w:space="0"/>
              <w:right w:val="single" w:color="auto" w:sz="2" w:space="0"/>
            </w:tcBorders>
            <w:vAlign w:val="center"/>
          </w:tcPr>
          <w:p w14:paraId="20EDD9E1">
            <w:pPr>
              <w:spacing w:line="240" w:lineRule="exact"/>
              <w:jc w:val="right"/>
              <w:rPr>
                <w:rFonts w:ascii="宋体" w:hAnsi="宋体" w:eastAsia="宋体" w:cs="宋体"/>
                <w:sz w:val="18"/>
                <w:szCs w:val="18"/>
              </w:rPr>
            </w:pPr>
            <w:r>
              <w:rPr>
                <w:rFonts w:ascii="宋体" w:hAnsi="宋体" w:eastAsia="宋体" w:cs="宋体"/>
                <w:sz w:val="18"/>
                <w:szCs w:val="18"/>
              </w:rPr>
              <w:t>24,825,443.43</w:t>
            </w:r>
          </w:p>
        </w:tc>
      </w:tr>
      <w:tr w14:paraId="242F3B35">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0A15A9">
            <w:pPr>
              <w:spacing w:before="40" w:after="40" w:line="240" w:lineRule="exact"/>
              <w:rPr>
                <w:rFonts w:ascii="宋体" w:hAnsi="宋体" w:eastAsia="宋体" w:cs="宋体"/>
                <w:sz w:val="18"/>
                <w:szCs w:val="18"/>
              </w:rPr>
            </w:pPr>
            <w:r>
              <w:rPr>
                <w:rFonts w:ascii="宋体" w:hAnsi="宋体" w:eastAsia="宋体" w:cs="宋体"/>
                <w:sz w:val="18"/>
                <w:szCs w:val="18"/>
              </w:rPr>
              <w:t>三、减值准备</w:t>
            </w:r>
          </w:p>
        </w:tc>
        <w:tc>
          <w:tcPr>
            <w:tcW w:w="1377" w:type="dxa"/>
            <w:tcBorders>
              <w:top w:val="single" w:color="auto" w:sz="2" w:space="0"/>
              <w:left w:val="single" w:color="auto" w:sz="2" w:space="0"/>
              <w:bottom w:val="single" w:color="auto" w:sz="2" w:space="0"/>
              <w:right w:val="single" w:color="auto" w:sz="2" w:space="0"/>
            </w:tcBorders>
            <w:vAlign w:val="center"/>
          </w:tcPr>
          <w:p w14:paraId="69EDB71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956D6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293F5C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148541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ECFDCA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514776">
            <w:pPr>
              <w:spacing w:line="240" w:lineRule="exact"/>
              <w:jc w:val="right"/>
              <w:rPr>
                <w:rFonts w:ascii="宋体" w:hAnsi="宋体" w:eastAsia="宋体" w:cs="宋体"/>
                <w:sz w:val="18"/>
                <w:szCs w:val="18"/>
              </w:rPr>
            </w:pPr>
          </w:p>
        </w:tc>
      </w:tr>
      <w:tr w14:paraId="04B8591D">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2FF22B7">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1.期初余额</w:t>
            </w:r>
          </w:p>
        </w:tc>
        <w:tc>
          <w:tcPr>
            <w:tcW w:w="1377" w:type="dxa"/>
            <w:tcBorders>
              <w:top w:val="single" w:color="auto" w:sz="2" w:space="0"/>
              <w:left w:val="single" w:color="auto" w:sz="2" w:space="0"/>
              <w:bottom w:val="single" w:color="auto" w:sz="2" w:space="0"/>
              <w:right w:val="single" w:color="auto" w:sz="2" w:space="0"/>
            </w:tcBorders>
            <w:vAlign w:val="center"/>
          </w:tcPr>
          <w:p w14:paraId="50E3A4B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833D3D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525ECF">
            <w:pPr>
              <w:spacing w:line="240" w:lineRule="exact"/>
              <w:jc w:val="right"/>
              <w:rPr>
                <w:rFonts w:ascii="宋体" w:hAnsi="宋体" w:eastAsia="宋体" w:cs="宋体"/>
                <w:sz w:val="18"/>
                <w:szCs w:val="18"/>
              </w:rPr>
            </w:pPr>
            <w:r>
              <w:rPr>
                <w:rFonts w:ascii="宋体" w:hAnsi="宋体" w:eastAsia="宋体" w:cs="宋体"/>
                <w:sz w:val="18"/>
                <w:szCs w:val="18"/>
              </w:rPr>
              <w:t>8,133,356.00</w:t>
            </w:r>
          </w:p>
        </w:tc>
        <w:tc>
          <w:tcPr>
            <w:tcW w:w="1377" w:type="dxa"/>
            <w:tcBorders>
              <w:top w:val="single" w:color="auto" w:sz="2" w:space="0"/>
              <w:left w:val="single" w:color="auto" w:sz="2" w:space="0"/>
              <w:bottom w:val="single" w:color="auto" w:sz="2" w:space="0"/>
              <w:right w:val="single" w:color="auto" w:sz="2" w:space="0"/>
            </w:tcBorders>
            <w:vAlign w:val="center"/>
          </w:tcPr>
          <w:p w14:paraId="7E0BE92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FCD26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21048C">
            <w:pPr>
              <w:spacing w:line="240" w:lineRule="exact"/>
              <w:jc w:val="right"/>
              <w:rPr>
                <w:rFonts w:ascii="宋体" w:hAnsi="宋体" w:eastAsia="宋体" w:cs="宋体"/>
                <w:sz w:val="18"/>
                <w:szCs w:val="18"/>
              </w:rPr>
            </w:pPr>
            <w:r>
              <w:rPr>
                <w:rFonts w:ascii="宋体" w:hAnsi="宋体" w:eastAsia="宋体" w:cs="宋体"/>
                <w:sz w:val="18"/>
                <w:szCs w:val="18"/>
              </w:rPr>
              <w:t>8,133,356.00</w:t>
            </w:r>
          </w:p>
        </w:tc>
      </w:tr>
      <w:tr w14:paraId="2DFB1AB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3F5061">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2.本期增加金额</w:t>
            </w:r>
          </w:p>
        </w:tc>
        <w:tc>
          <w:tcPr>
            <w:tcW w:w="1377" w:type="dxa"/>
            <w:tcBorders>
              <w:top w:val="single" w:color="auto" w:sz="2" w:space="0"/>
              <w:left w:val="single" w:color="auto" w:sz="2" w:space="0"/>
              <w:bottom w:val="single" w:color="auto" w:sz="2" w:space="0"/>
              <w:right w:val="single" w:color="auto" w:sz="2" w:space="0"/>
            </w:tcBorders>
            <w:vAlign w:val="center"/>
          </w:tcPr>
          <w:p w14:paraId="2AFB5E7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641B8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7FEBA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7FF33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0A2F38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6664F3F">
            <w:pPr>
              <w:spacing w:line="240" w:lineRule="exact"/>
              <w:jc w:val="right"/>
              <w:rPr>
                <w:rFonts w:ascii="宋体" w:hAnsi="宋体" w:eastAsia="宋体" w:cs="宋体"/>
                <w:sz w:val="18"/>
                <w:szCs w:val="18"/>
              </w:rPr>
            </w:pPr>
          </w:p>
        </w:tc>
      </w:tr>
      <w:tr w14:paraId="2F12AA2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3D0832">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（1）计提</w:t>
            </w:r>
          </w:p>
        </w:tc>
        <w:tc>
          <w:tcPr>
            <w:tcW w:w="1377" w:type="dxa"/>
            <w:tcBorders>
              <w:top w:val="single" w:color="auto" w:sz="2" w:space="0"/>
              <w:left w:val="single" w:color="auto" w:sz="2" w:space="0"/>
              <w:bottom w:val="single" w:color="auto" w:sz="2" w:space="0"/>
              <w:right w:val="single" w:color="auto" w:sz="2" w:space="0"/>
            </w:tcBorders>
            <w:vAlign w:val="center"/>
          </w:tcPr>
          <w:p w14:paraId="6170299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F8BEB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FB8DD5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1096F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7D6B3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85CCE8">
            <w:pPr>
              <w:spacing w:line="240" w:lineRule="exact"/>
              <w:jc w:val="right"/>
              <w:rPr>
                <w:rFonts w:ascii="宋体" w:hAnsi="宋体" w:eastAsia="宋体" w:cs="宋体"/>
                <w:sz w:val="18"/>
                <w:szCs w:val="18"/>
              </w:rPr>
            </w:pPr>
          </w:p>
        </w:tc>
      </w:tr>
      <w:tr w14:paraId="373A4CC2">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A16C47A">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67C778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015B0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F0D896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55D5CA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B7923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271EA68">
            <w:pPr>
              <w:spacing w:line="240" w:lineRule="exact"/>
              <w:jc w:val="right"/>
              <w:rPr>
                <w:rFonts w:ascii="宋体" w:hAnsi="宋体" w:eastAsia="宋体" w:cs="宋体"/>
                <w:sz w:val="18"/>
                <w:szCs w:val="18"/>
              </w:rPr>
            </w:pPr>
          </w:p>
        </w:tc>
      </w:tr>
      <w:tr w14:paraId="6867BCE3">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29F7210">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3.本期减少金额</w:t>
            </w:r>
          </w:p>
        </w:tc>
        <w:tc>
          <w:tcPr>
            <w:tcW w:w="1377" w:type="dxa"/>
            <w:tcBorders>
              <w:top w:val="single" w:color="auto" w:sz="2" w:space="0"/>
              <w:left w:val="single" w:color="auto" w:sz="2" w:space="0"/>
              <w:bottom w:val="single" w:color="auto" w:sz="2" w:space="0"/>
              <w:right w:val="single" w:color="auto" w:sz="2" w:space="0"/>
            </w:tcBorders>
            <w:vAlign w:val="center"/>
          </w:tcPr>
          <w:p w14:paraId="49E7A38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67887F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0420F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71533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9304C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2B3A48">
            <w:pPr>
              <w:spacing w:line="240" w:lineRule="exact"/>
              <w:jc w:val="right"/>
              <w:rPr>
                <w:rFonts w:ascii="宋体" w:hAnsi="宋体" w:eastAsia="宋体" w:cs="宋体"/>
                <w:sz w:val="18"/>
                <w:szCs w:val="18"/>
              </w:rPr>
            </w:pPr>
          </w:p>
        </w:tc>
      </w:tr>
      <w:tr w14:paraId="6351CA6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EC63D7C">
            <w:pPr>
              <w:spacing w:before="40" w:after="40" w:line="240" w:lineRule="exact"/>
              <w:ind w:firstLine="720" w:firstLineChars="400"/>
              <w:rPr>
                <w:rFonts w:ascii="宋体" w:hAnsi="宋体" w:eastAsia="宋体" w:cs="宋体"/>
                <w:sz w:val="18"/>
                <w:szCs w:val="18"/>
              </w:rPr>
            </w:pPr>
            <w:r>
              <w:rPr>
                <w:rFonts w:ascii="宋体" w:hAnsi="宋体" w:eastAsia="宋体" w:cs="宋体"/>
                <w:sz w:val="18"/>
                <w:szCs w:val="18"/>
              </w:rPr>
              <w:t>（1）处置</w:t>
            </w:r>
          </w:p>
        </w:tc>
        <w:tc>
          <w:tcPr>
            <w:tcW w:w="1377" w:type="dxa"/>
            <w:tcBorders>
              <w:top w:val="single" w:color="auto" w:sz="2" w:space="0"/>
              <w:left w:val="single" w:color="auto" w:sz="2" w:space="0"/>
              <w:bottom w:val="single" w:color="auto" w:sz="2" w:space="0"/>
              <w:right w:val="single" w:color="auto" w:sz="2" w:space="0"/>
            </w:tcBorders>
            <w:vAlign w:val="center"/>
          </w:tcPr>
          <w:p w14:paraId="4631A2E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433E4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3B8F2C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466CC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C7AF6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A133ED">
            <w:pPr>
              <w:spacing w:line="240" w:lineRule="exact"/>
              <w:jc w:val="right"/>
              <w:rPr>
                <w:rFonts w:ascii="宋体" w:hAnsi="宋体" w:eastAsia="宋体" w:cs="宋体"/>
                <w:sz w:val="18"/>
                <w:szCs w:val="18"/>
              </w:rPr>
            </w:pPr>
          </w:p>
        </w:tc>
      </w:tr>
      <w:tr w14:paraId="74B07AED">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3CF0AA4">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8D8100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3EB4C8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4E2F60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04A24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D3AD0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1A0E650">
            <w:pPr>
              <w:spacing w:line="240" w:lineRule="exact"/>
              <w:jc w:val="right"/>
              <w:rPr>
                <w:rFonts w:ascii="宋体" w:hAnsi="宋体" w:eastAsia="宋体" w:cs="宋体"/>
                <w:sz w:val="18"/>
                <w:szCs w:val="18"/>
              </w:rPr>
            </w:pPr>
          </w:p>
        </w:tc>
      </w:tr>
      <w:tr w14:paraId="2E1C0A44">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68DD9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4.期末余额</w:t>
            </w:r>
          </w:p>
        </w:tc>
        <w:tc>
          <w:tcPr>
            <w:tcW w:w="1377" w:type="dxa"/>
            <w:tcBorders>
              <w:top w:val="single" w:color="auto" w:sz="2" w:space="0"/>
              <w:left w:val="single" w:color="auto" w:sz="2" w:space="0"/>
              <w:bottom w:val="single" w:color="auto" w:sz="2" w:space="0"/>
              <w:right w:val="single" w:color="auto" w:sz="2" w:space="0"/>
            </w:tcBorders>
            <w:vAlign w:val="center"/>
          </w:tcPr>
          <w:p w14:paraId="1F08ED1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7CC7B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06F6C6">
            <w:pPr>
              <w:spacing w:line="240" w:lineRule="exact"/>
              <w:jc w:val="right"/>
              <w:rPr>
                <w:rFonts w:ascii="宋体" w:hAnsi="宋体" w:eastAsia="宋体" w:cs="宋体"/>
                <w:sz w:val="18"/>
                <w:szCs w:val="18"/>
              </w:rPr>
            </w:pPr>
            <w:r>
              <w:rPr>
                <w:rFonts w:ascii="宋体" w:hAnsi="宋体" w:eastAsia="宋体" w:cs="宋体"/>
                <w:sz w:val="18"/>
                <w:szCs w:val="18"/>
              </w:rPr>
              <w:t>8,133,356.00</w:t>
            </w:r>
          </w:p>
        </w:tc>
        <w:tc>
          <w:tcPr>
            <w:tcW w:w="1377" w:type="dxa"/>
            <w:tcBorders>
              <w:top w:val="single" w:color="auto" w:sz="2" w:space="0"/>
              <w:left w:val="single" w:color="auto" w:sz="2" w:space="0"/>
              <w:bottom w:val="single" w:color="auto" w:sz="2" w:space="0"/>
              <w:right w:val="single" w:color="auto" w:sz="2" w:space="0"/>
            </w:tcBorders>
            <w:vAlign w:val="center"/>
          </w:tcPr>
          <w:p w14:paraId="5035D95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E0403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20C54C0">
            <w:pPr>
              <w:spacing w:line="240" w:lineRule="exact"/>
              <w:jc w:val="right"/>
              <w:rPr>
                <w:rFonts w:ascii="宋体" w:hAnsi="宋体" w:eastAsia="宋体" w:cs="宋体"/>
                <w:sz w:val="18"/>
                <w:szCs w:val="18"/>
              </w:rPr>
            </w:pPr>
            <w:r>
              <w:rPr>
                <w:rFonts w:ascii="宋体" w:hAnsi="宋体" w:eastAsia="宋体" w:cs="宋体"/>
                <w:sz w:val="18"/>
                <w:szCs w:val="18"/>
              </w:rPr>
              <w:t>8,133,356.00</w:t>
            </w:r>
          </w:p>
        </w:tc>
      </w:tr>
      <w:tr w14:paraId="31C5000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C2953F">
            <w:pPr>
              <w:spacing w:before="40" w:after="40" w:line="240" w:lineRule="exact"/>
              <w:rPr>
                <w:rFonts w:ascii="宋体" w:hAnsi="宋体" w:eastAsia="宋体" w:cs="宋体"/>
                <w:sz w:val="18"/>
                <w:szCs w:val="18"/>
              </w:rPr>
            </w:pPr>
            <w:r>
              <w:rPr>
                <w:rFonts w:ascii="宋体" w:hAnsi="宋体" w:eastAsia="宋体" w:cs="宋体"/>
                <w:sz w:val="18"/>
                <w:szCs w:val="18"/>
              </w:rPr>
              <w:t>四、账面价值</w:t>
            </w:r>
          </w:p>
        </w:tc>
        <w:tc>
          <w:tcPr>
            <w:tcW w:w="1377" w:type="dxa"/>
            <w:tcBorders>
              <w:top w:val="single" w:color="auto" w:sz="2" w:space="0"/>
              <w:left w:val="single" w:color="auto" w:sz="2" w:space="0"/>
              <w:bottom w:val="single" w:color="auto" w:sz="2" w:space="0"/>
              <w:right w:val="single" w:color="auto" w:sz="2" w:space="0"/>
            </w:tcBorders>
            <w:vAlign w:val="center"/>
          </w:tcPr>
          <w:p w14:paraId="37E4416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AD795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C13BFA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ADA3A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C6CC42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AD7DF0">
            <w:pPr>
              <w:spacing w:line="240" w:lineRule="exact"/>
              <w:jc w:val="right"/>
              <w:rPr>
                <w:rFonts w:ascii="宋体" w:hAnsi="宋体" w:eastAsia="宋体" w:cs="宋体"/>
                <w:sz w:val="18"/>
                <w:szCs w:val="18"/>
              </w:rPr>
            </w:pPr>
          </w:p>
        </w:tc>
      </w:tr>
      <w:tr w14:paraId="3747101B">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9F1450">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1.期末账面价值</w:t>
            </w:r>
          </w:p>
        </w:tc>
        <w:tc>
          <w:tcPr>
            <w:tcW w:w="1377" w:type="dxa"/>
            <w:tcBorders>
              <w:top w:val="single" w:color="auto" w:sz="2" w:space="0"/>
              <w:left w:val="single" w:color="auto" w:sz="2" w:space="0"/>
              <w:bottom w:val="single" w:color="auto" w:sz="2" w:space="0"/>
              <w:right w:val="single" w:color="auto" w:sz="2" w:space="0"/>
            </w:tcBorders>
            <w:vAlign w:val="center"/>
          </w:tcPr>
          <w:p w14:paraId="0ADB2000">
            <w:pPr>
              <w:spacing w:line="240" w:lineRule="exact"/>
              <w:jc w:val="right"/>
              <w:rPr>
                <w:rFonts w:ascii="宋体" w:hAnsi="宋体" w:eastAsia="宋体" w:cs="宋体"/>
                <w:sz w:val="18"/>
                <w:szCs w:val="18"/>
              </w:rPr>
            </w:pPr>
            <w:r>
              <w:rPr>
                <w:rFonts w:ascii="宋体" w:hAnsi="宋体" w:eastAsia="宋体" w:cs="宋体"/>
                <w:sz w:val="18"/>
                <w:szCs w:val="18"/>
              </w:rPr>
              <w:t>4,328,770.79</w:t>
            </w:r>
          </w:p>
        </w:tc>
        <w:tc>
          <w:tcPr>
            <w:tcW w:w="1377" w:type="dxa"/>
            <w:tcBorders>
              <w:top w:val="single" w:color="auto" w:sz="2" w:space="0"/>
              <w:left w:val="single" w:color="auto" w:sz="2" w:space="0"/>
              <w:bottom w:val="single" w:color="auto" w:sz="2" w:space="0"/>
              <w:right w:val="single" w:color="auto" w:sz="2" w:space="0"/>
            </w:tcBorders>
            <w:vAlign w:val="center"/>
          </w:tcPr>
          <w:p w14:paraId="136758E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EC937A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69F1C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6DBBA8">
            <w:pPr>
              <w:spacing w:line="240" w:lineRule="exact"/>
              <w:jc w:val="right"/>
              <w:rPr>
                <w:rFonts w:ascii="宋体" w:hAnsi="宋体" w:eastAsia="宋体" w:cs="宋体"/>
                <w:sz w:val="18"/>
                <w:szCs w:val="18"/>
              </w:rPr>
            </w:pPr>
            <w:r>
              <w:rPr>
                <w:rFonts w:ascii="宋体" w:hAnsi="宋体" w:eastAsia="宋体" w:cs="宋体"/>
                <w:sz w:val="18"/>
                <w:szCs w:val="18"/>
              </w:rPr>
              <w:t>29,975.60</w:t>
            </w:r>
          </w:p>
        </w:tc>
        <w:tc>
          <w:tcPr>
            <w:tcW w:w="1377" w:type="dxa"/>
            <w:tcBorders>
              <w:top w:val="single" w:color="auto" w:sz="2" w:space="0"/>
              <w:left w:val="single" w:color="auto" w:sz="2" w:space="0"/>
              <w:bottom w:val="single" w:color="auto" w:sz="2" w:space="0"/>
              <w:right w:val="single" w:color="auto" w:sz="2" w:space="0"/>
            </w:tcBorders>
            <w:vAlign w:val="center"/>
          </w:tcPr>
          <w:p w14:paraId="03C4FDBE">
            <w:pPr>
              <w:spacing w:line="240" w:lineRule="exact"/>
              <w:jc w:val="right"/>
              <w:rPr>
                <w:rFonts w:ascii="宋体" w:hAnsi="宋体" w:eastAsia="宋体" w:cs="宋体"/>
                <w:sz w:val="18"/>
                <w:szCs w:val="18"/>
              </w:rPr>
            </w:pPr>
            <w:r>
              <w:rPr>
                <w:rFonts w:ascii="宋体" w:hAnsi="宋体" w:eastAsia="宋体" w:cs="宋体"/>
                <w:sz w:val="18"/>
                <w:szCs w:val="18"/>
              </w:rPr>
              <w:t>4,358,746.39</w:t>
            </w:r>
          </w:p>
        </w:tc>
      </w:tr>
      <w:tr w14:paraId="27D25C22">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41AA7C">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2.期初账面价值</w:t>
            </w:r>
          </w:p>
        </w:tc>
        <w:tc>
          <w:tcPr>
            <w:tcW w:w="1377" w:type="dxa"/>
            <w:tcBorders>
              <w:top w:val="single" w:color="auto" w:sz="2" w:space="0"/>
              <w:left w:val="single" w:color="auto" w:sz="2" w:space="0"/>
              <w:bottom w:val="single" w:color="auto" w:sz="2" w:space="0"/>
              <w:right w:val="single" w:color="auto" w:sz="2" w:space="0"/>
            </w:tcBorders>
            <w:vAlign w:val="center"/>
          </w:tcPr>
          <w:p w14:paraId="3E36263F">
            <w:pPr>
              <w:spacing w:line="240" w:lineRule="exact"/>
              <w:jc w:val="right"/>
              <w:rPr>
                <w:rFonts w:ascii="宋体" w:hAnsi="宋体" w:eastAsia="宋体" w:cs="宋体"/>
                <w:sz w:val="18"/>
                <w:szCs w:val="18"/>
              </w:rPr>
            </w:pPr>
            <w:r>
              <w:rPr>
                <w:rFonts w:ascii="宋体" w:hAnsi="宋体" w:eastAsia="宋体" w:cs="宋体"/>
                <w:sz w:val="18"/>
                <w:szCs w:val="18"/>
              </w:rPr>
              <w:t>4,400,916.95</w:t>
            </w:r>
          </w:p>
        </w:tc>
        <w:tc>
          <w:tcPr>
            <w:tcW w:w="1377" w:type="dxa"/>
            <w:tcBorders>
              <w:top w:val="single" w:color="auto" w:sz="2" w:space="0"/>
              <w:left w:val="single" w:color="auto" w:sz="2" w:space="0"/>
              <w:bottom w:val="single" w:color="auto" w:sz="2" w:space="0"/>
              <w:right w:val="single" w:color="auto" w:sz="2" w:space="0"/>
            </w:tcBorders>
            <w:vAlign w:val="center"/>
          </w:tcPr>
          <w:p w14:paraId="3E66188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C6C9A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E320B3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0E616C6">
            <w:pPr>
              <w:spacing w:line="240" w:lineRule="exact"/>
              <w:jc w:val="right"/>
              <w:rPr>
                <w:rFonts w:ascii="宋体" w:hAnsi="宋体" w:eastAsia="宋体" w:cs="宋体"/>
                <w:sz w:val="18"/>
                <w:szCs w:val="18"/>
              </w:rPr>
            </w:pPr>
            <w:r>
              <w:rPr>
                <w:rFonts w:ascii="宋体" w:hAnsi="宋体" w:eastAsia="宋体" w:cs="宋体"/>
                <w:sz w:val="18"/>
                <w:szCs w:val="18"/>
              </w:rPr>
              <w:t>34,587.26</w:t>
            </w:r>
          </w:p>
        </w:tc>
        <w:tc>
          <w:tcPr>
            <w:tcW w:w="1377" w:type="dxa"/>
            <w:tcBorders>
              <w:top w:val="single" w:color="auto" w:sz="2" w:space="0"/>
              <w:left w:val="single" w:color="auto" w:sz="2" w:space="0"/>
              <w:bottom w:val="single" w:color="auto" w:sz="2" w:space="0"/>
              <w:right w:val="single" w:color="auto" w:sz="2" w:space="0"/>
            </w:tcBorders>
            <w:vAlign w:val="center"/>
          </w:tcPr>
          <w:p w14:paraId="76048E41">
            <w:pPr>
              <w:spacing w:line="240" w:lineRule="exact"/>
              <w:jc w:val="right"/>
              <w:rPr>
                <w:rFonts w:ascii="宋体" w:hAnsi="宋体" w:eastAsia="宋体" w:cs="宋体"/>
                <w:sz w:val="18"/>
                <w:szCs w:val="18"/>
              </w:rPr>
            </w:pPr>
            <w:r>
              <w:rPr>
                <w:rFonts w:ascii="宋体" w:hAnsi="宋体" w:eastAsia="宋体" w:cs="宋体"/>
                <w:sz w:val="18"/>
                <w:szCs w:val="18"/>
              </w:rPr>
              <w:t>4,435,504.21</w:t>
            </w:r>
          </w:p>
        </w:tc>
      </w:tr>
    </w:tbl>
    <w:p w14:paraId="4C255C64">
      <w:pPr>
        <w:spacing w:before="100" w:after="100" w:line="240" w:lineRule="exact"/>
        <w:rPr>
          <w:rFonts w:ascii="宋体" w:hAnsi="宋体" w:eastAsia="宋体" w:cs="宋体"/>
          <w:sz w:val="18"/>
          <w:szCs w:val="18"/>
        </w:rPr>
      </w:pPr>
      <w:r>
        <w:rPr>
          <w:rFonts w:ascii="宋体" w:hAnsi="宋体" w:eastAsia="宋体" w:cs="宋体"/>
          <w:sz w:val="18"/>
          <w:szCs w:val="18"/>
        </w:rPr>
        <w:t>本期末通过公司内部研发形成的无形资产占无形资产余额的比例0.00%</w:t>
      </w:r>
    </w:p>
    <w:p w14:paraId="50565293">
      <w:pPr>
        <w:keepNext/>
        <w:keepLines/>
        <w:spacing w:before="300" w:after="100" w:line="280" w:lineRule="exact"/>
        <w:outlineLvl w:val="3"/>
        <w:rPr>
          <w:rFonts w:ascii="宋体" w:hAnsi="宋体" w:eastAsia="宋体" w:cs="宋体"/>
          <w:b/>
          <w:bCs/>
          <w:szCs w:val="21"/>
        </w:rPr>
      </w:pPr>
      <w:bookmarkStart w:id="277" w:name="_Toc989166"/>
      <w:r>
        <w:rPr>
          <w:rFonts w:ascii="宋体" w:hAnsi="宋体" w:eastAsia="宋体" w:cs="宋体"/>
          <w:b/>
          <w:bCs/>
          <w:szCs w:val="21"/>
        </w:rPr>
        <w:t>（2） 确认为无形资产的数据资源</w:t>
      </w:r>
      <w:bookmarkEnd w:id="277"/>
    </w:p>
    <w:p w14:paraId="1AAAC0F9">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E5AADF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B9D5B1">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B47BAD9">
            <w:pPr>
              <w:spacing w:before="40" w:after="100" w:line="240" w:lineRule="exact"/>
              <w:jc w:val="center"/>
              <w:rPr>
                <w:rFonts w:ascii="宋体" w:hAnsi="宋体" w:eastAsia="宋体" w:cs="宋体"/>
                <w:sz w:val="18"/>
                <w:szCs w:val="18"/>
              </w:rPr>
            </w:pPr>
            <w:r>
              <w:rPr>
                <w:rFonts w:ascii="宋体" w:hAnsi="宋体" w:eastAsia="宋体" w:cs="宋体"/>
                <w:sz w:val="18"/>
                <w:szCs w:val="18"/>
              </w:rPr>
              <w:t>外购的数据资源无形资产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D7DE9C">
            <w:pPr>
              <w:spacing w:before="40" w:after="100" w:line="240" w:lineRule="exact"/>
              <w:jc w:val="center"/>
              <w:rPr>
                <w:rFonts w:ascii="宋体" w:hAnsi="宋体" w:eastAsia="宋体" w:cs="宋体"/>
                <w:sz w:val="18"/>
                <w:szCs w:val="18"/>
              </w:rPr>
            </w:pPr>
            <w:r>
              <w:rPr>
                <w:rFonts w:ascii="宋体" w:hAnsi="宋体" w:eastAsia="宋体" w:cs="宋体"/>
                <w:sz w:val="18"/>
                <w:szCs w:val="18"/>
              </w:rPr>
              <w:t>自行开发的数据资源无形资产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840752">
            <w:pPr>
              <w:spacing w:before="40" w:after="100" w:line="240" w:lineRule="exact"/>
              <w:jc w:val="center"/>
              <w:rPr>
                <w:rFonts w:ascii="宋体" w:hAnsi="宋体" w:eastAsia="宋体" w:cs="宋体"/>
                <w:sz w:val="18"/>
                <w:szCs w:val="18"/>
              </w:rPr>
            </w:pPr>
            <w:r>
              <w:rPr>
                <w:rFonts w:ascii="宋体" w:hAnsi="宋体" w:eastAsia="宋体" w:cs="宋体"/>
                <w:sz w:val="18"/>
                <w:szCs w:val="18"/>
              </w:rPr>
              <w:t>其他方式取得的数据资源无形资产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19D059">
            <w:pPr>
              <w:spacing w:before="40" w:after="100" w:line="240" w:lineRule="exact"/>
              <w:jc w:val="center"/>
              <w:rPr>
                <w:rFonts w:ascii="宋体" w:hAnsi="宋体" w:eastAsia="宋体" w:cs="宋体"/>
                <w:sz w:val="18"/>
                <w:szCs w:val="18"/>
              </w:rPr>
            </w:pPr>
            <w:r>
              <w:rPr>
                <w:rFonts w:ascii="宋体" w:hAnsi="宋体" w:eastAsia="宋体" w:cs="宋体"/>
                <w:sz w:val="18"/>
                <w:szCs w:val="18"/>
              </w:rPr>
              <w:t>合计</w:t>
            </w:r>
          </w:p>
        </w:tc>
      </w:tr>
    </w:tbl>
    <w:p w14:paraId="5AF367FD">
      <w:pPr>
        <w:spacing w:after="100"/>
      </w:pPr>
    </w:p>
    <w:p w14:paraId="46E93B30">
      <w:pPr>
        <w:keepNext/>
        <w:keepLines/>
        <w:spacing w:before="300" w:after="100" w:line="280" w:lineRule="exact"/>
        <w:outlineLvl w:val="3"/>
        <w:rPr>
          <w:rFonts w:ascii="宋体" w:hAnsi="宋体" w:eastAsia="宋体" w:cs="宋体"/>
          <w:b/>
          <w:bCs/>
          <w:szCs w:val="21"/>
        </w:rPr>
      </w:pPr>
      <w:bookmarkStart w:id="278" w:name="_Toc989167"/>
      <w:r>
        <w:rPr>
          <w:rFonts w:ascii="宋体" w:hAnsi="宋体" w:eastAsia="宋体" w:cs="宋体"/>
          <w:b/>
          <w:bCs/>
          <w:szCs w:val="21"/>
        </w:rPr>
        <w:t>（3） 未办妥产权证书的土地使用权情况</w:t>
      </w:r>
      <w:bookmarkEnd w:id="278"/>
    </w:p>
    <w:p w14:paraId="7C9077F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A709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56AB7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FD2716">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D14092">
            <w:pPr>
              <w:spacing w:before="40" w:after="40" w:line="240" w:lineRule="exact"/>
              <w:jc w:val="center"/>
              <w:rPr>
                <w:rFonts w:ascii="宋体" w:hAnsi="宋体" w:eastAsia="宋体" w:cs="宋体"/>
                <w:sz w:val="18"/>
                <w:szCs w:val="18"/>
              </w:rPr>
            </w:pPr>
            <w:r>
              <w:rPr>
                <w:rFonts w:ascii="宋体" w:hAnsi="宋体" w:eastAsia="宋体" w:cs="宋体"/>
                <w:sz w:val="18"/>
                <w:szCs w:val="18"/>
              </w:rPr>
              <w:t>未办妥产权证书的原因</w:t>
            </w:r>
          </w:p>
        </w:tc>
      </w:tr>
    </w:tbl>
    <w:p w14:paraId="3311B89E">
      <w:pPr>
        <w:spacing w:before="100" w:after="100" w:line="240" w:lineRule="exact"/>
      </w:pPr>
      <w:r>
        <w:rPr>
          <w:rFonts w:ascii="宋体" w:hAnsi="宋体" w:eastAsia="宋体" w:cs="宋体"/>
          <w:sz w:val="18"/>
          <w:szCs w:val="18"/>
        </w:rPr>
        <w:t>其他说明</w:t>
      </w:r>
    </w:p>
    <w:p w14:paraId="5B867085">
      <w:pPr>
        <w:keepNext/>
        <w:keepLines/>
        <w:spacing w:before="300" w:after="100" w:line="280" w:lineRule="exact"/>
        <w:outlineLvl w:val="3"/>
        <w:rPr>
          <w:rFonts w:ascii="宋体" w:hAnsi="宋体" w:eastAsia="宋体" w:cs="宋体"/>
          <w:b/>
          <w:bCs/>
          <w:szCs w:val="21"/>
        </w:rPr>
      </w:pPr>
      <w:bookmarkStart w:id="279" w:name="_Toc989168"/>
      <w:r>
        <w:rPr>
          <w:rFonts w:ascii="宋体" w:hAnsi="宋体" w:eastAsia="宋体" w:cs="宋体"/>
          <w:b/>
          <w:bCs/>
          <w:szCs w:val="21"/>
        </w:rPr>
        <w:t>（4） 无形资产的减值测试情况</w:t>
      </w:r>
      <w:bookmarkEnd w:id="279"/>
    </w:p>
    <w:p w14:paraId="4F977FA6">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208DB46">
      <w:pPr>
        <w:pStyle w:val="3"/>
        <w:spacing w:after="100" w:line="280" w:lineRule="exact"/>
        <w:jc w:val="left"/>
        <w:rPr>
          <w:rFonts w:ascii="宋体" w:hAnsi="宋体" w:cs="宋体"/>
          <w:b/>
          <w:bCs/>
        </w:rPr>
      </w:pPr>
      <w:bookmarkStart w:id="280" w:name="_Toc989169"/>
      <w:r>
        <w:rPr>
          <w:rFonts w:ascii="宋体" w:hAnsi="宋体" w:cs="宋体"/>
          <w:b/>
          <w:bCs/>
        </w:rPr>
        <w:t>27、商誉</w:t>
      </w:r>
      <w:bookmarkEnd w:id="280"/>
    </w:p>
    <w:p w14:paraId="28D0C959">
      <w:pPr>
        <w:keepNext/>
        <w:keepLines/>
        <w:spacing w:before="300" w:after="100" w:line="280" w:lineRule="exact"/>
        <w:outlineLvl w:val="3"/>
        <w:rPr>
          <w:rFonts w:ascii="宋体" w:hAnsi="宋体" w:eastAsia="宋体" w:cs="宋体"/>
          <w:b/>
          <w:bCs/>
          <w:szCs w:val="21"/>
        </w:rPr>
      </w:pPr>
      <w:bookmarkStart w:id="281" w:name="_Toc989170"/>
      <w:r>
        <w:rPr>
          <w:rFonts w:ascii="宋体" w:hAnsi="宋体" w:eastAsia="宋体" w:cs="宋体"/>
          <w:b/>
          <w:bCs/>
          <w:szCs w:val="21"/>
        </w:rPr>
        <w:t>（1） 商誉账面原值</w:t>
      </w:r>
      <w:bookmarkEnd w:id="281"/>
    </w:p>
    <w:p w14:paraId="6CC928A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F2FDAF8">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C29B741">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682D2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2980FD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EA4CEE6">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3A229F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48F7B128">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F01C75"/>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808F77"/>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0CB5B4">
            <w:pPr>
              <w:spacing w:before="40" w:after="40" w:line="240" w:lineRule="exact"/>
              <w:jc w:val="center"/>
              <w:rPr>
                <w:rFonts w:ascii="宋体" w:hAnsi="宋体" w:eastAsia="宋体" w:cs="宋体"/>
                <w:sz w:val="18"/>
                <w:szCs w:val="18"/>
              </w:rPr>
            </w:pPr>
            <w:r>
              <w:rPr>
                <w:rFonts w:ascii="宋体" w:hAnsi="宋体" w:eastAsia="宋体" w:cs="宋体"/>
                <w:sz w:val="18"/>
                <w:szCs w:val="18"/>
              </w:rPr>
              <w:t>企业合并形成的</w:t>
            </w:r>
          </w:p>
        </w:tc>
        <w:tc>
          <w:tcPr>
            <w:tcW w:w="1377" w:type="dxa"/>
            <w:tcBorders>
              <w:top w:val="single" w:color="auto" w:sz="2" w:space="0"/>
              <w:left w:val="single" w:color="auto" w:sz="2" w:space="0"/>
              <w:bottom w:val="single" w:color="auto" w:sz="2" w:space="0"/>
              <w:right w:val="single" w:color="auto" w:sz="2" w:space="0"/>
            </w:tcBorders>
            <w:vAlign w:val="center"/>
          </w:tcPr>
          <w:p w14:paraId="68A37C53">
            <w:pPr>
              <w:spacing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E5765C">
            <w:pPr>
              <w:spacing w:before="40" w:after="40" w:line="240" w:lineRule="exact"/>
              <w:jc w:val="center"/>
              <w:rPr>
                <w:rFonts w:ascii="宋体" w:hAnsi="宋体" w:eastAsia="宋体" w:cs="宋体"/>
                <w:sz w:val="18"/>
                <w:szCs w:val="18"/>
              </w:rPr>
            </w:pPr>
            <w:r>
              <w:rPr>
                <w:rFonts w:ascii="宋体" w:hAnsi="宋体" w:eastAsia="宋体" w:cs="宋体"/>
                <w:sz w:val="18"/>
                <w:szCs w:val="18"/>
              </w:rPr>
              <w:t>处置</w:t>
            </w:r>
          </w:p>
        </w:tc>
        <w:tc>
          <w:tcPr>
            <w:tcW w:w="1377" w:type="dxa"/>
            <w:tcBorders>
              <w:top w:val="single" w:color="auto" w:sz="2" w:space="0"/>
              <w:left w:val="single" w:color="auto" w:sz="2" w:space="0"/>
              <w:bottom w:val="single" w:color="auto" w:sz="2" w:space="0"/>
              <w:right w:val="single" w:color="auto" w:sz="2" w:space="0"/>
            </w:tcBorders>
            <w:vAlign w:val="center"/>
          </w:tcPr>
          <w:p w14:paraId="17FA8B14">
            <w:pPr>
              <w:spacing w:line="240" w:lineRule="exact"/>
              <w:jc w:val="center"/>
              <w:rPr>
                <w:rFonts w:ascii="宋体" w:hAnsi="宋体" w:eastAsia="宋体" w:cs="宋体"/>
                <w:sz w:val="18"/>
                <w:szCs w:val="18"/>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1B64813"/>
        </w:tc>
      </w:tr>
      <w:tr w14:paraId="4C5233BE">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1542479">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0817B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583891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22E687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96A202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60553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5B282D7">
            <w:pPr>
              <w:spacing w:line="240" w:lineRule="exact"/>
              <w:jc w:val="right"/>
              <w:rPr>
                <w:rFonts w:ascii="宋体" w:hAnsi="宋体" w:eastAsia="宋体" w:cs="宋体"/>
                <w:sz w:val="18"/>
                <w:szCs w:val="18"/>
              </w:rPr>
            </w:pPr>
          </w:p>
        </w:tc>
      </w:tr>
      <w:tr w14:paraId="55CCC6FF">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897DE5D">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53A3D3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4A95D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662F11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CC7914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1CA0F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58E819">
            <w:pPr>
              <w:spacing w:line="240" w:lineRule="exact"/>
              <w:jc w:val="right"/>
              <w:rPr>
                <w:rFonts w:ascii="宋体" w:hAnsi="宋体" w:eastAsia="宋体" w:cs="宋体"/>
                <w:sz w:val="18"/>
                <w:szCs w:val="18"/>
              </w:rPr>
            </w:pPr>
          </w:p>
        </w:tc>
      </w:tr>
    </w:tbl>
    <w:p w14:paraId="2BFAFC28">
      <w:pPr>
        <w:keepNext/>
        <w:keepLines/>
        <w:spacing w:before="300" w:after="100" w:line="280" w:lineRule="exact"/>
        <w:outlineLvl w:val="3"/>
        <w:rPr>
          <w:rFonts w:ascii="宋体" w:hAnsi="宋体" w:eastAsia="宋体" w:cs="宋体"/>
          <w:b/>
          <w:bCs/>
          <w:szCs w:val="21"/>
        </w:rPr>
      </w:pPr>
      <w:bookmarkStart w:id="282" w:name="_Toc989171"/>
      <w:r>
        <w:rPr>
          <w:rFonts w:ascii="宋体" w:hAnsi="宋体" w:eastAsia="宋体" w:cs="宋体"/>
          <w:b/>
          <w:bCs/>
          <w:szCs w:val="21"/>
        </w:rPr>
        <w:t>（2） 商誉减值准备</w:t>
      </w:r>
      <w:bookmarkEnd w:id="282"/>
    </w:p>
    <w:p w14:paraId="56A8440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A28C2CD">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459A0E">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33CDB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36711DD">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42509DA">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BF7BD5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B2A03A6">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C5EB7F"/>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E82361"/>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A21B94">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vAlign w:val="center"/>
          </w:tcPr>
          <w:p w14:paraId="1D08C05A">
            <w:pPr>
              <w:spacing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3C81063">
            <w:pPr>
              <w:spacing w:before="40" w:after="40" w:line="240" w:lineRule="exact"/>
              <w:jc w:val="center"/>
              <w:rPr>
                <w:rFonts w:ascii="宋体" w:hAnsi="宋体" w:eastAsia="宋体" w:cs="宋体"/>
                <w:sz w:val="18"/>
                <w:szCs w:val="18"/>
              </w:rPr>
            </w:pPr>
            <w:r>
              <w:rPr>
                <w:rFonts w:ascii="宋体" w:hAnsi="宋体" w:eastAsia="宋体" w:cs="宋体"/>
                <w:sz w:val="18"/>
                <w:szCs w:val="18"/>
              </w:rPr>
              <w:t>处置</w:t>
            </w:r>
          </w:p>
        </w:tc>
        <w:tc>
          <w:tcPr>
            <w:tcW w:w="1377" w:type="dxa"/>
            <w:tcBorders>
              <w:top w:val="single" w:color="auto" w:sz="2" w:space="0"/>
              <w:left w:val="single" w:color="auto" w:sz="2" w:space="0"/>
              <w:bottom w:val="single" w:color="auto" w:sz="2" w:space="0"/>
              <w:right w:val="single" w:color="auto" w:sz="2" w:space="0"/>
            </w:tcBorders>
            <w:vAlign w:val="center"/>
          </w:tcPr>
          <w:p w14:paraId="5D29A20B">
            <w:pPr>
              <w:spacing w:line="240" w:lineRule="exact"/>
              <w:jc w:val="center"/>
              <w:rPr>
                <w:rFonts w:ascii="宋体" w:hAnsi="宋体" w:eastAsia="宋体" w:cs="宋体"/>
                <w:sz w:val="18"/>
                <w:szCs w:val="18"/>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3A7868"/>
        </w:tc>
      </w:tr>
      <w:tr w14:paraId="7E086D67">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5DAD749">
            <w:pPr>
              <w:spacing w:line="240" w:lineRule="exac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81FF8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133FEF7">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2C8E9F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C3ED2A">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6E3A0C">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AB5DDBE">
            <w:pPr>
              <w:spacing w:line="240" w:lineRule="exact"/>
              <w:jc w:val="right"/>
              <w:rPr>
                <w:rFonts w:ascii="宋体" w:hAnsi="宋体" w:eastAsia="宋体" w:cs="宋体"/>
                <w:sz w:val="18"/>
                <w:szCs w:val="18"/>
              </w:rPr>
            </w:pPr>
          </w:p>
        </w:tc>
      </w:tr>
      <w:tr w14:paraId="5CF93811">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5A0F24">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2E03A25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C7770F1">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34B42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EF230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1F1FCE">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13E305">
            <w:pPr>
              <w:spacing w:line="240" w:lineRule="exact"/>
              <w:jc w:val="right"/>
              <w:rPr>
                <w:rFonts w:ascii="宋体" w:hAnsi="宋体" w:eastAsia="宋体" w:cs="宋体"/>
                <w:sz w:val="18"/>
                <w:szCs w:val="18"/>
              </w:rPr>
            </w:pPr>
          </w:p>
        </w:tc>
      </w:tr>
    </w:tbl>
    <w:p w14:paraId="5FE8CAC0">
      <w:pPr>
        <w:keepNext/>
        <w:keepLines/>
        <w:spacing w:before="300" w:after="100" w:line="280" w:lineRule="exact"/>
        <w:outlineLvl w:val="3"/>
        <w:rPr>
          <w:rFonts w:ascii="宋体" w:hAnsi="宋体" w:eastAsia="宋体" w:cs="宋体"/>
          <w:b/>
          <w:bCs/>
          <w:szCs w:val="21"/>
        </w:rPr>
      </w:pPr>
      <w:bookmarkStart w:id="283" w:name="_Toc989172"/>
      <w:r>
        <w:rPr>
          <w:rFonts w:ascii="宋体" w:hAnsi="宋体" w:eastAsia="宋体" w:cs="宋体"/>
          <w:b/>
          <w:bCs/>
          <w:szCs w:val="21"/>
        </w:rPr>
        <w:t>（3） 商誉所在资产组或资产组组合的相关信息</w:t>
      </w:r>
      <w:bookmarkEnd w:id="283"/>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53B878F3">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B71B25">
            <w:pPr>
              <w:spacing w:before="40" w:after="100" w:line="240" w:lineRule="exact"/>
              <w:jc w:val="center"/>
              <w:rPr>
                <w:rFonts w:ascii="宋体" w:hAnsi="宋体" w:eastAsia="宋体" w:cs="宋体"/>
                <w:sz w:val="18"/>
                <w:szCs w:val="18"/>
              </w:rPr>
            </w:pPr>
            <w:r>
              <w:rPr>
                <w:rFonts w:ascii="宋体" w:hAnsi="宋体" w:eastAsia="宋体" w:cs="宋体"/>
                <w:sz w:val="18"/>
                <w:szCs w:val="18"/>
              </w:rPr>
              <w:t>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B99036E">
            <w:pPr>
              <w:spacing w:before="40" w:after="100" w:line="240" w:lineRule="exact"/>
              <w:jc w:val="center"/>
              <w:rPr>
                <w:rFonts w:ascii="宋体" w:hAnsi="宋体" w:eastAsia="宋体" w:cs="宋体"/>
                <w:sz w:val="18"/>
                <w:szCs w:val="18"/>
              </w:rPr>
            </w:pPr>
            <w:r>
              <w:rPr>
                <w:rFonts w:ascii="宋体" w:hAnsi="宋体" w:eastAsia="宋体" w:cs="宋体"/>
                <w:sz w:val="18"/>
                <w:szCs w:val="18"/>
              </w:rPr>
              <w:t>所属资产组或组合的构成及依据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8255427">
            <w:pPr>
              <w:spacing w:before="40" w:after="100" w:line="240" w:lineRule="exact"/>
              <w:jc w:val="center"/>
              <w:rPr>
                <w:rFonts w:ascii="宋体" w:hAnsi="宋体" w:eastAsia="宋体" w:cs="宋体"/>
                <w:sz w:val="18"/>
                <w:szCs w:val="18"/>
              </w:rPr>
            </w:pPr>
            <w:r>
              <w:rPr>
                <w:rFonts w:ascii="宋体" w:hAnsi="宋体" w:eastAsia="宋体" w:cs="宋体"/>
                <w:sz w:val="18"/>
                <w:szCs w:val="18"/>
              </w:rPr>
              <w:t>所属经营分部及依据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B1A1C32">
            <w:pPr>
              <w:spacing w:before="40" w:after="100" w:line="240" w:lineRule="exact"/>
              <w:jc w:val="center"/>
              <w:rPr>
                <w:rFonts w:ascii="宋体" w:hAnsi="宋体" w:eastAsia="宋体" w:cs="宋体"/>
                <w:sz w:val="18"/>
                <w:szCs w:val="18"/>
              </w:rPr>
            </w:pPr>
            <w:r>
              <w:rPr>
                <w:rFonts w:ascii="宋体" w:hAnsi="宋体" w:eastAsia="宋体" w:cs="宋体"/>
                <w:sz w:val="18"/>
                <w:szCs w:val="18"/>
              </w:rPr>
              <w:t>是否与以前年度保持一致</w:t>
            </w:r>
          </w:p>
        </w:tc>
      </w:tr>
    </w:tbl>
    <w:p w14:paraId="6704EF1C">
      <w:pPr>
        <w:spacing w:before="100" w:after="100" w:line="240" w:lineRule="exact"/>
        <w:rPr>
          <w:rFonts w:ascii="宋体" w:hAnsi="宋体" w:eastAsia="宋体" w:cs="宋体"/>
          <w:sz w:val="18"/>
          <w:szCs w:val="18"/>
        </w:rPr>
      </w:pPr>
      <w:r>
        <w:rPr>
          <w:rFonts w:ascii="宋体" w:hAnsi="宋体" w:eastAsia="宋体" w:cs="宋体"/>
          <w:sz w:val="18"/>
          <w:szCs w:val="18"/>
        </w:rPr>
        <w:t>资产组或资产组组合发生变化</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D79713F">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55EBD3">
            <w:pPr>
              <w:spacing w:before="40" w:after="100" w:line="240" w:lineRule="exact"/>
              <w:jc w:val="center"/>
              <w:rPr>
                <w:rFonts w:ascii="宋体" w:hAnsi="宋体" w:eastAsia="宋体" w:cs="宋体"/>
                <w:sz w:val="18"/>
                <w:szCs w:val="18"/>
              </w:rPr>
            </w:pPr>
            <w:r>
              <w:rPr>
                <w:rFonts w:ascii="宋体" w:hAnsi="宋体" w:eastAsia="宋体" w:cs="宋体"/>
                <w:sz w:val="18"/>
                <w:szCs w:val="18"/>
              </w:rPr>
              <w:t>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44D1A5">
            <w:pPr>
              <w:spacing w:before="40" w:after="100" w:line="240" w:lineRule="exact"/>
              <w:jc w:val="center"/>
              <w:rPr>
                <w:rFonts w:ascii="宋体" w:hAnsi="宋体" w:eastAsia="宋体" w:cs="宋体"/>
                <w:sz w:val="18"/>
                <w:szCs w:val="18"/>
              </w:rPr>
            </w:pPr>
            <w:r>
              <w:rPr>
                <w:rFonts w:ascii="宋体" w:hAnsi="宋体" w:eastAsia="宋体" w:cs="宋体"/>
                <w:sz w:val="18"/>
                <w:szCs w:val="18"/>
              </w:rPr>
              <w:t>变化前的构成</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52B9889">
            <w:pPr>
              <w:spacing w:before="40" w:after="100" w:line="240" w:lineRule="exact"/>
              <w:jc w:val="center"/>
              <w:rPr>
                <w:rFonts w:ascii="宋体" w:hAnsi="宋体" w:eastAsia="宋体" w:cs="宋体"/>
                <w:sz w:val="18"/>
                <w:szCs w:val="18"/>
              </w:rPr>
            </w:pPr>
            <w:r>
              <w:rPr>
                <w:rFonts w:ascii="宋体" w:hAnsi="宋体" w:eastAsia="宋体" w:cs="宋体"/>
                <w:sz w:val="18"/>
                <w:szCs w:val="18"/>
              </w:rPr>
              <w:t>变化后的构成</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878154">
            <w:pPr>
              <w:spacing w:before="40" w:after="100" w:line="240" w:lineRule="exact"/>
              <w:jc w:val="center"/>
              <w:rPr>
                <w:rFonts w:ascii="宋体" w:hAnsi="宋体" w:eastAsia="宋体" w:cs="宋体"/>
                <w:sz w:val="18"/>
                <w:szCs w:val="18"/>
              </w:rPr>
            </w:pPr>
            <w:r>
              <w:rPr>
                <w:rFonts w:ascii="宋体" w:hAnsi="宋体" w:eastAsia="宋体" w:cs="宋体"/>
                <w:sz w:val="18"/>
                <w:szCs w:val="18"/>
              </w:rPr>
              <w:t>导致变化的客观事实及依据</w:t>
            </w:r>
          </w:p>
        </w:tc>
      </w:tr>
    </w:tbl>
    <w:p w14:paraId="76FA4FC8">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7FC5E780">
      <w:pPr>
        <w:keepNext/>
        <w:keepLines/>
        <w:spacing w:before="300" w:after="100" w:line="280" w:lineRule="exact"/>
        <w:outlineLvl w:val="3"/>
        <w:rPr>
          <w:rFonts w:ascii="宋体" w:hAnsi="宋体" w:eastAsia="宋体" w:cs="宋体"/>
          <w:b/>
          <w:bCs/>
          <w:szCs w:val="21"/>
        </w:rPr>
      </w:pPr>
      <w:bookmarkStart w:id="284" w:name="_Toc989173"/>
      <w:r>
        <w:rPr>
          <w:rFonts w:ascii="宋体" w:hAnsi="宋体" w:eastAsia="宋体" w:cs="宋体"/>
          <w:b/>
          <w:bCs/>
          <w:szCs w:val="21"/>
        </w:rPr>
        <w:t>（4） 可收回金额的具体确定方法</w:t>
      </w:r>
      <w:bookmarkEnd w:id="284"/>
    </w:p>
    <w:p w14:paraId="664F0CD0">
      <w:pPr>
        <w:spacing w:before="100" w:after="100" w:line="240" w:lineRule="exac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01AB7663">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9E959E1">
      <w:pPr>
        <w:spacing w:before="100" w:after="100" w:line="240" w:lineRule="exact"/>
        <w:rPr>
          <w:rFonts w:ascii="宋体" w:hAnsi="宋体" w:eastAsia="宋体" w:cs="宋体"/>
          <w:sz w:val="18"/>
          <w:szCs w:val="18"/>
        </w:rPr>
      </w:pPr>
      <w:r>
        <w:rPr>
          <w:rFonts w:ascii="宋体" w:hAnsi="宋体" w:eastAsia="宋体" w:cs="宋体"/>
          <w:sz w:val="18"/>
          <w:szCs w:val="18"/>
        </w:rPr>
        <w:t>可收回金额按预计未来现金流量的现值确定</w:t>
      </w:r>
    </w:p>
    <w:p w14:paraId="7829E321">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A8B7389">
      <w:pPr>
        <w:spacing w:before="100" w:after="100" w:line="240" w:lineRule="exact"/>
      </w:pPr>
      <w:r>
        <w:rPr>
          <w:rFonts w:ascii="宋体" w:hAnsi="宋体" w:eastAsia="宋体" w:cs="宋体"/>
          <w:sz w:val="18"/>
          <w:szCs w:val="18"/>
        </w:rPr>
        <w:t>前述信息与以前年度减值测试采用的信息或外部信息明显不一致的差异原因</w:t>
      </w:r>
    </w:p>
    <w:p w14:paraId="0DDBCF8C">
      <w:pPr>
        <w:spacing w:before="100" w:after="100" w:line="240" w:lineRule="exact"/>
        <w:rPr>
          <w:rFonts w:ascii="宋体" w:hAnsi="宋体" w:eastAsia="宋体" w:cs="宋体"/>
          <w:sz w:val="18"/>
          <w:szCs w:val="18"/>
        </w:rPr>
      </w:pPr>
      <w:r>
        <w:rPr>
          <w:rFonts w:ascii="宋体" w:hAnsi="宋体" w:eastAsia="宋体" w:cs="宋体"/>
          <w:sz w:val="18"/>
          <w:szCs w:val="18"/>
        </w:rPr>
        <w:t>公司以前年度减值测试采用信息与当年实际情况明显不一致的差异原因</w:t>
      </w:r>
    </w:p>
    <w:p w14:paraId="102816B4">
      <w:pPr>
        <w:keepNext/>
        <w:keepLines/>
        <w:spacing w:before="300" w:after="100" w:line="280" w:lineRule="exact"/>
        <w:outlineLvl w:val="3"/>
        <w:rPr>
          <w:rFonts w:ascii="宋体" w:hAnsi="宋体" w:eastAsia="宋体" w:cs="宋体"/>
          <w:b/>
          <w:bCs/>
          <w:szCs w:val="21"/>
        </w:rPr>
      </w:pPr>
      <w:bookmarkStart w:id="285" w:name="_Toc989174"/>
      <w:r>
        <w:rPr>
          <w:rFonts w:ascii="宋体" w:hAnsi="宋体" w:eastAsia="宋体" w:cs="宋体"/>
          <w:b/>
          <w:bCs/>
          <w:szCs w:val="21"/>
        </w:rPr>
        <w:t>（5） 业绩承诺完成及对应商誉减值情况</w:t>
      </w:r>
      <w:bookmarkEnd w:id="285"/>
    </w:p>
    <w:p w14:paraId="6CFBA971">
      <w:pPr>
        <w:spacing w:before="100" w:after="100" w:line="240" w:lineRule="exact"/>
        <w:rPr>
          <w:rFonts w:ascii="宋体" w:hAnsi="宋体" w:eastAsia="宋体" w:cs="宋体"/>
          <w:sz w:val="18"/>
          <w:szCs w:val="18"/>
        </w:rPr>
      </w:pPr>
      <w:r>
        <w:rPr>
          <w:rFonts w:ascii="宋体" w:hAnsi="宋体" w:eastAsia="宋体" w:cs="宋体"/>
          <w:sz w:val="18"/>
          <w:szCs w:val="18"/>
        </w:rPr>
        <w:t>形成商誉时存在业绩承诺且报告期或报告期上一期间处于业绩承诺期内</w:t>
      </w:r>
    </w:p>
    <w:p w14:paraId="0DA03AC8">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29AC57D">
      <w:pPr>
        <w:spacing w:before="100" w:after="100" w:line="240" w:lineRule="exact"/>
      </w:pPr>
      <w:r>
        <w:rPr>
          <w:rFonts w:ascii="宋体" w:hAnsi="宋体" w:eastAsia="宋体" w:cs="宋体"/>
          <w:sz w:val="18"/>
          <w:szCs w:val="18"/>
        </w:rPr>
        <w:t>其他说明</w:t>
      </w:r>
    </w:p>
    <w:p w14:paraId="66A08DD1">
      <w:pPr>
        <w:pStyle w:val="3"/>
        <w:spacing w:after="100" w:line="280" w:lineRule="exact"/>
        <w:jc w:val="left"/>
        <w:rPr>
          <w:rFonts w:ascii="宋体" w:hAnsi="宋体" w:cs="宋体"/>
          <w:b/>
          <w:bCs/>
        </w:rPr>
      </w:pPr>
      <w:bookmarkStart w:id="286" w:name="_Toc989175"/>
      <w:r>
        <w:rPr>
          <w:rFonts w:ascii="宋体" w:hAnsi="宋体" w:cs="宋体"/>
          <w:b/>
          <w:bCs/>
        </w:rPr>
        <w:t>28、长期待摊费用</w:t>
      </w:r>
      <w:bookmarkEnd w:id="286"/>
    </w:p>
    <w:p w14:paraId="386D858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4C41CE2">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CA7AC5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8C20F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5DA3C0A">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3E12F7">
            <w:pPr>
              <w:spacing w:before="40" w:after="40" w:line="240" w:lineRule="exact"/>
              <w:jc w:val="center"/>
              <w:rPr>
                <w:rFonts w:ascii="宋体" w:hAnsi="宋体" w:eastAsia="宋体" w:cs="宋体"/>
                <w:sz w:val="18"/>
                <w:szCs w:val="18"/>
              </w:rPr>
            </w:pPr>
            <w:r>
              <w:rPr>
                <w:rFonts w:ascii="宋体" w:hAnsi="宋体" w:eastAsia="宋体" w:cs="宋体"/>
                <w:sz w:val="18"/>
                <w:szCs w:val="18"/>
              </w:rPr>
              <w:t>本期摊销金额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86A6492">
            <w:pPr>
              <w:spacing w:before="40" w:after="40" w:line="240" w:lineRule="exact"/>
              <w:jc w:val="center"/>
              <w:rPr>
                <w:rFonts w:ascii="宋体" w:hAnsi="宋体" w:eastAsia="宋体" w:cs="宋体"/>
                <w:sz w:val="18"/>
                <w:szCs w:val="18"/>
              </w:rPr>
            </w:pPr>
            <w:r>
              <w:rPr>
                <w:rFonts w:ascii="宋体" w:hAnsi="宋体" w:eastAsia="宋体" w:cs="宋体"/>
                <w:sz w:val="18"/>
                <w:szCs w:val="18"/>
              </w:rPr>
              <w:t>其他减少金额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4A122E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4698445B">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294C958">
            <w:pPr>
              <w:spacing w:line="240" w:lineRule="exact"/>
              <w:rPr>
                <w:rFonts w:ascii="宋体" w:hAnsi="宋体" w:eastAsia="宋体" w:cs="宋体"/>
                <w:sz w:val="18"/>
                <w:szCs w:val="18"/>
              </w:rPr>
            </w:pPr>
            <w:r>
              <w:rPr>
                <w:rFonts w:ascii="宋体" w:hAnsi="宋体" w:eastAsia="宋体" w:cs="宋体"/>
                <w:sz w:val="18"/>
                <w:szCs w:val="18"/>
              </w:rPr>
              <w:t>布宫图案使用费</w:t>
            </w:r>
          </w:p>
        </w:tc>
        <w:tc>
          <w:tcPr>
            <w:tcW w:w="1606" w:type="dxa"/>
            <w:tcBorders>
              <w:top w:val="single" w:color="auto" w:sz="2" w:space="0"/>
              <w:left w:val="single" w:color="auto" w:sz="2" w:space="0"/>
              <w:bottom w:val="single" w:color="auto" w:sz="2" w:space="0"/>
              <w:right w:val="single" w:color="auto" w:sz="2" w:space="0"/>
            </w:tcBorders>
            <w:vAlign w:val="center"/>
          </w:tcPr>
          <w:p w14:paraId="70FCF421">
            <w:pPr>
              <w:spacing w:line="240" w:lineRule="exact"/>
              <w:jc w:val="right"/>
              <w:rPr>
                <w:rFonts w:ascii="宋体" w:hAnsi="宋体" w:eastAsia="宋体" w:cs="宋体"/>
                <w:sz w:val="18"/>
                <w:szCs w:val="18"/>
              </w:rPr>
            </w:pPr>
            <w:r>
              <w:rPr>
                <w:rFonts w:ascii="宋体" w:hAnsi="宋体" w:eastAsia="宋体" w:cs="宋体"/>
                <w:sz w:val="18"/>
                <w:szCs w:val="18"/>
              </w:rPr>
              <w:t>120,000.00</w:t>
            </w:r>
          </w:p>
        </w:tc>
        <w:tc>
          <w:tcPr>
            <w:tcW w:w="1606" w:type="dxa"/>
            <w:tcBorders>
              <w:top w:val="single" w:color="auto" w:sz="2" w:space="0"/>
              <w:left w:val="single" w:color="auto" w:sz="2" w:space="0"/>
              <w:bottom w:val="single" w:color="auto" w:sz="2" w:space="0"/>
              <w:right w:val="single" w:color="auto" w:sz="2" w:space="0"/>
            </w:tcBorders>
            <w:vAlign w:val="center"/>
          </w:tcPr>
          <w:p w14:paraId="332E9AEA">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DF9BF7A">
            <w:pPr>
              <w:spacing w:line="240" w:lineRule="exact"/>
              <w:jc w:val="right"/>
              <w:rPr>
                <w:rFonts w:ascii="宋体" w:hAnsi="宋体" w:eastAsia="宋体" w:cs="宋体"/>
                <w:sz w:val="18"/>
                <w:szCs w:val="18"/>
              </w:rPr>
            </w:pPr>
            <w:r>
              <w:rPr>
                <w:rFonts w:ascii="宋体" w:hAnsi="宋体" w:eastAsia="宋体" w:cs="宋体"/>
                <w:sz w:val="18"/>
                <w:szCs w:val="18"/>
              </w:rPr>
              <w:t>60,000.00</w:t>
            </w:r>
          </w:p>
        </w:tc>
        <w:tc>
          <w:tcPr>
            <w:tcW w:w="1606" w:type="dxa"/>
            <w:tcBorders>
              <w:top w:val="single" w:color="auto" w:sz="2" w:space="0"/>
              <w:left w:val="single" w:color="auto" w:sz="2" w:space="0"/>
              <w:bottom w:val="single" w:color="auto" w:sz="2" w:space="0"/>
              <w:right w:val="single" w:color="auto" w:sz="2" w:space="0"/>
            </w:tcBorders>
            <w:vAlign w:val="center"/>
          </w:tcPr>
          <w:p w14:paraId="1133753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E24031C">
            <w:pPr>
              <w:spacing w:line="240" w:lineRule="exact"/>
              <w:jc w:val="right"/>
              <w:rPr>
                <w:rFonts w:ascii="宋体" w:hAnsi="宋体" w:eastAsia="宋体" w:cs="宋体"/>
                <w:sz w:val="18"/>
                <w:szCs w:val="18"/>
              </w:rPr>
            </w:pPr>
            <w:r>
              <w:rPr>
                <w:rFonts w:ascii="宋体" w:hAnsi="宋体" w:eastAsia="宋体" w:cs="宋体"/>
                <w:sz w:val="18"/>
                <w:szCs w:val="18"/>
              </w:rPr>
              <w:t>60,000.00</w:t>
            </w:r>
          </w:p>
        </w:tc>
      </w:tr>
      <w:tr w14:paraId="1144E0A4">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A832236">
            <w:pPr>
              <w:spacing w:line="240" w:lineRule="exact"/>
              <w:rPr>
                <w:rFonts w:ascii="宋体" w:hAnsi="宋体" w:eastAsia="宋体" w:cs="宋体"/>
                <w:sz w:val="18"/>
                <w:szCs w:val="18"/>
              </w:rPr>
            </w:pPr>
            <w:r>
              <w:rPr>
                <w:rFonts w:ascii="宋体" w:hAnsi="宋体" w:eastAsia="宋体" w:cs="宋体"/>
                <w:sz w:val="18"/>
                <w:szCs w:val="18"/>
              </w:rPr>
              <w:t>维修改造费用</w:t>
            </w:r>
          </w:p>
        </w:tc>
        <w:tc>
          <w:tcPr>
            <w:tcW w:w="1606" w:type="dxa"/>
            <w:tcBorders>
              <w:top w:val="single" w:color="auto" w:sz="2" w:space="0"/>
              <w:left w:val="single" w:color="auto" w:sz="2" w:space="0"/>
              <w:bottom w:val="single" w:color="auto" w:sz="2" w:space="0"/>
              <w:right w:val="single" w:color="auto" w:sz="2" w:space="0"/>
            </w:tcBorders>
            <w:vAlign w:val="center"/>
          </w:tcPr>
          <w:p w14:paraId="73C45292">
            <w:pPr>
              <w:spacing w:line="240" w:lineRule="exact"/>
              <w:jc w:val="right"/>
              <w:rPr>
                <w:rFonts w:ascii="宋体" w:hAnsi="宋体" w:eastAsia="宋体" w:cs="宋体"/>
                <w:sz w:val="18"/>
                <w:szCs w:val="18"/>
              </w:rPr>
            </w:pPr>
            <w:r>
              <w:rPr>
                <w:rFonts w:ascii="宋体" w:hAnsi="宋体" w:eastAsia="宋体" w:cs="宋体"/>
                <w:sz w:val="18"/>
                <w:szCs w:val="18"/>
              </w:rPr>
              <w:t>445,957.09</w:t>
            </w:r>
          </w:p>
        </w:tc>
        <w:tc>
          <w:tcPr>
            <w:tcW w:w="1606" w:type="dxa"/>
            <w:tcBorders>
              <w:top w:val="single" w:color="auto" w:sz="2" w:space="0"/>
              <w:left w:val="single" w:color="auto" w:sz="2" w:space="0"/>
              <w:bottom w:val="single" w:color="auto" w:sz="2" w:space="0"/>
              <w:right w:val="single" w:color="auto" w:sz="2" w:space="0"/>
            </w:tcBorders>
            <w:vAlign w:val="center"/>
          </w:tcPr>
          <w:p w14:paraId="4DA0ACE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815786D">
            <w:pPr>
              <w:spacing w:line="240" w:lineRule="exact"/>
              <w:jc w:val="right"/>
              <w:rPr>
                <w:rFonts w:ascii="宋体" w:hAnsi="宋体" w:eastAsia="宋体" w:cs="宋体"/>
                <w:sz w:val="18"/>
                <w:szCs w:val="18"/>
              </w:rPr>
            </w:pPr>
            <w:r>
              <w:rPr>
                <w:rFonts w:ascii="宋体" w:hAnsi="宋体" w:eastAsia="宋体" w:cs="宋体"/>
                <w:sz w:val="18"/>
                <w:szCs w:val="18"/>
              </w:rPr>
              <w:t>116,336.64</w:t>
            </w:r>
          </w:p>
        </w:tc>
        <w:tc>
          <w:tcPr>
            <w:tcW w:w="1606" w:type="dxa"/>
            <w:tcBorders>
              <w:top w:val="single" w:color="auto" w:sz="2" w:space="0"/>
              <w:left w:val="single" w:color="auto" w:sz="2" w:space="0"/>
              <w:bottom w:val="single" w:color="auto" w:sz="2" w:space="0"/>
              <w:right w:val="single" w:color="auto" w:sz="2" w:space="0"/>
            </w:tcBorders>
            <w:vAlign w:val="center"/>
          </w:tcPr>
          <w:p w14:paraId="5AB9C004">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308522A">
            <w:pPr>
              <w:spacing w:line="240" w:lineRule="exact"/>
              <w:jc w:val="right"/>
              <w:rPr>
                <w:rFonts w:ascii="宋体" w:hAnsi="宋体" w:eastAsia="宋体" w:cs="宋体"/>
                <w:sz w:val="18"/>
                <w:szCs w:val="18"/>
              </w:rPr>
            </w:pPr>
            <w:r>
              <w:rPr>
                <w:rFonts w:ascii="宋体" w:hAnsi="宋体" w:eastAsia="宋体" w:cs="宋体"/>
                <w:sz w:val="18"/>
                <w:szCs w:val="18"/>
              </w:rPr>
              <w:t>329,620.45</w:t>
            </w:r>
          </w:p>
        </w:tc>
      </w:tr>
      <w:tr w14:paraId="010F234D">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A6A9CB7">
            <w:pPr>
              <w:spacing w:line="240" w:lineRule="exact"/>
              <w:rPr>
                <w:rFonts w:ascii="宋体" w:hAnsi="宋体" w:eastAsia="宋体" w:cs="宋体"/>
                <w:sz w:val="18"/>
                <w:szCs w:val="18"/>
              </w:rPr>
            </w:pPr>
            <w:r>
              <w:rPr>
                <w:rFonts w:ascii="宋体" w:hAnsi="宋体" w:eastAsia="宋体" w:cs="宋体"/>
                <w:sz w:val="18"/>
                <w:szCs w:val="18"/>
              </w:rPr>
              <w:t>液化气罐安装工程</w:t>
            </w:r>
          </w:p>
        </w:tc>
        <w:tc>
          <w:tcPr>
            <w:tcW w:w="1606" w:type="dxa"/>
            <w:tcBorders>
              <w:top w:val="single" w:color="auto" w:sz="2" w:space="0"/>
              <w:left w:val="single" w:color="auto" w:sz="2" w:space="0"/>
              <w:bottom w:val="single" w:color="auto" w:sz="2" w:space="0"/>
              <w:right w:val="single" w:color="auto" w:sz="2" w:space="0"/>
            </w:tcBorders>
            <w:vAlign w:val="center"/>
          </w:tcPr>
          <w:p w14:paraId="070AE79C">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863F7F4">
            <w:pPr>
              <w:spacing w:line="240" w:lineRule="exact"/>
              <w:jc w:val="right"/>
              <w:rPr>
                <w:rFonts w:ascii="宋体" w:hAnsi="宋体" w:eastAsia="宋体" w:cs="宋体"/>
                <w:sz w:val="18"/>
                <w:szCs w:val="18"/>
              </w:rPr>
            </w:pPr>
            <w:r>
              <w:rPr>
                <w:rFonts w:ascii="宋体" w:hAnsi="宋体" w:eastAsia="宋体" w:cs="宋体"/>
                <w:sz w:val="18"/>
                <w:szCs w:val="18"/>
              </w:rPr>
              <w:t>222,912.62</w:t>
            </w:r>
          </w:p>
        </w:tc>
        <w:tc>
          <w:tcPr>
            <w:tcW w:w="1606" w:type="dxa"/>
            <w:tcBorders>
              <w:top w:val="single" w:color="auto" w:sz="2" w:space="0"/>
              <w:left w:val="single" w:color="auto" w:sz="2" w:space="0"/>
              <w:bottom w:val="single" w:color="auto" w:sz="2" w:space="0"/>
              <w:right w:val="single" w:color="auto" w:sz="2" w:space="0"/>
            </w:tcBorders>
            <w:vAlign w:val="center"/>
          </w:tcPr>
          <w:p w14:paraId="3E2C32E4">
            <w:pPr>
              <w:spacing w:line="240" w:lineRule="exact"/>
              <w:jc w:val="right"/>
              <w:rPr>
                <w:rFonts w:ascii="宋体" w:hAnsi="宋体" w:eastAsia="宋体" w:cs="宋体"/>
                <w:sz w:val="18"/>
                <w:szCs w:val="18"/>
              </w:rPr>
            </w:pPr>
            <w:r>
              <w:rPr>
                <w:rFonts w:ascii="宋体" w:hAnsi="宋体" w:eastAsia="宋体" w:cs="宋体"/>
                <w:sz w:val="18"/>
                <w:szCs w:val="18"/>
              </w:rPr>
              <w:t>3,715.21</w:t>
            </w:r>
          </w:p>
        </w:tc>
        <w:tc>
          <w:tcPr>
            <w:tcW w:w="1606" w:type="dxa"/>
            <w:tcBorders>
              <w:top w:val="single" w:color="auto" w:sz="2" w:space="0"/>
              <w:left w:val="single" w:color="auto" w:sz="2" w:space="0"/>
              <w:bottom w:val="single" w:color="auto" w:sz="2" w:space="0"/>
              <w:right w:val="single" w:color="auto" w:sz="2" w:space="0"/>
            </w:tcBorders>
            <w:vAlign w:val="center"/>
          </w:tcPr>
          <w:p w14:paraId="40A93A35">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72AD3E1">
            <w:pPr>
              <w:spacing w:line="240" w:lineRule="exact"/>
              <w:jc w:val="right"/>
              <w:rPr>
                <w:rFonts w:ascii="宋体" w:hAnsi="宋体" w:eastAsia="宋体" w:cs="宋体"/>
                <w:sz w:val="18"/>
                <w:szCs w:val="18"/>
              </w:rPr>
            </w:pPr>
            <w:r>
              <w:rPr>
                <w:rFonts w:ascii="宋体" w:hAnsi="宋体" w:eastAsia="宋体" w:cs="宋体"/>
                <w:sz w:val="18"/>
                <w:szCs w:val="18"/>
              </w:rPr>
              <w:t>219,197.41</w:t>
            </w:r>
          </w:p>
        </w:tc>
      </w:tr>
      <w:tr w14:paraId="51626A58">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CC9FC2B">
            <w:pPr>
              <w:spacing w:line="240" w:lineRule="exact"/>
              <w:rPr>
                <w:rFonts w:ascii="宋体" w:hAnsi="宋体" w:eastAsia="宋体" w:cs="宋体"/>
                <w:sz w:val="18"/>
                <w:szCs w:val="18"/>
              </w:rPr>
            </w:pPr>
            <w:r>
              <w:rPr>
                <w:rFonts w:ascii="宋体" w:hAnsi="宋体" w:eastAsia="宋体" w:cs="宋体"/>
                <w:sz w:val="18"/>
                <w:szCs w:val="18"/>
              </w:rPr>
              <w:t>厂区设施维修项目</w:t>
            </w:r>
          </w:p>
        </w:tc>
        <w:tc>
          <w:tcPr>
            <w:tcW w:w="1606" w:type="dxa"/>
            <w:tcBorders>
              <w:top w:val="single" w:color="auto" w:sz="2" w:space="0"/>
              <w:left w:val="single" w:color="auto" w:sz="2" w:space="0"/>
              <w:bottom w:val="single" w:color="auto" w:sz="2" w:space="0"/>
              <w:right w:val="single" w:color="auto" w:sz="2" w:space="0"/>
            </w:tcBorders>
            <w:vAlign w:val="center"/>
          </w:tcPr>
          <w:p w14:paraId="2BDBC422">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900085F">
            <w:pPr>
              <w:spacing w:line="240" w:lineRule="exact"/>
              <w:jc w:val="right"/>
              <w:rPr>
                <w:rFonts w:ascii="宋体" w:hAnsi="宋体" w:eastAsia="宋体" w:cs="宋体"/>
                <w:sz w:val="18"/>
                <w:szCs w:val="18"/>
              </w:rPr>
            </w:pPr>
            <w:r>
              <w:rPr>
                <w:rFonts w:ascii="宋体" w:hAnsi="宋体" w:eastAsia="宋体" w:cs="宋体"/>
                <w:sz w:val="18"/>
                <w:szCs w:val="18"/>
              </w:rPr>
              <w:t>1,014,926.22</w:t>
            </w:r>
          </w:p>
        </w:tc>
        <w:tc>
          <w:tcPr>
            <w:tcW w:w="1606" w:type="dxa"/>
            <w:tcBorders>
              <w:top w:val="single" w:color="auto" w:sz="2" w:space="0"/>
              <w:left w:val="single" w:color="auto" w:sz="2" w:space="0"/>
              <w:bottom w:val="single" w:color="auto" w:sz="2" w:space="0"/>
              <w:right w:val="single" w:color="auto" w:sz="2" w:space="0"/>
            </w:tcBorders>
            <w:vAlign w:val="center"/>
          </w:tcPr>
          <w:p w14:paraId="014DEAF3">
            <w:pPr>
              <w:spacing w:line="240" w:lineRule="exact"/>
              <w:jc w:val="right"/>
              <w:rPr>
                <w:rFonts w:ascii="宋体" w:hAnsi="宋体" w:eastAsia="宋体" w:cs="宋体"/>
                <w:sz w:val="18"/>
                <w:szCs w:val="18"/>
              </w:rPr>
            </w:pPr>
            <w:r>
              <w:rPr>
                <w:rFonts w:ascii="宋体" w:hAnsi="宋体" w:eastAsia="宋体" w:cs="宋体"/>
                <w:sz w:val="18"/>
                <w:szCs w:val="18"/>
              </w:rPr>
              <w:t>28,192.40</w:t>
            </w:r>
          </w:p>
        </w:tc>
        <w:tc>
          <w:tcPr>
            <w:tcW w:w="1606" w:type="dxa"/>
            <w:tcBorders>
              <w:top w:val="single" w:color="auto" w:sz="2" w:space="0"/>
              <w:left w:val="single" w:color="auto" w:sz="2" w:space="0"/>
              <w:bottom w:val="single" w:color="auto" w:sz="2" w:space="0"/>
              <w:right w:val="single" w:color="auto" w:sz="2" w:space="0"/>
            </w:tcBorders>
            <w:vAlign w:val="center"/>
          </w:tcPr>
          <w:p w14:paraId="253B15DD">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6C291DB">
            <w:pPr>
              <w:spacing w:line="240" w:lineRule="exact"/>
              <w:jc w:val="right"/>
              <w:rPr>
                <w:rFonts w:ascii="宋体" w:hAnsi="宋体" w:eastAsia="宋体" w:cs="宋体"/>
                <w:sz w:val="18"/>
                <w:szCs w:val="18"/>
              </w:rPr>
            </w:pPr>
            <w:r>
              <w:rPr>
                <w:rFonts w:ascii="宋体" w:hAnsi="宋体" w:eastAsia="宋体" w:cs="宋体"/>
                <w:sz w:val="18"/>
                <w:szCs w:val="18"/>
              </w:rPr>
              <w:t>986,733.82</w:t>
            </w:r>
          </w:p>
        </w:tc>
      </w:tr>
      <w:tr w14:paraId="14DC993C">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9683CA">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744AC3B5">
            <w:pPr>
              <w:spacing w:line="240" w:lineRule="exact"/>
              <w:jc w:val="right"/>
              <w:rPr>
                <w:rFonts w:ascii="宋体" w:hAnsi="宋体" w:eastAsia="宋体" w:cs="宋体"/>
                <w:sz w:val="18"/>
                <w:szCs w:val="18"/>
              </w:rPr>
            </w:pPr>
            <w:r>
              <w:rPr>
                <w:rFonts w:ascii="宋体" w:hAnsi="宋体" w:eastAsia="宋体" w:cs="宋体"/>
                <w:sz w:val="18"/>
                <w:szCs w:val="18"/>
              </w:rPr>
              <w:t>565,957.09</w:t>
            </w:r>
          </w:p>
        </w:tc>
        <w:tc>
          <w:tcPr>
            <w:tcW w:w="1606" w:type="dxa"/>
            <w:tcBorders>
              <w:top w:val="single" w:color="auto" w:sz="2" w:space="0"/>
              <w:left w:val="single" w:color="auto" w:sz="2" w:space="0"/>
              <w:bottom w:val="single" w:color="auto" w:sz="2" w:space="0"/>
              <w:right w:val="single" w:color="auto" w:sz="2" w:space="0"/>
            </w:tcBorders>
            <w:vAlign w:val="center"/>
          </w:tcPr>
          <w:p w14:paraId="7342E319">
            <w:pPr>
              <w:spacing w:line="240" w:lineRule="exact"/>
              <w:jc w:val="right"/>
              <w:rPr>
                <w:rFonts w:ascii="宋体" w:hAnsi="宋体" w:eastAsia="宋体" w:cs="宋体"/>
                <w:sz w:val="18"/>
                <w:szCs w:val="18"/>
              </w:rPr>
            </w:pPr>
            <w:r>
              <w:rPr>
                <w:rFonts w:ascii="宋体" w:hAnsi="宋体" w:eastAsia="宋体" w:cs="宋体"/>
                <w:sz w:val="18"/>
                <w:szCs w:val="18"/>
              </w:rPr>
              <w:t>1,237,838.84</w:t>
            </w:r>
          </w:p>
        </w:tc>
        <w:tc>
          <w:tcPr>
            <w:tcW w:w="1606" w:type="dxa"/>
            <w:tcBorders>
              <w:top w:val="single" w:color="auto" w:sz="2" w:space="0"/>
              <w:left w:val="single" w:color="auto" w:sz="2" w:space="0"/>
              <w:bottom w:val="single" w:color="auto" w:sz="2" w:space="0"/>
              <w:right w:val="single" w:color="auto" w:sz="2" w:space="0"/>
            </w:tcBorders>
            <w:vAlign w:val="center"/>
          </w:tcPr>
          <w:p w14:paraId="680F2918">
            <w:pPr>
              <w:spacing w:line="240" w:lineRule="exact"/>
              <w:jc w:val="right"/>
              <w:rPr>
                <w:rFonts w:ascii="宋体" w:hAnsi="宋体" w:eastAsia="宋体" w:cs="宋体"/>
                <w:sz w:val="18"/>
                <w:szCs w:val="18"/>
              </w:rPr>
            </w:pPr>
            <w:r>
              <w:rPr>
                <w:rFonts w:ascii="宋体" w:hAnsi="宋体" w:eastAsia="宋体" w:cs="宋体"/>
                <w:sz w:val="18"/>
                <w:szCs w:val="18"/>
              </w:rPr>
              <w:t>208,244.25</w:t>
            </w:r>
          </w:p>
        </w:tc>
        <w:tc>
          <w:tcPr>
            <w:tcW w:w="1606" w:type="dxa"/>
            <w:tcBorders>
              <w:top w:val="single" w:color="auto" w:sz="2" w:space="0"/>
              <w:left w:val="single" w:color="auto" w:sz="2" w:space="0"/>
              <w:bottom w:val="single" w:color="auto" w:sz="2" w:space="0"/>
              <w:right w:val="single" w:color="auto" w:sz="2" w:space="0"/>
            </w:tcBorders>
            <w:vAlign w:val="center"/>
          </w:tcPr>
          <w:p w14:paraId="28A87708">
            <w:pPr>
              <w:spacing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1EB244D">
            <w:pPr>
              <w:spacing w:line="240" w:lineRule="exact"/>
              <w:jc w:val="right"/>
              <w:rPr>
                <w:rFonts w:ascii="宋体" w:hAnsi="宋体" w:eastAsia="宋体" w:cs="宋体"/>
                <w:sz w:val="18"/>
                <w:szCs w:val="18"/>
              </w:rPr>
            </w:pPr>
            <w:r>
              <w:rPr>
                <w:rFonts w:ascii="宋体" w:hAnsi="宋体" w:eastAsia="宋体" w:cs="宋体"/>
                <w:sz w:val="18"/>
                <w:szCs w:val="18"/>
              </w:rPr>
              <w:t>1,595,551.68</w:t>
            </w:r>
          </w:p>
        </w:tc>
      </w:tr>
    </w:tbl>
    <w:p w14:paraId="71BA17A6">
      <w:pPr>
        <w:spacing w:before="100" w:after="100" w:line="240" w:lineRule="exact"/>
      </w:pPr>
      <w:r>
        <w:rPr>
          <w:rFonts w:ascii="宋体" w:hAnsi="宋体" w:eastAsia="宋体" w:cs="宋体"/>
          <w:sz w:val="18"/>
          <w:szCs w:val="18"/>
        </w:rPr>
        <w:t>其他说明</w:t>
      </w:r>
    </w:p>
    <w:p w14:paraId="3B79CD2C">
      <w:pPr>
        <w:pStyle w:val="3"/>
        <w:spacing w:after="100" w:line="280" w:lineRule="exact"/>
        <w:jc w:val="left"/>
        <w:rPr>
          <w:rFonts w:ascii="宋体" w:hAnsi="宋体" w:cs="宋体"/>
          <w:b/>
          <w:bCs/>
        </w:rPr>
      </w:pPr>
      <w:bookmarkStart w:id="287" w:name="_Toc989176"/>
      <w:r>
        <w:rPr>
          <w:rFonts w:ascii="宋体" w:hAnsi="宋体" w:cs="宋体"/>
          <w:b/>
          <w:bCs/>
        </w:rPr>
        <w:t>29、递延所得税资产/递延所得税负债</w:t>
      </w:r>
      <w:bookmarkEnd w:id="287"/>
    </w:p>
    <w:p w14:paraId="4AC0E5F4">
      <w:pPr>
        <w:keepNext/>
        <w:keepLines/>
        <w:spacing w:before="300" w:after="100" w:line="280" w:lineRule="exact"/>
        <w:outlineLvl w:val="3"/>
        <w:rPr>
          <w:rFonts w:ascii="宋体" w:hAnsi="宋体" w:eastAsia="宋体" w:cs="宋体"/>
          <w:b/>
          <w:bCs/>
          <w:szCs w:val="21"/>
        </w:rPr>
      </w:pPr>
      <w:bookmarkStart w:id="288" w:name="_Toc989177"/>
      <w:r>
        <w:rPr>
          <w:rFonts w:ascii="宋体" w:hAnsi="宋体" w:eastAsia="宋体" w:cs="宋体"/>
          <w:b/>
          <w:bCs/>
          <w:szCs w:val="21"/>
        </w:rPr>
        <w:t>（1） 未经抵销的递延所得税资产</w:t>
      </w:r>
      <w:bookmarkEnd w:id="288"/>
    </w:p>
    <w:p w14:paraId="65429ABA">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ADB516E">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36D0A6">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CEF4C8B">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3583AFA">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4915739">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CF9CD0">
            <w:pPr>
              <w:spacing w:after="100"/>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BFA5B7">
            <w:pPr>
              <w:spacing w:before="40" w:after="100" w:line="240" w:lineRule="exact"/>
              <w:jc w:val="center"/>
              <w:rPr>
                <w:rFonts w:ascii="宋体" w:hAnsi="宋体" w:eastAsia="宋体" w:cs="宋体"/>
                <w:sz w:val="18"/>
                <w:szCs w:val="18"/>
              </w:rPr>
            </w:pPr>
            <w:r>
              <w:rPr>
                <w:rFonts w:ascii="宋体" w:hAnsi="宋体" w:eastAsia="宋体" w:cs="宋体"/>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452244">
            <w:pPr>
              <w:spacing w:before="40" w:after="100" w:line="240" w:lineRule="exact"/>
              <w:jc w:val="center"/>
              <w:rPr>
                <w:rFonts w:ascii="宋体" w:hAnsi="宋体" w:eastAsia="宋体" w:cs="宋体"/>
                <w:sz w:val="18"/>
                <w:szCs w:val="18"/>
              </w:rPr>
            </w:pPr>
            <w:r>
              <w:rPr>
                <w:rFonts w:ascii="宋体" w:hAnsi="宋体" w:eastAsia="宋体" w:cs="宋体"/>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F405ACD">
            <w:pPr>
              <w:spacing w:before="40" w:after="100" w:line="240" w:lineRule="exact"/>
              <w:jc w:val="center"/>
              <w:rPr>
                <w:rFonts w:ascii="宋体" w:hAnsi="宋体" w:eastAsia="宋体" w:cs="宋体"/>
                <w:sz w:val="18"/>
                <w:szCs w:val="18"/>
              </w:rPr>
            </w:pPr>
            <w:r>
              <w:rPr>
                <w:rFonts w:ascii="宋体" w:hAnsi="宋体" w:eastAsia="宋体" w:cs="宋体"/>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E84AFA">
            <w:pPr>
              <w:spacing w:before="40" w:after="100" w:line="240" w:lineRule="exact"/>
              <w:jc w:val="center"/>
              <w:rPr>
                <w:rFonts w:ascii="宋体" w:hAnsi="宋体" w:eastAsia="宋体" w:cs="宋体"/>
                <w:sz w:val="18"/>
                <w:szCs w:val="18"/>
              </w:rPr>
            </w:pPr>
            <w:r>
              <w:rPr>
                <w:rFonts w:ascii="宋体" w:hAnsi="宋体" w:eastAsia="宋体" w:cs="宋体"/>
                <w:sz w:val="18"/>
                <w:szCs w:val="18"/>
              </w:rPr>
              <w:t>递延所得税资产</w:t>
            </w:r>
          </w:p>
        </w:tc>
      </w:tr>
      <w:tr w14:paraId="4CEBD90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CC1007">
            <w:pPr>
              <w:spacing w:before="40" w:after="100" w:line="240" w:lineRule="exact"/>
              <w:rPr>
                <w:rFonts w:ascii="宋体" w:hAnsi="宋体" w:eastAsia="宋体" w:cs="宋体"/>
                <w:sz w:val="18"/>
                <w:szCs w:val="18"/>
              </w:rPr>
            </w:pPr>
            <w:r>
              <w:rPr>
                <w:rFonts w:ascii="宋体" w:hAnsi="宋体" w:eastAsia="宋体" w:cs="宋体"/>
                <w:sz w:val="18"/>
                <w:szCs w:val="18"/>
              </w:rPr>
              <w:t>资产减值准备</w:t>
            </w:r>
          </w:p>
        </w:tc>
        <w:tc>
          <w:tcPr>
            <w:tcW w:w="1928" w:type="dxa"/>
            <w:tcBorders>
              <w:top w:val="single" w:color="auto" w:sz="2" w:space="0"/>
              <w:left w:val="single" w:color="auto" w:sz="2" w:space="0"/>
              <w:bottom w:val="single" w:color="auto" w:sz="2" w:space="0"/>
              <w:right w:val="single" w:color="auto" w:sz="2" w:space="0"/>
            </w:tcBorders>
            <w:vAlign w:val="center"/>
          </w:tcPr>
          <w:p w14:paraId="3D8FD314">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1A18DBE">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DC785F2">
            <w:pPr>
              <w:spacing w:after="100" w:line="240" w:lineRule="exact"/>
              <w:jc w:val="right"/>
              <w:rPr>
                <w:rFonts w:ascii="宋体" w:hAnsi="宋体" w:eastAsia="宋体" w:cs="宋体"/>
                <w:sz w:val="18"/>
                <w:szCs w:val="18"/>
              </w:rPr>
            </w:pPr>
            <w:r>
              <w:rPr>
                <w:rFonts w:ascii="宋体" w:hAnsi="宋体" w:eastAsia="宋体" w:cs="宋体"/>
                <w:sz w:val="18"/>
                <w:szCs w:val="18"/>
              </w:rPr>
              <w:t>23,480.00</w:t>
            </w:r>
          </w:p>
        </w:tc>
        <w:tc>
          <w:tcPr>
            <w:tcW w:w="1928" w:type="dxa"/>
            <w:tcBorders>
              <w:top w:val="single" w:color="auto" w:sz="2" w:space="0"/>
              <w:left w:val="single" w:color="auto" w:sz="2" w:space="0"/>
              <w:bottom w:val="single" w:color="auto" w:sz="2" w:space="0"/>
              <w:right w:val="single" w:color="auto" w:sz="2" w:space="0"/>
            </w:tcBorders>
            <w:vAlign w:val="center"/>
          </w:tcPr>
          <w:p w14:paraId="2A6A592D">
            <w:pPr>
              <w:spacing w:after="100" w:line="240" w:lineRule="exact"/>
              <w:jc w:val="right"/>
              <w:rPr>
                <w:rFonts w:ascii="宋体" w:hAnsi="宋体" w:eastAsia="宋体" w:cs="宋体"/>
                <w:sz w:val="18"/>
                <w:szCs w:val="18"/>
              </w:rPr>
            </w:pPr>
            <w:r>
              <w:rPr>
                <w:rFonts w:ascii="宋体" w:hAnsi="宋体" w:eastAsia="宋体" w:cs="宋体"/>
                <w:sz w:val="18"/>
                <w:szCs w:val="18"/>
              </w:rPr>
              <w:t>2,113.20</w:t>
            </w:r>
          </w:p>
        </w:tc>
      </w:tr>
      <w:tr w14:paraId="72FF9225">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EF1DEE7">
            <w:pPr>
              <w:spacing w:after="100" w:line="240" w:lineRule="exact"/>
              <w:rPr>
                <w:rFonts w:ascii="宋体" w:hAnsi="宋体" w:eastAsia="宋体" w:cs="宋体"/>
                <w:sz w:val="18"/>
                <w:szCs w:val="18"/>
              </w:rPr>
            </w:pPr>
            <w:r>
              <w:rPr>
                <w:rFonts w:ascii="宋体" w:hAnsi="宋体" w:eastAsia="宋体" w:cs="宋体"/>
                <w:sz w:val="18"/>
                <w:szCs w:val="18"/>
              </w:rPr>
              <w:t>信用减值准备</w:t>
            </w:r>
          </w:p>
        </w:tc>
        <w:tc>
          <w:tcPr>
            <w:tcW w:w="1928" w:type="dxa"/>
            <w:tcBorders>
              <w:top w:val="single" w:color="auto" w:sz="2" w:space="0"/>
              <w:left w:val="single" w:color="auto" w:sz="2" w:space="0"/>
              <w:bottom w:val="single" w:color="auto" w:sz="2" w:space="0"/>
              <w:right w:val="single" w:color="auto" w:sz="2" w:space="0"/>
            </w:tcBorders>
            <w:vAlign w:val="center"/>
          </w:tcPr>
          <w:p w14:paraId="7000F2F8">
            <w:pPr>
              <w:spacing w:after="100" w:line="240" w:lineRule="exact"/>
              <w:jc w:val="right"/>
              <w:rPr>
                <w:rFonts w:ascii="宋体" w:hAnsi="宋体" w:eastAsia="宋体" w:cs="宋体"/>
                <w:sz w:val="18"/>
                <w:szCs w:val="18"/>
              </w:rPr>
            </w:pPr>
            <w:r>
              <w:rPr>
                <w:rFonts w:ascii="宋体" w:hAnsi="宋体" w:eastAsia="宋体" w:cs="宋体"/>
                <w:sz w:val="18"/>
                <w:szCs w:val="18"/>
              </w:rPr>
              <w:t>146,346,440.89</w:t>
            </w:r>
          </w:p>
        </w:tc>
        <w:tc>
          <w:tcPr>
            <w:tcW w:w="1928" w:type="dxa"/>
            <w:tcBorders>
              <w:top w:val="single" w:color="auto" w:sz="2" w:space="0"/>
              <w:left w:val="single" w:color="auto" w:sz="2" w:space="0"/>
              <w:bottom w:val="single" w:color="auto" w:sz="2" w:space="0"/>
              <w:right w:val="single" w:color="auto" w:sz="2" w:space="0"/>
            </w:tcBorders>
            <w:vAlign w:val="center"/>
          </w:tcPr>
          <w:p w14:paraId="6F7616FE">
            <w:pPr>
              <w:spacing w:after="100" w:line="240" w:lineRule="exact"/>
              <w:jc w:val="right"/>
              <w:rPr>
                <w:rFonts w:ascii="宋体" w:hAnsi="宋体" w:eastAsia="宋体" w:cs="宋体"/>
                <w:sz w:val="18"/>
                <w:szCs w:val="18"/>
              </w:rPr>
            </w:pPr>
            <w:r>
              <w:rPr>
                <w:rFonts w:ascii="宋体" w:hAnsi="宋体" w:eastAsia="宋体" w:cs="宋体"/>
                <w:sz w:val="18"/>
                <w:szCs w:val="18"/>
              </w:rPr>
              <w:t>13,171,179.68</w:t>
            </w:r>
          </w:p>
        </w:tc>
        <w:tc>
          <w:tcPr>
            <w:tcW w:w="1928" w:type="dxa"/>
            <w:tcBorders>
              <w:top w:val="single" w:color="auto" w:sz="2" w:space="0"/>
              <w:left w:val="single" w:color="auto" w:sz="2" w:space="0"/>
              <w:bottom w:val="single" w:color="auto" w:sz="2" w:space="0"/>
              <w:right w:val="single" w:color="auto" w:sz="2" w:space="0"/>
            </w:tcBorders>
            <w:vAlign w:val="center"/>
          </w:tcPr>
          <w:p w14:paraId="205CF4B4">
            <w:pPr>
              <w:spacing w:after="100" w:line="240" w:lineRule="exact"/>
              <w:jc w:val="right"/>
              <w:rPr>
                <w:rFonts w:ascii="宋体" w:hAnsi="宋体" w:eastAsia="宋体" w:cs="宋体"/>
                <w:sz w:val="18"/>
                <w:szCs w:val="18"/>
              </w:rPr>
            </w:pPr>
            <w:r>
              <w:rPr>
                <w:rFonts w:ascii="宋体" w:hAnsi="宋体" w:eastAsia="宋体" w:cs="宋体"/>
                <w:sz w:val="18"/>
                <w:szCs w:val="18"/>
              </w:rPr>
              <w:t>146,334,131.15</w:t>
            </w:r>
          </w:p>
        </w:tc>
        <w:tc>
          <w:tcPr>
            <w:tcW w:w="1928" w:type="dxa"/>
            <w:tcBorders>
              <w:top w:val="single" w:color="auto" w:sz="2" w:space="0"/>
              <w:left w:val="single" w:color="auto" w:sz="2" w:space="0"/>
              <w:bottom w:val="single" w:color="auto" w:sz="2" w:space="0"/>
              <w:right w:val="single" w:color="auto" w:sz="2" w:space="0"/>
            </w:tcBorders>
            <w:vAlign w:val="center"/>
          </w:tcPr>
          <w:p w14:paraId="29245C8F">
            <w:pPr>
              <w:spacing w:after="100" w:line="240" w:lineRule="exact"/>
              <w:jc w:val="right"/>
              <w:rPr>
                <w:rFonts w:ascii="宋体" w:hAnsi="宋体" w:eastAsia="宋体" w:cs="宋体"/>
                <w:sz w:val="18"/>
                <w:szCs w:val="18"/>
              </w:rPr>
            </w:pPr>
            <w:r>
              <w:rPr>
                <w:rFonts w:ascii="宋体" w:hAnsi="宋体" w:eastAsia="宋体" w:cs="宋体"/>
                <w:sz w:val="18"/>
                <w:szCs w:val="18"/>
              </w:rPr>
              <w:t>13,170,071.80</w:t>
            </w:r>
          </w:p>
        </w:tc>
      </w:tr>
      <w:tr w14:paraId="300D88FE">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96781F">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148B1FA5">
            <w:pPr>
              <w:spacing w:after="100" w:line="240" w:lineRule="exact"/>
              <w:jc w:val="right"/>
              <w:rPr>
                <w:rFonts w:ascii="宋体" w:hAnsi="宋体" w:eastAsia="宋体" w:cs="宋体"/>
                <w:sz w:val="18"/>
                <w:szCs w:val="18"/>
              </w:rPr>
            </w:pPr>
            <w:r>
              <w:rPr>
                <w:rFonts w:ascii="宋体" w:hAnsi="宋体" w:eastAsia="宋体" w:cs="宋体"/>
                <w:sz w:val="18"/>
                <w:szCs w:val="18"/>
              </w:rPr>
              <w:t>146,346,440.89</w:t>
            </w:r>
          </w:p>
        </w:tc>
        <w:tc>
          <w:tcPr>
            <w:tcW w:w="1928" w:type="dxa"/>
            <w:tcBorders>
              <w:top w:val="single" w:color="auto" w:sz="2" w:space="0"/>
              <w:left w:val="single" w:color="auto" w:sz="2" w:space="0"/>
              <w:bottom w:val="single" w:color="auto" w:sz="2" w:space="0"/>
              <w:right w:val="single" w:color="auto" w:sz="2" w:space="0"/>
            </w:tcBorders>
            <w:vAlign w:val="center"/>
          </w:tcPr>
          <w:p w14:paraId="3849C360">
            <w:pPr>
              <w:spacing w:after="100" w:line="240" w:lineRule="exact"/>
              <w:jc w:val="right"/>
              <w:rPr>
                <w:rFonts w:ascii="宋体" w:hAnsi="宋体" w:eastAsia="宋体" w:cs="宋体"/>
                <w:sz w:val="18"/>
                <w:szCs w:val="18"/>
              </w:rPr>
            </w:pPr>
            <w:r>
              <w:rPr>
                <w:rFonts w:ascii="宋体" w:hAnsi="宋体" w:eastAsia="宋体" w:cs="宋体"/>
                <w:sz w:val="18"/>
                <w:szCs w:val="18"/>
              </w:rPr>
              <w:t>13,171,179.68</w:t>
            </w:r>
          </w:p>
        </w:tc>
        <w:tc>
          <w:tcPr>
            <w:tcW w:w="1928" w:type="dxa"/>
            <w:tcBorders>
              <w:top w:val="single" w:color="auto" w:sz="2" w:space="0"/>
              <w:left w:val="single" w:color="auto" w:sz="2" w:space="0"/>
              <w:bottom w:val="single" w:color="auto" w:sz="2" w:space="0"/>
              <w:right w:val="single" w:color="auto" w:sz="2" w:space="0"/>
            </w:tcBorders>
            <w:vAlign w:val="center"/>
          </w:tcPr>
          <w:p w14:paraId="00D909D4">
            <w:pPr>
              <w:spacing w:after="100" w:line="240" w:lineRule="exact"/>
              <w:jc w:val="right"/>
              <w:rPr>
                <w:rFonts w:ascii="宋体" w:hAnsi="宋体" w:eastAsia="宋体" w:cs="宋体"/>
                <w:sz w:val="18"/>
                <w:szCs w:val="18"/>
              </w:rPr>
            </w:pPr>
            <w:r>
              <w:rPr>
                <w:rFonts w:ascii="宋体" w:hAnsi="宋体" w:eastAsia="宋体" w:cs="宋体"/>
                <w:sz w:val="18"/>
                <w:szCs w:val="18"/>
              </w:rPr>
              <w:t>146,357,611.15</w:t>
            </w:r>
          </w:p>
        </w:tc>
        <w:tc>
          <w:tcPr>
            <w:tcW w:w="1928" w:type="dxa"/>
            <w:tcBorders>
              <w:top w:val="single" w:color="auto" w:sz="2" w:space="0"/>
              <w:left w:val="single" w:color="auto" w:sz="2" w:space="0"/>
              <w:bottom w:val="single" w:color="auto" w:sz="2" w:space="0"/>
              <w:right w:val="single" w:color="auto" w:sz="2" w:space="0"/>
            </w:tcBorders>
            <w:vAlign w:val="center"/>
          </w:tcPr>
          <w:p w14:paraId="215AB63A">
            <w:pPr>
              <w:spacing w:after="100" w:line="240" w:lineRule="exact"/>
              <w:jc w:val="right"/>
              <w:rPr>
                <w:rFonts w:ascii="宋体" w:hAnsi="宋体" w:eastAsia="宋体" w:cs="宋体"/>
                <w:sz w:val="18"/>
                <w:szCs w:val="18"/>
              </w:rPr>
            </w:pPr>
            <w:r>
              <w:rPr>
                <w:rFonts w:ascii="宋体" w:hAnsi="宋体" w:eastAsia="宋体" w:cs="宋体"/>
                <w:sz w:val="18"/>
                <w:szCs w:val="18"/>
              </w:rPr>
              <w:t>13,172,185.00</w:t>
            </w:r>
          </w:p>
        </w:tc>
      </w:tr>
    </w:tbl>
    <w:p w14:paraId="124D46EA">
      <w:pPr>
        <w:keepNext/>
        <w:keepLines/>
        <w:spacing w:before="300" w:after="100" w:line="280" w:lineRule="exact"/>
        <w:outlineLvl w:val="3"/>
        <w:rPr>
          <w:rFonts w:ascii="宋体" w:hAnsi="宋体" w:eastAsia="宋体" w:cs="宋体"/>
          <w:b/>
          <w:bCs/>
          <w:szCs w:val="21"/>
        </w:rPr>
      </w:pPr>
      <w:bookmarkStart w:id="289" w:name="_Toc989178"/>
      <w:r>
        <w:rPr>
          <w:rFonts w:ascii="宋体" w:hAnsi="宋体" w:eastAsia="宋体" w:cs="宋体"/>
          <w:b/>
          <w:bCs/>
          <w:szCs w:val="21"/>
        </w:rPr>
        <w:t>（2） 未经抵销的递延所得税负债</w:t>
      </w:r>
      <w:bookmarkEnd w:id="289"/>
    </w:p>
    <w:p w14:paraId="39A6378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518FE78">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8AD97F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6ACA7D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8AECDC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9964912">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E71DC1"/>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6D5EFD">
            <w:pPr>
              <w:spacing w:before="40" w:after="40" w:line="240" w:lineRule="exact"/>
              <w:jc w:val="center"/>
              <w:rPr>
                <w:rFonts w:ascii="宋体" w:hAnsi="宋体" w:eastAsia="宋体" w:cs="宋体"/>
                <w:sz w:val="18"/>
                <w:szCs w:val="18"/>
              </w:rPr>
            </w:pPr>
            <w:r>
              <w:rPr>
                <w:rFonts w:ascii="宋体" w:hAnsi="宋体" w:eastAsia="宋体" w:cs="宋体"/>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E1DCB6">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DD12ED">
            <w:pPr>
              <w:spacing w:before="40" w:after="40" w:line="240" w:lineRule="exact"/>
              <w:jc w:val="center"/>
              <w:rPr>
                <w:rFonts w:ascii="宋体" w:hAnsi="宋体" w:eastAsia="宋体" w:cs="宋体"/>
                <w:sz w:val="18"/>
                <w:szCs w:val="18"/>
              </w:rPr>
            </w:pPr>
            <w:r>
              <w:rPr>
                <w:rFonts w:ascii="宋体" w:hAnsi="宋体" w:eastAsia="宋体" w:cs="宋体"/>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2BDBA6">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递延所得税负债</w:t>
            </w:r>
          </w:p>
        </w:tc>
      </w:tr>
    </w:tbl>
    <w:p w14:paraId="057E023F">
      <w:pPr>
        <w:keepNext/>
        <w:keepLines/>
        <w:spacing w:before="300" w:after="100" w:line="280" w:lineRule="exact"/>
        <w:outlineLvl w:val="3"/>
        <w:rPr>
          <w:rFonts w:ascii="宋体" w:hAnsi="宋体" w:eastAsia="宋体" w:cs="宋体"/>
          <w:b/>
          <w:bCs/>
          <w:szCs w:val="21"/>
        </w:rPr>
      </w:pPr>
      <w:bookmarkStart w:id="290" w:name="_Toc989179"/>
      <w:r>
        <w:rPr>
          <w:rFonts w:ascii="宋体" w:hAnsi="宋体" w:eastAsia="宋体" w:cs="宋体"/>
          <w:b/>
          <w:bCs/>
          <w:szCs w:val="21"/>
        </w:rPr>
        <w:t>（3） 以抵销后净额列示的递延所得税资产或负债</w:t>
      </w:r>
      <w:bookmarkEnd w:id="290"/>
    </w:p>
    <w:p w14:paraId="4E28E209">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3C616E6">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744120">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F31189">
            <w:pPr>
              <w:spacing w:before="40" w:after="100" w:line="240" w:lineRule="exact"/>
              <w:jc w:val="center"/>
              <w:rPr>
                <w:rFonts w:ascii="宋体" w:hAnsi="宋体" w:eastAsia="宋体" w:cs="宋体"/>
                <w:sz w:val="18"/>
                <w:szCs w:val="18"/>
              </w:rPr>
            </w:pPr>
            <w:r>
              <w:rPr>
                <w:rFonts w:ascii="宋体" w:hAnsi="宋体" w:eastAsia="宋体" w:cs="宋体"/>
                <w:sz w:val="18"/>
                <w:szCs w:val="18"/>
              </w:rPr>
              <w:t>递延所得税资产和负债期末互抵金额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F4955B">
            <w:pPr>
              <w:spacing w:before="40" w:after="100" w:line="240" w:lineRule="exact"/>
              <w:jc w:val="center"/>
              <w:rPr>
                <w:rFonts w:ascii="宋体" w:hAnsi="宋体" w:eastAsia="宋体" w:cs="宋体"/>
                <w:sz w:val="18"/>
                <w:szCs w:val="18"/>
              </w:rPr>
            </w:pPr>
            <w:r>
              <w:rPr>
                <w:rFonts w:ascii="宋体" w:hAnsi="宋体" w:eastAsia="宋体" w:cs="宋体"/>
                <w:sz w:val="18"/>
                <w:szCs w:val="18"/>
              </w:rPr>
              <w:t>抵销后递延所得税资产或负债期末余额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127CB4">
            <w:pPr>
              <w:spacing w:before="40" w:after="100" w:line="240" w:lineRule="exact"/>
              <w:jc w:val="center"/>
              <w:rPr>
                <w:rFonts w:ascii="宋体" w:hAnsi="宋体" w:eastAsia="宋体" w:cs="宋体"/>
                <w:sz w:val="18"/>
                <w:szCs w:val="18"/>
              </w:rPr>
            </w:pPr>
            <w:r>
              <w:rPr>
                <w:rFonts w:ascii="宋体" w:hAnsi="宋体" w:eastAsia="宋体" w:cs="宋体"/>
                <w:sz w:val="18"/>
                <w:szCs w:val="18"/>
              </w:rPr>
              <w:t>递延所得税资产和负债期初互抵金额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46EB84">
            <w:pPr>
              <w:spacing w:before="40" w:after="100" w:line="240" w:lineRule="exact"/>
              <w:jc w:val="center"/>
              <w:rPr>
                <w:rFonts w:ascii="宋体" w:hAnsi="宋体" w:eastAsia="宋体" w:cs="宋体"/>
                <w:sz w:val="18"/>
                <w:szCs w:val="18"/>
              </w:rPr>
            </w:pPr>
            <w:r>
              <w:rPr>
                <w:rFonts w:ascii="宋体" w:hAnsi="宋体" w:eastAsia="宋体" w:cs="宋体"/>
                <w:sz w:val="18"/>
                <w:szCs w:val="18"/>
              </w:rPr>
              <w:t>抵销后递延所得税资产或负债期初余额</w:t>
            </w:r>
          </w:p>
        </w:tc>
      </w:tr>
      <w:tr w14:paraId="1D2E90A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693744">
            <w:pPr>
              <w:spacing w:before="40" w:after="100" w:line="240" w:lineRule="exact"/>
              <w:rPr>
                <w:rFonts w:ascii="宋体" w:hAnsi="宋体" w:eastAsia="宋体" w:cs="宋体"/>
                <w:sz w:val="18"/>
                <w:szCs w:val="18"/>
              </w:rPr>
            </w:pPr>
            <w:r>
              <w:rPr>
                <w:rFonts w:ascii="宋体" w:hAnsi="宋体" w:eastAsia="宋体" w:cs="宋体"/>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vAlign w:val="center"/>
          </w:tcPr>
          <w:p w14:paraId="4C7A1101">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1EB4363">
            <w:pPr>
              <w:spacing w:after="100" w:line="240" w:lineRule="exact"/>
              <w:jc w:val="right"/>
              <w:rPr>
                <w:rFonts w:ascii="宋体" w:hAnsi="宋体" w:eastAsia="宋体" w:cs="宋体"/>
                <w:sz w:val="18"/>
                <w:szCs w:val="18"/>
              </w:rPr>
            </w:pPr>
            <w:r>
              <w:rPr>
                <w:rFonts w:ascii="宋体" w:hAnsi="宋体" w:eastAsia="宋体" w:cs="宋体"/>
                <w:sz w:val="18"/>
                <w:szCs w:val="18"/>
              </w:rPr>
              <w:t>13,171,179.68</w:t>
            </w:r>
          </w:p>
        </w:tc>
        <w:tc>
          <w:tcPr>
            <w:tcW w:w="1928" w:type="dxa"/>
            <w:tcBorders>
              <w:top w:val="single" w:color="auto" w:sz="2" w:space="0"/>
              <w:left w:val="single" w:color="auto" w:sz="2" w:space="0"/>
              <w:bottom w:val="single" w:color="auto" w:sz="2" w:space="0"/>
              <w:right w:val="single" w:color="auto" w:sz="2" w:space="0"/>
            </w:tcBorders>
            <w:vAlign w:val="center"/>
          </w:tcPr>
          <w:p w14:paraId="3984CF48">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710DE57">
            <w:pPr>
              <w:spacing w:after="100" w:line="240" w:lineRule="exact"/>
              <w:jc w:val="right"/>
              <w:rPr>
                <w:rFonts w:ascii="宋体" w:hAnsi="宋体" w:eastAsia="宋体" w:cs="宋体"/>
                <w:sz w:val="18"/>
                <w:szCs w:val="18"/>
              </w:rPr>
            </w:pPr>
            <w:r>
              <w:rPr>
                <w:rFonts w:ascii="宋体" w:hAnsi="宋体" w:eastAsia="宋体" w:cs="宋体"/>
                <w:sz w:val="18"/>
                <w:szCs w:val="18"/>
              </w:rPr>
              <w:t>13,172,185.00</w:t>
            </w:r>
          </w:p>
        </w:tc>
      </w:tr>
    </w:tbl>
    <w:p w14:paraId="1E6F9FAC">
      <w:pPr>
        <w:keepNext/>
        <w:keepLines/>
        <w:spacing w:before="300" w:after="100" w:line="280" w:lineRule="exact"/>
        <w:outlineLvl w:val="3"/>
        <w:rPr>
          <w:rFonts w:ascii="宋体" w:hAnsi="宋体" w:eastAsia="宋体" w:cs="宋体"/>
          <w:b/>
          <w:bCs/>
          <w:szCs w:val="21"/>
        </w:rPr>
      </w:pPr>
      <w:bookmarkStart w:id="291" w:name="_Toc989180"/>
      <w:r>
        <w:rPr>
          <w:rFonts w:ascii="宋体" w:hAnsi="宋体" w:eastAsia="宋体" w:cs="宋体"/>
          <w:b/>
          <w:bCs/>
          <w:szCs w:val="21"/>
        </w:rPr>
        <w:t>（4） 未确认递延所得税资产明细</w:t>
      </w:r>
      <w:bookmarkEnd w:id="291"/>
    </w:p>
    <w:p w14:paraId="3B4D56E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D0D233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0B0E4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30263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36029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E22412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0C7A60">
            <w:pPr>
              <w:spacing w:before="40" w:after="40" w:line="240" w:lineRule="exact"/>
              <w:rPr>
                <w:rFonts w:ascii="宋体" w:hAnsi="宋体" w:eastAsia="宋体" w:cs="宋体"/>
                <w:sz w:val="18"/>
                <w:szCs w:val="18"/>
              </w:rPr>
            </w:pPr>
            <w:r>
              <w:rPr>
                <w:rFonts w:ascii="宋体" w:hAnsi="宋体" w:eastAsia="宋体" w:cs="宋体"/>
                <w:sz w:val="18"/>
                <w:szCs w:val="18"/>
              </w:rPr>
              <w:t>可抵扣亏损</w:t>
            </w:r>
          </w:p>
        </w:tc>
        <w:tc>
          <w:tcPr>
            <w:tcW w:w="3213" w:type="dxa"/>
            <w:tcBorders>
              <w:top w:val="single" w:color="auto" w:sz="2" w:space="0"/>
              <w:left w:val="single" w:color="auto" w:sz="2" w:space="0"/>
              <w:bottom w:val="single" w:color="auto" w:sz="2" w:space="0"/>
              <w:right w:val="single" w:color="auto" w:sz="2" w:space="0"/>
            </w:tcBorders>
            <w:vAlign w:val="center"/>
          </w:tcPr>
          <w:p w14:paraId="45BF91B6">
            <w:pPr>
              <w:spacing w:line="240" w:lineRule="exact"/>
              <w:jc w:val="right"/>
              <w:rPr>
                <w:rFonts w:ascii="宋体" w:hAnsi="宋体" w:eastAsia="宋体" w:cs="宋体"/>
                <w:sz w:val="18"/>
                <w:szCs w:val="18"/>
              </w:rPr>
            </w:pPr>
            <w:r>
              <w:rPr>
                <w:rFonts w:ascii="宋体" w:hAnsi="宋体" w:eastAsia="宋体" w:cs="宋体"/>
                <w:sz w:val="18"/>
                <w:szCs w:val="18"/>
              </w:rPr>
              <w:t>88,830,143.87</w:t>
            </w:r>
          </w:p>
        </w:tc>
        <w:tc>
          <w:tcPr>
            <w:tcW w:w="3213" w:type="dxa"/>
            <w:tcBorders>
              <w:top w:val="single" w:color="auto" w:sz="2" w:space="0"/>
              <w:left w:val="single" w:color="auto" w:sz="2" w:space="0"/>
              <w:bottom w:val="single" w:color="auto" w:sz="2" w:space="0"/>
              <w:right w:val="single" w:color="auto" w:sz="2" w:space="0"/>
            </w:tcBorders>
            <w:vAlign w:val="center"/>
          </w:tcPr>
          <w:p w14:paraId="6145CEFA">
            <w:pPr>
              <w:spacing w:line="240" w:lineRule="exact"/>
              <w:jc w:val="right"/>
              <w:rPr>
                <w:rFonts w:ascii="宋体" w:hAnsi="宋体" w:eastAsia="宋体" w:cs="宋体"/>
                <w:sz w:val="18"/>
                <w:szCs w:val="18"/>
              </w:rPr>
            </w:pPr>
            <w:r>
              <w:rPr>
                <w:rFonts w:ascii="宋体" w:hAnsi="宋体" w:eastAsia="宋体" w:cs="宋体"/>
                <w:sz w:val="18"/>
                <w:szCs w:val="18"/>
              </w:rPr>
              <w:t>98,990,914.76</w:t>
            </w:r>
          </w:p>
        </w:tc>
      </w:tr>
      <w:tr w14:paraId="53CDAE4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32B854A">
            <w:pPr>
              <w:spacing w:line="240" w:lineRule="exact"/>
              <w:rPr>
                <w:rFonts w:ascii="宋体" w:hAnsi="宋体" w:eastAsia="宋体" w:cs="宋体"/>
                <w:sz w:val="18"/>
                <w:szCs w:val="18"/>
              </w:rPr>
            </w:pPr>
            <w:r>
              <w:rPr>
                <w:rFonts w:ascii="宋体" w:hAnsi="宋体" w:eastAsia="宋体" w:cs="宋体"/>
                <w:sz w:val="18"/>
                <w:szCs w:val="18"/>
              </w:rPr>
              <w:t>坏账准备</w:t>
            </w:r>
          </w:p>
        </w:tc>
        <w:tc>
          <w:tcPr>
            <w:tcW w:w="3213" w:type="dxa"/>
            <w:tcBorders>
              <w:top w:val="single" w:color="auto" w:sz="2" w:space="0"/>
              <w:left w:val="single" w:color="auto" w:sz="2" w:space="0"/>
              <w:bottom w:val="single" w:color="auto" w:sz="2" w:space="0"/>
              <w:right w:val="single" w:color="auto" w:sz="2" w:space="0"/>
            </w:tcBorders>
            <w:vAlign w:val="center"/>
          </w:tcPr>
          <w:p w14:paraId="07A519DD">
            <w:pPr>
              <w:spacing w:line="240" w:lineRule="exact"/>
              <w:jc w:val="right"/>
              <w:rPr>
                <w:rFonts w:ascii="宋体" w:hAnsi="宋体" w:eastAsia="宋体" w:cs="宋体"/>
                <w:sz w:val="18"/>
                <w:szCs w:val="18"/>
              </w:rPr>
            </w:pPr>
            <w:r>
              <w:rPr>
                <w:rFonts w:ascii="宋体" w:hAnsi="宋体" w:eastAsia="宋体" w:cs="宋体"/>
                <w:sz w:val="18"/>
                <w:szCs w:val="18"/>
              </w:rPr>
              <w:t>303,224,408.04</w:t>
            </w:r>
          </w:p>
        </w:tc>
        <w:tc>
          <w:tcPr>
            <w:tcW w:w="3213" w:type="dxa"/>
            <w:tcBorders>
              <w:top w:val="single" w:color="auto" w:sz="2" w:space="0"/>
              <w:left w:val="single" w:color="auto" w:sz="2" w:space="0"/>
              <w:bottom w:val="single" w:color="auto" w:sz="2" w:space="0"/>
              <w:right w:val="single" w:color="auto" w:sz="2" w:space="0"/>
            </w:tcBorders>
            <w:vAlign w:val="center"/>
          </w:tcPr>
          <w:p w14:paraId="63DDECAE">
            <w:pPr>
              <w:spacing w:line="240" w:lineRule="exact"/>
              <w:jc w:val="right"/>
              <w:rPr>
                <w:rFonts w:ascii="宋体" w:hAnsi="宋体" w:eastAsia="宋体" w:cs="宋体"/>
                <w:sz w:val="18"/>
                <w:szCs w:val="18"/>
              </w:rPr>
            </w:pPr>
            <w:r>
              <w:rPr>
                <w:rFonts w:ascii="宋体" w:hAnsi="宋体" w:eastAsia="宋体" w:cs="宋体"/>
                <w:sz w:val="18"/>
                <w:szCs w:val="18"/>
              </w:rPr>
              <w:t>303,209,519.42</w:t>
            </w:r>
          </w:p>
        </w:tc>
      </w:tr>
      <w:tr w14:paraId="7A5A712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4A46058">
            <w:pPr>
              <w:spacing w:line="240" w:lineRule="exact"/>
              <w:rPr>
                <w:rFonts w:ascii="宋体" w:hAnsi="宋体" w:eastAsia="宋体" w:cs="宋体"/>
                <w:sz w:val="18"/>
                <w:szCs w:val="18"/>
              </w:rPr>
            </w:pPr>
            <w:r>
              <w:rPr>
                <w:rFonts w:ascii="宋体" w:hAnsi="宋体" w:eastAsia="宋体" w:cs="宋体"/>
                <w:sz w:val="18"/>
                <w:szCs w:val="18"/>
              </w:rPr>
              <w:t>长期股权投资减值准备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0110D56E">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3213" w:type="dxa"/>
            <w:tcBorders>
              <w:top w:val="single" w:color="auto" w:sz="2" w:space="0"/>
              <w:left w:val="single" w:color="auto" w:sz="2" w:space="0"/>
              <w:bottom w:val="single" w:color="auto" w:sz="2" w:space="0"/>
              <w:right w:val="single" w:color="auto" w:sz="2" w:space="0"/>
            </w:tcBorders>
            <w:vAlign w:val="center"/>
          </w:tcPr>
          <w:p w14:paraId="7DD89F0B">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r w14:paraId="186EBCA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AB3591A">
            <w:pPr>
              <w:spacing w:line="240" w:lineRule="exact"/>
              <w:rPr>
                <w:rFonts w:ascii="宋体" w:hAnsi="宋体" w:eastAsia="宋体" w:cs="宋体"/>
                <w:sz w:val="18"/>
                <w:szCs w:val="18"/>
              </w:rPr>
            </w:pPr>
            <w:r>
              <w:rPr>
                <w:rFonts w:ascii="宋体" w:hAnsi="宋体" w:eastAsia="宋体" w:cs="宋体"/>
                <w:sz w:val="18"/>
                <w:szCs w:val="18"/>
              </w:rPr>
              <w:t>其他非流动金融资产减值准备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4D6E315B">
            <w:pPr>
              <w:spacing w:line="240" w:lineRule="exact"/>
              <w:jc w:val="right"/>
              <w:rPr>
                <w:rFonts w:ascii="宋体" w:hAnsi="宋体" w:eastAsia="宋体" w:cs="宋体"/>
                <w:sz w:val="18"/>
                <w:szCs w:val="18"/>
              </w:rPr>
            </w:pPr>
            <w:r>
              <w:rPr>
                <w:rFonts w:ascii="宋体" w:hAnsi="宋体" w:eastAsia="宋体" w:cs="宋体"/>
                <w:sz w:val="18"/>
                <w:szCs w:val="18"/>
              </w:rPr>
              <w:t>7,525,693.99</w:t>
            </w:r>
          </w:p>
        </w:tc>
        <w:tc>
          <w:tcPr>
            <w:tcW w:w="3213" w:type="dxa"/>
            <w:tcBorders>
              <w:top w:val="single" w:color="auto" w:sz="2" w:space="0"/>
              <w:left w:val="single" w:color="auto" w:sz="2" w:space="0"/>
              <w:bottom w:val="single" w:color="auto" w:sz="2" w:space="0"/>
              <w:right w:val="single" w:color="auto" w:sz="2" w:space="0"/>
            </w:tcBorders>
            <w:vAlign w:val="center"/>
          </w:tcPr>
          <w:p w14:paraId="17685417">
            <w:pPr>
              <w:spacing w:line="240" w:lineRule="exact"/>
              <w:jc w:val="right"/>
              <w:rPr>
                <w:rFonts w:ascii="宋体" w:hAnsi="宋体" w:eastAsia="宋体" w:cs="宋体"/>
                <w:sz w:val="18"/>
                <w:szCs w:val="18"/>
              </w:rPr>
            </w:pPr>
            <w:r>
              <w:rPr>
                <w:rFonts w:ascii="宋体" w:hAnsi="宋体" w:eastAsia="宋体" w:cs="宋体"/>
                <w:sz w:val="18"/>
                <w:szCs w:val="18"/>
              </w:rPr>
              <w:t>7,525,693.99</w:t>
            </w:r>
          </w:p>
        </w:tc>
      </w:tr>
      <w:tr w14:paraId="35D4D23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47A196">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60EF8AB">
            <w:pPr>
              <w:spacing w:line="240" w:lineRule="exact"/>
              <w:jc w:val="right"/>
              <w:rPr>
                <w:rFonts w:ascii="宋体" w:hAnsi="宋体" w:eastAsia="宋体" w:cs="宋体"/>
                <w:sz w:val="18"/>
                <w:szCs w:val="18"/>
              </w:rPr>
            </w:pPr>
            <w:r>
              <w:rPr>
                <w:rFonts w:ascii="宋体" w:hAnsi="宋体" w:eastAsia="宋体" w:cs="宋体"/>
                <w:sz w:val="18"/>
                <w:szCs w:val="18"/>
              </w:rPr>
              <w:t>655,629,663.95</w:t>
            </w:r>
          </w:p>
        </w:tc>
        <w:tc>
          <w:tcPr>
            <w:tcW w:w="3213" w:type="dxa"/>
            <w:tcBorders>
              <w:top w:val="single" w:color="auto" w:sz="2" w:space="0"/>
              <w:left w:val="single" w:color="auto" w:sz="2" w:space="0"/>
              <w:bottom w:val="single" w:color="auto" w:sz="2" w:space="0"/>
              <w:right w:val="single" w:color="auto" w:sz="2" w:space="0"/>
            </w:tcBorders>
            <w:vAlign w:val="center"/>
          </w:tcPr>
          <w:p w14:paraId="776697A7">
            <w:pPr>
              <w:spacing w:line="240" w:lineRule="exact"/>
              <w:jc w:val="right"/>
              <w:rPr>
                <w:rFonts w:ascii="宋体" w:hAnsi="宋体" w:eastAsia="宋体" w:cs="宋体"/>
                <w:sz w:val="18"/>
                <w:szCs w:val="18"/>
              </w:rPr>
            </w:pPr>
            <w:r>
              <w:rPr>
                <w:rFonts w:ascii="宋体" w:hAnsi="宋体" w:eastAsia="宋体" w:cs="宋体"/>
                <w:sz w:val="18"/>
                <w:szCs w:val="18"/>
              </w:rPr>
              <w:t>665,775,546.22</w:t>
            </w:r>
          </w:p>
        </w:tc>
      </w:tr>
    </w:tbl>
    <w:p w14:paraId="409134DD">
      <w:pPr>
        <w:keepNext/>
        <w:keepLines/>
        <w:spacing w:before="300" w:after="100" w:line="280" w:lineRule="exact"/>
        <w:outlineLvl w:val="3"/>
        <w:rPr>
          <w:rFonts w:ascii="宋体" w:hAnsi="宋体" w:eastAsia="宋体" w:cs="宋体"/>
          <w:b/>
          <w:bCs/>
          <w:szCs w:val="21"/>
        </w:rPr>
      </w:pPr>
      <w:bookmarkStart w:id="292" w:name="_Toc989181"/>
      <w:r>
        <w:rPr>
          <w:rFonts w:ascii="宋体" w:hAnsi="宋体" w:eastAsia="宋体" w:cs="宋体"/>
          <w:b/>
          <w:bCs/>
          <w:szCs w:val="21"/>
        </w:rPr>
        <w:t>（5） 未确认递延所得税资产的可抵扣亏损将于以下年度到期</w:t>
      </w:r>
      <w:bookmarkEnd w:id="292"/>
    </w:p>
    <w:p w14:paraId="1DA5D48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4AF7D914">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D8365B">
            <w:pPr>
              <w:spacing w:before="40" w:after="40" w:line="240" w:lineRule="exact"/>
              <w:jc w:val="center"/>
              <w:rPr>
                <w:rFonts w:ascii="宋体" w:hAnsi="宋体" w:eastAsia="宋体" w:cs="宋体"/>
                <w:sz w:val="18"/>
                <w:szCs w:val="18"/>
              </w:rPr>
            </w:pPr>
            <w:r>
              <w:rPr>
                <w:rFonts w:ascii="宋体" w:hAnsi="宋体" w:eastAsia="宋体" w:cs="宋体"/>
                <w:sz w:val="18"/>
                <w:szCs w:val="18"/>
              </w:rPr>
              <w:t>年份</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AA3B0A">
            <w:pPr>
              <w:spacing w:before="40" w:after="40" w:line="240" w:lineRule="exact"/>
              <w:jc w:val="center"/>
              <w:rPr>
                <w:rFonts w:ascii="宋体" w:hAnsi="宋体" w:eastAsia="宋体" w:cs="宋体"/>
                <w:sz w:val="18"/>
                <w:szCs w:val="18"/>
              </w:rPr>
            </w:pPr>
            <w:r>
              <w:rPr>
                <w:rFonts w:ascii="宋体" w:hAnsi="宋体" w:eastAsia="宋体" w:cs="宋体"/>
                <w:sz w:val="18"/>
                <w:szCs w:val="18"/>
              </w:rPr>
              <w:t>期末金额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A7E3BF">
            <w:pPr>
              <w:spacing w:before="40" w:after="40" w:line="240" w:lineRule="exact"/>
              <w:jc w:val="center"/>
              <w:rPr>
                <w:rFonts w:ascii="宋体" w:hAnsi="宋体" w:eastAsia="宋体" w:cs="宋体"/>
                <w:sz w:val="18"/>
                <w:szCs w:val="18"/>
              </w:rPr>
            </w:pPr>
            <w:r>
              <w:rPr>
                <w:rFonts w:ascii="宋体" w:hAnsi="宋体" w:eastAsia="宋体" w:cs="宋体"/>
                <w:sz w:val="18"/>
                <w:szCs w:val="18"/>
              </w:rPr>
              <w:t>期初金额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D8EC8F">
            <w:pPr>
              <w:spacing w:before="40" w:after="40" w:line="240" w:lineRule="exact"/>
              <w:jc w:val="center"/>
              <w:rPr>
                <w:rFonts w:ascii="宋体" w:hAnsi="宋体" w:eastAsia="宋体" w:cs="宋体"/>
                <w:sz w:val="18"/>
                <w:szCs w:val="18"/>
              </w:rPr>
            </w:pPr>
            <w:r>
              <w:rPr>
                <w:rFonts w:ascii="宋体" w:hAnsi="宋体" w:eastAsia="宋体" w:cs="宋体"/>
                <w:sz w:val="18"/>
                <w:szCs w:val="18"/>
              </w:rPr>
              <w:t>备注</w:t>
            </w:r>
          </w:p>
        </w:tc>
      </w:tr>
      <w:tr w14:paraId="115AD658">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14FB7C6">
            <w:pPr>
              <w:spacing w:line="240" w:lineRule="exact"/>
              <w:rPr>
                <w:rFonts w:ascii="宋体" w:hAnsi="宋体" w:eastAsia="宋体" w:cs="宋体"/>
                <w:sz w:val="18"/>
                <w:szCs w:val="18"/>
              </w:rPr>
            </w:pPr>
            <w:r>
              <w:rPr>
                <w:rFonts w:ascii="宋体" w:hAnsi="宋体" w:eastAsia="宋体" w:cs="宋体"/>
                <w:sz w:val="18"/>
                <w:szCs w:val="18"/>
              </w:rPr>
              <w:t>2024年</w:t>
            </w:r>
          </w:p>
        </w:tc>
        <w:tc>
          <w:tcPr>
            <w:tcW w:w="2410" w:type="dxa"/>
            <w:tcBorders>
              <w:top w:val="single" w:color="auto" w:sz="2" w:space="0"/>
              <w:left w:val="single" w:color="auto" w:sz="2" w:space="0"/>
              <w:bottom w:val="single" w:color="auto" w:sz="2" w:space="0"/>
              <w:right w:val="single" w:color="auto" w:sz="2" w:space="0"/>
            </w:tcBorders>
            <w:vAlign w:val="center"/>
          </w:tcPr>
          <w:p w14:paraId="0A49E2CD">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F8E8AF8">
            <w:pPr>
              <w:spacing w:line="240" w:lineRule="exact"/>
              <w:jc w:val="right"/>
              <w:rPr>
                <w:rFonts w:ascii="宋体" w:hAnsi="宋体" w:eastAsia="宋体" w:cs="宋体"/>
                <w:sz w:val="18"/>
                <w:szCs w:val="18"/>
              </w:rPr>
            </w:pPr>
            <w:r>
              <w:rPr>
                <w:rFonts w:ascii="宋体" w:hAnsi="宋体" w:eastAsia="宋体" w:cs="宋体"/>
                <w:sz w:val="18"/>
                <w:szCs w:val="18"/>
              </w:rPr>
              <w:t>26,568,454.60</w:t>
            </w:r>
          </w:p>
        </w:tc>
        <w:tc>
          <w:tcPr>
            <w:tcW w:w="2410" w:type="dxa"/>
            <w:tcBorders>
              <w:top w:val="single" w:color="auto" w:sz="2" w:space="0"/>
              <w:left w:val="single" w:color="auto" w:sz="2" w:space="0"/>
              <w:bottom w:val="single" w:color="auto" w:sz="2" w:space="0"/>
              <w:right w:val="single" w:color="auto" w:sz="2" w:space="0"/>
            </w:tcBorders>
            <w:vAlign w:val="center"/>
          </w:tcPr>
          <w:p w14:paraId="2A762449">
            <w:pPr>
              <w:spacing w:line="240" w:lineRule="exact"/>
              <w:rPr>
                <w:rFonts w:ascii="宋体" w:hAnsi="宋体" w:eastAsia="宋体" w:cs="宋体"/>
                <w:sz w:val="18"/>
                <w:szCs w:val="18"/>
              </w:rPr>
            </w:pPr>
          </w:p>
        </w:tc>
      </w:tr>
      <w:tr w14:paraId="6591692F">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4DDAEEE">
            <w:pPr>
              <w:spacing w:line="240" w:lineRule="exact"/>
              <w:rPr>
                <w:rFonts w:ascii="宋体" w:hAnsi="宋体" w:eastAsia="宋体" w:cs="宋体"/>
                <w:sz w:val="18"/>
                <w:szCs w:val="18"/>
              </w:rPr>
            </w:pPr>
            <w:r>
              <w:rPr>
                <w:rFonts w:ascii="宋体" w:hAnsi="宋体" w:eastAsia="宋体" w:cs="宋体"/>
                <w:sz w:val="18"/>
                <w:szCs w:val="18"/>
              </w:rPr>
              <w:t>2025年</w:t>
            </w:r>
          </w:p>
        </w:tc>
        <w:tc>
          <w:tcPr>
            <w:tcW w:w="2410" w:type="dxa"/>
            <w:tcBorders>
              <w:top w:val="single" w:color="auto" w:sz="2" w:space="0"/>
              <w:left w:val="single" w:color="auto" w:sz="2" w:space="0"/>
              <w:bottom w:val="single" w:color="auto" w:sz="2" w:space="0"/>
              <w:right w:val="single" w:color="auto" w:sz="2" w:space="0"/>
            </w:tcBorders>
            <w:vAlign w:val="center"/>
          </w:tcPr>
          <w:p w14:paraId="278CCCCF">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F99EDB3">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F40D753">
            <w:pPr>
              <w:spacing w:line="240" w:lineRule="exact"/>
              <w:rPr>
                <w:rFonts w:ascii="宋体" w:hAnsi="宋体" w:eastAsia="宋体" w:cs="宋体"/>
                <w:sz w:val="18"/>
                <w:szCs w:val="18"/>
              </w:rPr>
            </w:pPr>
          </w:p>
        </w:tc>
      </w:tr>
      <w:tr w14:paraId="24239EEA">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67D2EB5">
            <w:pPr>
              <w:spacing w:line="240" w:lineRule="exact"/>
              <w:rPr>
                <w:rFonts w:ascii="宋体" w:hAnsi="宋体" w:eastAsia="宋体" w:cs="宋体"/>
                <w:sz w:val="18"/>
                <w:szCs w:val="18"/>
              </w:rPr>
            </w:pPr>
            <w:r>
              <w:rPr>
                <w:rFonts w:ascii="宋体" w:hAnsi="宋体" w:eastAsia="宋体" w:cs="宋体"/>
                <w:sz w:val="18"/>
                <w:szCs w:val="18"/>
              </w:rPr>
              <w:t>2026年</w:t>
            </w:r>
          </w:p>
        </w:tc>
        <w:tc>
          <w:tcPr>
            <w:tcW w:w="2410" w:type="dxa"/>
            <w:tcBorders>
              <w:top w:val="single" w:color="auto" w:sz="2" w:space="0"/>
              <w:left w:val="single" w:color="auto" w:sz="2" w:space="0"/>
              <w:bottom w:val="single" w:color="auto" w:sz="2" w:space="0"/>
              <w:right w:val="single" w:color="auto" w:sz="2" w:space="0"/>
            </w:tcBorders>
            <w:vAlign w:val="center"/>
          </w:tcPr>
          <w:p w14:paraId="5B75882E">
            <w:pPr>
              <w:spacing w:line="240" w:lineRule="exact"/>
              <w:jc w:val="right"/>
              <w:rPr>
                <w:rFonts w:ascii="宋体" w:hAnsi="宋体" w:eastAsia="宋体" w:cs="宋体"/>
                <w:sz w:val="18"/>
                <w:szCs w:val="18"/>
              </w:rPr>
            </w:pPr>
            <w:r>
              <w:rPr>
                <w:rFonts w:ascii="宋体" w:hAnsi="宋体" w:eastAsia="宋体" w:cs="宋体"/>
                <w:sz w:val="18"/>
                <w:szCs w:val="18"/>
              </w:rPr>
              <w:t>27,167,294.25</w:t>
            </w:r>
          </w:p>
        </w:tc>
        <w:tc>
          <w:tcPr>
            <w:tcW w:w="2410" w:type="dxa"/>
            <w:tcBorders>
              <w:top w:val="single" w:color="auto" w:sz="2" w:space="0"/>
              <w:left w:val="single" w:color="auto" w:sz="2" w:space="0"/>
              <w:bottom w:val="single" w:color="auto" w:sz="2" w:space="0"/>
              <w:right w:val="single" w:color="auto" w:sz="2" w:space="0"/>
            </w:tcBorders>
            <w:vAlign w:val="center"/>
          </w:tcPr>
          <w:p w14:paraId="46F62FEA">
            <w:pPr>
              <w:spacing w:line="240" w:lineRule="exact"/>
              <w:jc w:val="right"/>
              <w:rPr>
                <w:rFonts w:ascii="宋体" w:hAnsi="宋体" w:eastAsia="宋体" w:cs="宋体"/>
                <w:sz w:val="18"/>
                <w:szCs w:val="18"/>
              </w:rPr>
            </w:pPr>
            <w:r>
              <w:rPr>
                <w:rFonts w:ascii="宋体" w:hAnsi="宋体" w:eastAsia="宋体" w:cs="宋体"/>
                <w:sz w:val="18"/>
                <w:szCs w:val="18"/>
              </w:rPr>
              <w:t>27,167,294.25</w:t>
            </w:r>
          </w:p>
        </w:tc>
        <w:tc>
          <w:tcPr>
            <w:tcW w:w="2410" w:type="dxa"/>
            <w:tcBorders>
              <w:top w:val="single" w:color="auto" w:sz="2" w:space="0"/>
              <w:left w:val="single" w:color="auto" w:sz="2" w:space="0"/>
              <w:bottom w:val="single" w:color="auto" w:sz="2" w:space="0"/>
              <w:right w:val="single" w:color="auto" w:sz="2" w:space="0"/>
            </w:tcBorders>
            <w:vAlign w:val="center"/>
          </w:tcPr>
          <w:p w14:paraId="6D9910BA">
            <w:pPr>
              <w:spacing w:line="240" w:lineRule="exact"/>
              <w:rPr>
                <w:rFonts w:ascii="宋体" w:hAnsi="宋体" w:eastAsia="宋体" w:cs="宋体"/>
                <w:sz w:val="18"/>
                <w:szCs w:val="18"/>
              </w:rPr>
            </w:pPr>
          </w:p>
        </w:tc>
      </w:tr>
      <w:tr w14:paraId="316FF819">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5944DDB">
            <w:pPr>
              <w:spacing w:line="240" w:lineRule="exact"/>
              <w:rPr>
                <w:rFonts w:ascii="宋体" w:hAnsi="宋体" w:eastAsia="宋体" w:cs="宋体"/>
                <w:sz w:val="18"/>
                <w:szCs w:val="18"/>
              </w:rPr>
            </w:pPr>
            <w:r>
              <w:rPr>
                <w:rFonts w:ascii="宋体" w:hAnsi="宋体" w:eastAsia="宋体" w:cs="宋体"/>
                <w:sz w:val="18"/>
                <w:szCs w:val="18"/>
              </w:rPr>
              <w:t>2027年</w:t>
            </w:r>
          </w:p>
        </w:tc>
        <w:tc>
          <w:tcPr>
            <w:tcW w:w="2410" w:type="dxa"/>
            <w:tcBorders>
              <w:top w:val="single" w:color="auto" w:sz="2" w:space="0"/>
              <w:left w:val="single" w:color="auto" w:sz="2" w:space="0"/>
              <w:bottom w:val="single" w:color="auto" w:sz="2" w:space="0"/>
              <w:right w:val="single" w:color="auto" w:sz="2" w:space="0"/>
            </w:tcBorders>
            <w:vAlign w:val="center"/>
          </w:tcPr>
          <w:p w14:paraId="257B6BAE">
            <w:pPr>
              <w:spacing w:line="240" w:lineRule="exact"/>
              <w:jc w:val="right"/>
              <w:rPr>
                <w:rFonts w:ascii="宋体" w:hAnsi="宋体" w:eastAsia="宋体" w:cs="宋体"/>
                <w:sz w:val="18"/>
                <w:szCs w:val="18"/>
              </w:rPr>
            </w:pPr>
            <w:r>
              <w:rPr>
                <w:rFonts w:ascii="宋体" w:hAnsi="宋体" w:eastAsia="宋体" w:cs="宋体"/>
                <w:sz w:val="18"/>
                <w:szCs w:val="18"/>
              </w:rPr>
              <w:t>15,487,614.18</w:t>
            </w:r>
          </w:p>
        </w:tc>
        <w:tc>
          <w:tcPr>
            <w:tcW w:w="2410" w:type="dxa"/>
            <w:tcBorders>
              <w:top w:val="single" w:color="auto" w:sz="2" w:space="0"/>
              <w:left w:val="single" w:color="auto" w:sz="2" w:space="0"/>
              <w:bottom w:val="single" w:color="auto" w:sz="2" w:space="0"/>
              <w:right w:val="single" w:color="auto" w:sz="2" w:space="0"/>
            </w:tcBorders>
            <w:vAlign w:val="center"/>
          </w:tcPr>
          <w:p w14:paraId="0ADEB0A1">
            <w:pPr>
              <w:spacing w:line="240" w:lineRule="exact"/>
              <w:jc w:val="right"/>
              <w:rPr>
                <w:rFonts w:ascii="宋体" w:hAnsi="宋体" w:eastAsia="宋体" w:cs="宋体"/>
                <w:sz w:val="18"/>
                <w:szCs w:val="18"/>
              </w:rPr>
            </w:pPr>
            <w:r>
              <w:rPr>
                <w:rFonts w:ascii="宋体" w:hAnsi="宋体" w:eastAsia="宋体" w:cs="宋体"/>
                <w:sz w:val="18"/>
                <w:szCs w:val="18"/>
              </w:rPr>
              <w:t>15,487,614.18</w:t>
            </w:r>
          </w:p>
        </w:tc>
        <w:tc>
          <w:tcPr>
            <w:tcW w:w="2410" w:type="dxa"/>
            <w:tcBorders>
              <w:top w:val="single" w:color="auto" w:sz="2" w:space="0"/>
              <w:left w:val="single" w:color="auto" w:sz="2" w:space="0"/>
              <w:bottom w:val="single" w:color="auto" w:sz="2" w:space="0"/>
              <w:right w:val="single" w:color="auto" w:sz="2" w:space="0"/>
            </w:tcBorders>
            <w:vAlign w:val="center"/>
          </w:tcPr>
          <w:p w14:paraId="1C2ACFBB">
            <w:pPr>
              <w:spacing w:line="240" w:lineRule="exact"/>
              <w:rPr>
                <w:rFonts w:ascii="宋体" w:hAnsi="宋体" w:eastAsia="宋体" w:cs="宋体"/>
                <w:sz w:val="18"/>
                <w:szCs w:val="18"/>
              </w:rPr>
            </w:pPr>
          </w:p>
        </w:tc>
      </w:tr>
      <w:tr w14:paraId="4A45B39E">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F8DB5A5">
            <w:pPr>
              <w:spacing w:line="240" w:lineRule="exact"/>
              <w:rPr>
                <w:rFonts w:ascii="宋体" w:hAnsi="宋体" w:eastAsia="宋体" w:cs="宋体"/>
                <w:sz w:val="18"/>
                <w:szCs w:val="18"/>
              </w:rPr>
            </w:pPr>
            <w:r>
              <w:rPr>
                <w:rFonts w:ascii="宋体" w:hAnsi="宋体" w:eastAsia="宋体" w:cs="宋体"/>
                <w:sz w:val="18"/>
                <w:szCs w:val="18"/>
              </w:rPr>
              <w:t>2028年</w:t>
            </w:r>
          </w:p>
        </w:tc>
        <w:tc>
          <w:tcPr>
            <w:tcW w:w="2410" w:type="dxa"/>
            <w:tcBorders>
              <w:top w:val="single" w:color="auto" w:sz="2" w:space="0"/>
              <w:left w:val="single" w:color="auto" w:sz="2" w:space="0"/>
              <w:bottom w:val="single" w:color="auto" w:sz="2" w:space="0"/>
              <w:right w:val="single" w:color="auto" w:sz="2" w:space="0"/>
            </w:tcBorders>
            <w:vAlign w:val="center"/>
          </w:tcPr>
          <w:p w14:paraId="6A7E3742">
            <w:pPr>
              <w:spacing w:line="240" w:lineRule="exact"/>
              <w:jc w:val="right"/>
              <w:rPr>
                <w:rFonts w:ascii="宋体" w:hAnsi="宋体" w:eastAsia="宋体" w:cs="宋体"/>
                <w:sz w:val="18"/>
                <w:szCs w:val="18"/>
              </w:rPr>
            </w:pPr>
            <w:r>
              <w:rPr>
                <w:rFonts w:ascii="宋体" w:hAnsi="宋体" w:eastAsia="宋体" w:cs="宋体"/>
                <w:sz w:val="18"/>
                <w:szCs w:val="18"/>
              </w:rPr>
              <w:t>29,767,551.73</w:t>
            </w:r>
          </w:p>
        </w:tc>
        <w:tc>
          <w:tcPr>
            <w:tcW w:w="2410" w:type="dxa"/>
            <w:tcBorders>
              <w:top w:val="single" w:color="auto" w:sz="2" w:space="0"/>
              <w:left w:val="single" w:color="auto" w:sz="2" w:space="0"/>
              <w:bottom w:val="single" w:color="auto" w:sz="2" w:space="0"/>
              <w:right w:val="single" w:color="auto" w:sz="2" w:space="0"/>
            </w:tcBorders>
            <w:vAlign w:val="center"/>
          </w:tcPr>
          <w:p w14:paraId="071AC149">
            <w:pPr>
              <w:spacing w:line="240" w:lineRule="exact"/>
              <w:jc w:val="right"/>
              <w:rPr>
                <w:rFonts w:ascii="宋体" w:hAnsi="宋体" w:eastAsia="宋体" w:cs="宋体"/>
                <w:sz w:val="18"/>
                <w:szCs w:val="18"/>
              </w:rPr>
            </w:pPr>
            <w:r>
              <w:rPr>
                <w:rFonts w:ascii="宋体" w:hAnsi="宋体" w:eastAsia="宋体" w:cs="宋体"/>
                <w:sz w:val="18"/>
                <w:szCs w:val="18"/>
              </w:rPr>
              <w:t>29,767,551.73</w:t>
            </w:r>
          </w:p>
        </w:tc>
        <w:tc>
          <w:tcPr>
            <w:tcW w:w="2410" w:type="dxa"/>
            <w:tcBorders>
              <w:top w:val="single" w:color="auto" w:sz="2" w:space="0"/>
              <w:left w:val="single" w:color="auto" w:sz="2" w:space="0"/>
              <w:bottom w:val="single" w:color="auto" w:sz="2" w:space="0"/>
              <w:right w:val="single" w:color="auto" w:sz="2" w:space="0"/>
            </w:tcBorders>
            <w:vAlign w:val="center"/>
          </w:tcPr>
          <w:p w14:paraId="2875CCFC">
            <w:pPr>
              <w:spacing w:line="240" w:lineRule="exact"/>
              <w:rPr>
                <w:rFonts w:ascii="宋体" w:hAnsi="宋体" w:eastAsia="宋体" w:cs="宋体"/>
                <w:sz w:val="18"/>
                <w:szCs w:val="18"/>
              </w:rPr>
            </w:pPr>
          </w:p>
        </w:tc>
      </w:tr>
      <w:tr w14:paraId="319529DD">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F088698">
            <w:pPr>
              <w:spacing w:line="240" w:lineRule="exact"/>
              <w:rPr>
                <w:rFonts w:ascii="宋体" w:hAnsi="宋体" w:eastAsia="宋体" w:cs="宋体"/>
                <w:sz w:val="18"/>
                <w:szCs w:val="18"/>
              </w:rPr>
            </w:pPr>
            <w:r>
              <w:rPr>
                <w:rFonts w:ascii="宋体" w:hAnsi="宋体" w:eastAsia="宋体" w:cs="宋体"/>
                <w:sz w:val="18"/>
                <w:szCs w:val="18"/>
              </w:rPr>
              <w:t>2029年</w:t>
            </w:r>
          </w:p>
        </w:tc>
        <w:tc>
          <w:tcPr>
            <w:tcW w:w="2410" w:type="dxa"/>
            <w:tcBorders>
              <w:top w:val="single" w:color="auto" w:sz="2" w:space="0"/>
              <w:left w:val="single" w:color="auto" w:sz="2" w:space="0"/>
              <w:bottom w:val="single" w:color="auto" w:sz="2" w:space="0"/>
              <w:right w:val="single" w:color="auto" w:sz="2" w:space="0"/>
            </w:tcBorders>
            <w:vAlign w:val="center"/>
          </w:tcPr>
          <w:p w14:paraId="35205906">
            <w:pPr>
              <w:spacing w:line="240" w:lineRule="exact"/>
              <w:jc w:val="right"/>
              <w:rPr>
                <w:rFonts w:ascii="宋体" w:hAnsi="宋体" w:eastAsia="宋体" w:cs="宋体"/>
                <w:sz w:val="18"/>
                <w:szCs w:val="18"/>
              </w:rPr>
            </w:pPr>
            <w:r>
              <w:rPr>
                <w:rFonts w:ascii="宋体" w:hAnsi="宋体" w:eastAsia="宋体" w:cs="宋体"/>
                <w:sz w:val="18"/>
                <w:szCs w:val="18"/>
              </w:rPr>
              <w:t>16,407,683.71</w:t>
            </w:r>
          </w:p>
        </w:tc>
        <w:tc>
          <w:tcPr>
            <w:tcW w:w="2410" w:type="dxa"/>
            <w:tcBorders>
              <w:top w:val="single" w:color="auto" w:sz="2" w:space="0"/>
              <w:left w:val="single" w:color="auto" w:sz="2" w:space="0"/>
              <w:bottom w:val="single" w:color="auto" w:sz="2" w:space="0"/>
              <w:right w:val="single" w:color="auto" w:sz="2" w:space="0"/>
            </w:tcBorders>
            <w:vAlign w:val="center"/>
          </w:tcPr>
          <w:p w14:paraId="350412EC">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856B61B">
            <w:pPr>
              <w:spacing w:line="240" w:lineRule="exact"/>
              <w:rPr>
                <w:rFonts w:ascii="宋体" w:hAnsi="宋体" w:eastAsia="宋体" w:cs="宋体"/>
                <w:sz w:val="18"/>
                <w:szCs w:val="18"/>
              </w:rPr>
            </w:pPr>
          </w:p>
        </w:tc>
      </w:tr>
      <w:tr w14:paraId="162F3F37">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273C718">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EA9CC51">
            <w:pPr>
              <w:spacing w:line="240" w:lineRule="exact"/>
              <w:jc w:val="right"/>
              <w:rPr>
                <w:rFonts w:ascii="宋体" w:hAnsi="宋体" w:eastAsia="宋体" w:cs="宋体"/>
                <w:sz w:val="18"/>
                <w:szCs w:val="18"/>
              </w:rPr>
            </w:pPr>
            <w:r>
              <w:rPr>
                <w:rFonts w:ascii="宋体" w:hAnsi="宋体" w:eastAsia="宋体" w:cs="宋体"/>
                <w:sz w:val="18"/>
                <w:szCs w:val="18"/>
              </w:rPr>
              <w:t>88,830,143.87</w:t>
            </w:r>
          </w:p>
        </w:tc>
        <w:tc>
          <w:tcPr>
            <w:tcW w:w="2410" w:type="dxa"/>
            <w:tcBorders>
              <w:top w:val="single" w:color="auto" w:sz="2" w:space="0"/>
              <w:left w:val="single" w:color="auto" w:sz="2" w:space="0"/>
              <w:bottom w:val="single" w:color="auto" w:sz="2" w:space="0"/>
              <w:right w:val="single" w:color="auto" w:sz="2" w:space="0"/>
            </w:tcBorders>
            <w:vAlign w:val="center"/>
          </w:tcPr>
          <w:p w14:paraId="03102F26">
            <w:pPr>
              <w:spacing w:line="240" w:lineRule="exact"/>
              <w:jc w:val="right"/>
              <w:rPr>
                <w:rFonts w:ascii="宋体" w:hAnsi="宋体" w:eastAsia="宋体" w:cs="宋体"/>
                <w:sz w:val="18"/>
                <w:szCs w:val="18"/>
              </w:rPr>
            </w:pPr>
            <w:r>
              <w:rPr>
                <w:rFonts w:ascii="宋体" w:hAnsi="宋体" w:eastAsia="宋体" w:cs="宋体"/>
                <w:sz w:val="18"/>
                <w:szCs w:val="18"/>
              </w:rPr>
              <w:t>98,990,914.76</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ED71B0"/>
        </w:tc>
      </w:tr>
    </w:tbl>
    <w:p w14:paraId="0B9D86B2">
      <w:pPr>
        <w:spacing w:before="100" w:after="100" w:line="240" w:lineRule="exact"/>
      </w:pPr>
      <w:r>
        <w:rPr>
          <w:rFonts w:ascii="宋体" w:hAnsi="宋体" w:eastAsia="宋体" w:cs="宋体"/>
          <w:sz w:val="18"/>
          <w:szCs w:val="18"/>
        </w:rPr>
        <w:t>其他说明</w:t>
      </w:r>
    </w:p>
    <w:p w14:paraId="4FBF6D71">
      <w:pPr>
        <w:pStyle w:val="3"/>
        <w:spacing w:after="100" w:line="280" w:lineRule="exact"/>
        <w:jc w:val="left"/>
        <w:rPr>
          <w:rFonts w:ascii="宋体" w:hAnsi="宋体" w:cs="宋体"/>
          <w:b/>
          <w:bCs/>
        </w:rPr>
      </w:pPr>
      <w:bookmarkStart w:id="293" w:name="_Toc989182"/>
      <w:r>
        <w:rPr>
          <w:rFonts w:ascii="宋体" w:hAnsi="宋体" w:cs="宋体"/>
          <w:b/>
          <w:bCs/>
        </w:rPr>
        <w:t>30、其他非流动资产</w:t>
      </w:r>
      <w:bookmarkEnd w:id="293"/>
    </w:p>
    <w:p w14:paraId="7DD65E2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0D2E563">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E67FF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CC80E5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1DB9AE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EB08545">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B6F3C4"/>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B266CB">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1E4341">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06CF5C">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4DBF7C">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B7C153">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807FB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2CFD6D7A">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4F5703A">
            <w:pPr>
              <w:spacing w:line="240" w:lineRule="exact"/>
              <w:rPr>
                <w:rFonts w:ascii="宋体" w:hAnsi="宋体" w:eastAsia="宋体" w:cs="宋体"/>
                <w:sz w:val="18"/>
                <w:szCs w:val="18"/>
              </w:rPr>
            </w:pPr>
            <w:r>
              <w:rPr>
                <w:rFonts w:ascii="宋体" w:hAnsi="宋体" w:eastAsia="宋体" w:cs="宋体"/>
                <w:sz w:val="18"/>
                <w:szCs w:val="18"/>
              </w:rPr>
              <w:t>预付设备款</w:t>
            </w:r>
          </w:p>
        </w:tc>
        <w:tc>
          <w:tcPr>
            <w:tcW w:w="1377" w:type="dxa"/>
            <w:tcBorders>
              <w:top w:val="single" w:color="auto" w:sz="2" w:space="0"/>
              <w:left w:val="single" w:color="auto" w:sz="2" w:space="0"/>
              <w:bottom w:val="single" w:color="auto" w:sz="2" w:space="0"/>
              <w:right w:val="single" w:color="auto" w:sz="2" w:space="0"/>
            </w:tcBorders>
            <w:vAlign w:val="center"/>
          </w:tcPr>
          <w:p w14:paraId="26DF117A">
            <w:pPr>
              <w:spacing w:line="240" w:lineRule="exact"/>
              <w:jc w:val="right"/>
              <w:rPr>
                <w:rFonts w:ascii="宋体" w:hAnsi="宋体" w:eastAsia="宋体" w:cs="宋体"/>
                <w:sz w:val="18"/>
                <w:szCs w:val="18"/>
              </w:rPr>
            </w:pPr>
            <w:r>
              <w:rPr>
                <w:rFonts w:ascii="宋体" w:hAnsi="宋体" w:eastAsia="宋体" w:cs="宋体"/>
                <w:sz w:val="18"/>
                <w:szCs w:val="18"/>
              </w:rPr>
              <w:t>3,173,500.00</w:t>
            </w:r>
          </w:p>
        </w:tc>
        <w:tc>
          <w:tcPr>
            <w:tcW w:w="1377" w:type="dxa"/>
            <w:tcBorders>
              <w:top w:val="single" w:color="auto" w:sz="2" w:space="0"/>
              <w:left w:val="single" w:color="auto" w:sz="2" w:space="0"/>
              <w:bottom w:val="single" w:color="auto" w:sz="2" w:space="0"/>
              <w:right w:val="single" w:color="auto" w:sz="2" w:space="0"/>
            </w:tcBorders>
            <w:vAlign w:val="center"/>
          </w:tcPr>
          <w:p w14:paraId="56AE35D5">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541547">
            <w:pPr>
              <w:spacing w:line="240" w:lineRule="exact"/>
              <w:jc w:val="right"/>
              <w:rPr>
                <w:rFonts w:ascii="宋体" w:hAnsi="宋体" w:eastAsia="宋体" w:cs="宋体"/>
                <w:sz w:val="18"/>
                <w:szCs w:val="18"/>
              </w:rPr>
            </w:pPr>
            <w:r>
              <w:rPr>
                <w:rFonts w:ascii="宋体" w:hAnsi="宋体" w:eastAsia="宋体" w:cs="宋体"/>
                <w:sz w:val="18"/>
                <w:szCs w:val="18"/>
              </w:rPr>
              <w:t>3,173,500.00</w:t>
            </w:r>
          </w:p>
        </w:tc>
        <w:tc>
          <w:tcPr>
            <w:tcW w:w="1377" w:type="dxa"/>
            <w:tcBorders>
              <w:top w:val="single" w:color="auto" w:sz="2" w:space="0"/>
              <w:left w:val="single" w:color="auto" w:sz="2" w:space="0"/>
              <w:bottom w:val="single" w:color="auto" w:sz="2" w:space="0"/>
              <w:right w:val="single" w:color="auto" w:sz="2" w:space="0"/>
            </w:tcBorders>
            <w:vAlign w:val="center"/>
          </w:tcPr>
          <w:p w14:paraId="58C12A05">
            <w:pPr>
              <w:spacing w:line="240" w:lineRule="exact"/>
              <w:jc w:val="right"/>
              <w:rPr>
                <w:rFonts w:ascii="宋体" w:hAnsi="宋体" w:eastAsia="宋体" w:cs="宋体"/>
                <w:sz w:val="18"/>
                <w:szCs w:val="18"/>
              </w:rPr>
            </w:pPr>
            <w:r>
              <w:rPr>
                <w:rFonts w:ascii="宋体" w:hAnsi="宋体" w:eastAsia="宋体" w:cs="宋体"/>
                <w:sz w:val="18"/>
                <w:szCs w:val="18"/>
              </w:rPr>
              <w:t>1,940,000.00</w:t>
            </w:r>
          </w:p>
        </w:tc>
        <w:tc>
          <w:tcPr>
            <w:tcW w:w="1377" w:type="dxa"/>
            <w:tcBorders>
              <w:top w:val="single" w:color="auto" w:sz="2" w:space="0"/>
              <w:left w:val="single" w:color="auto" w:sz="2" w:space="0"/>
              <w:bottom w:val="single" w:color="auto" w:sz="2" w:space="0"/>
              <w:right w:val="single" w:color="auto" w:sz="2" w:space="0"/>
            </w:tcBorders>
            <w:vAlign w:val="center"/>
          </w:tcPr>
          <w:p w14:paraId="0575EAF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C2F353">
            <w:pPr>
              <w:spacing w:line="240" w:lineRule="exact"/>
              <w:jc w:val="right"/>
              <w:rPr>
                <w:rFonts w:ascii="宋体" w:hAnsi="宋体" w:eastAsia="宋体" w:cs="宋体"/>
                <w:sz w:val="18"/>
                <w:szCs w:val="18"/>
              </w:rPr>
            </w:pPr>
            <w:r>
              <w:rPr>
                <w:rFonts w:ascii="宋体" w:hAnsi="宋体" w:eastAsia="宋体" w:cs="宋体"/>
                <w:sz w:val="18"/>
                <w:szCs w:val="18"/>
              </w:rPr>
              <w:t>1,940,000.00</w:t>
            </w:r>
          </w:p>
        </w:tc>
      </w:tr>
      <w:tr w14:paraId="3A25C825">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15DAF40">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218DA21">
            <w:pPr>
              <w:spacing w:line="240" w:lineRule="exact"/>
              <w:jc w:val="right"/>
              <w:rPr>
                <w:rFonts w:ascii="宋体" w:hAnsi="宋体" w:eastAsia="宋体" w:cs="宋体"/>
                <w:sz w:val="18"/>
                <w:szCs w:val="18"/>
              </w:rPr>
            </w:pPr>
            <w:r>
              <w:rPr>
                <w:rFonts w:ascii="宋体" w:hAnsi="宋体" w:eastAsia="宋体" w:cs="宋体"/>
                <w:sz w:val="18"/>
                <w:szCs w:val="18"/>
              </w:rPr>
              <w:t>3,173,500.00</w:t>
            </w:r>
          </w:p>
        </w:tc>
        <w:tc>
          <w:tcPr>
            <w:tcW w:w="1377" w:type="dxa"/>
            <w:tcBorders>
              <w:top w:val="single" w:color="auto" w:sz="2" w:space="0"/>
              <w:left w:val="single" w:color="auto" w:sz="2" w:space="0"/>
              <w:bottom w:val="single" w:color="auto" w:sz="2" w:space="0"/>
              <w:right w:val="single" w:color="auto" w:sz="2" w:space="0"/>
            </w:tcBorders>
            <w:vAlign w:val="center"/>
          </w:tcPr>
          <w:p w14:paraId="1E750074">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9F1B2A">
            <w:pPr>
              <w:spacing w:line="240" w:lineRule="exact"/>
              <w:jc w:val="right"/>
              <w:rPr>
                <w:rFonts w:ascii="宋体" w:hAnsi="宋体" w:eastAsia="宋体" w:cs="宋体"/>
                <w:sz w:val="18"/>
                <w:szCs w:val="18"/>
              </w:rPr>
            </w:pPr>
            <w:r>
              <w:rPr>
                <w:rFonts w:ascii="宋体" w:hAnsi="宋体" w:eastAsia="宋体" w:cs="宋体"/>
                <w:sz w:val="18"/>
                <w:szCs w:val="18"/>
              </w:rPr>
              <w:t>3,173,500.00</w:t>
            </w:r>
          </w:p>
        </w:tc>
        <w:tc>
          <w:tcPr>
            <w:tcW w:w="1377" w:type="dxa"/>
            <w:tcBorders>
              <w:top w:val="single" w:color="auto" w:sz="2" w:space="0"/>
              <w:left w:val="single" w:color="auto" w:sz="2" w:space="0"/>
              <w:bottom w:val="single" w:color="auto" w:sz="2" w:space="0"/>
              <w:right w:val="single" w:color="auto" w:sz="2" w:space="0"/>
            </w:tcBorders>
            <w:vAlign w:val="center"/>
          </w:tcPr>
          <w:p w14:paraId="37E1D680">
            <w:pPr>
              <w:spacing w:line="240" w:lineRule="exact"/>
              <w:jc w:val="right"/>
              <w:rPr>
                <w:rFonts w:ascii="宋体" w:hAnsi="宋体" w:eastAsia="宋体" w:cs="宋体"/>
                <w:sz w:val="18"/>
                <w:szCs w:val="18"/>
              </w:rPr>
            </w:pPr>
            <w:r>
              <w:rPr>
                <w:rFonts w:ascii="宋体" w:hAnsi="宋体" w:eastAsia="宋体" w:cs="宋体"/>
                <w:sz w:val="18"/>
                <w:szCs w:val="18"/>
              </w:rPr>
              <w:t>1,940,000.00</w:t>
            </w:r>
          </w:p>
        </w:tc>
        <w:tc>
          <w:tcPr>
            <w:tcW w:w="1377" w:type="dxa"/>
            <w:tcBorders>
              <w:top w:val="single" w:color="auto" w:sz="2" w:space="0"/>
              <w:left w:val="single" w:color="auto" w:sz="2" w:space="0"/>
              <w:bottom w:val="single" w:color="auto" w:sz="2" w:space="0"/>
              <w:right w:val="single" w:color="auto" w:sz="2" w:space="0"/>
            </w:tcBorders>
            <w:vAlign w:val="center"/>
          </w:tcPr>
          <w:p w14:paraId="6DEEC7D6">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C7546B0">
            <w:pPr>
              <w:spacing w:line="240" w:lineRule="exact"/>
              <w:jc w:val="right"/>
              <w:rPr>
                <w:rFonts w:ascii="宋体" w:hAnsi="宋体" w:eastAsia="宋体" w:cs="宋体"/>
                <w:sz w:val="18"/>
                <w:szCs w:val="18"/>
              </w:rPr>
            </w:pPr>
            <w:r>
              <w:rPr>
                <w:rFonts w:ascii="宋体" w:hAnsi="宋体" w:eastAsia="宋体" w:cs="宋体"/>
                <w:sz w:val="18"/>
                <w:szCs w:val="18"/>
              </w:rPr>
              <w:t>1,940,000.00</w:t>
            </w:r>
          </w:p>
        </w:tc>
      </w:tr>
    </w:tbl>
    <w:p w14:paraId="64402352">
      <w:pPr>
        <w:spacing w:before="100" w:after="100" w:line="240" w:lineRule="exact"/>
      </w:pPr>
      <w:r>
        <w:rPr>
          <w:rFonts w:ascii="宋体" w:hAnsi="宋体" w:eastAsia="宋体" w:cs="宋体"/>
          <w:sz w:val="18"/>
          <w:szCs w:val="18"/>
        </w:rPr>
        <w:t>其他说明：</w:t>
      </w:r>
    </w:p>
    <w:p w14:paraId="000FBBFA">
      <w:pPr>
        <w:pStyle w:val="3"/>
        <w:spacing w:after="100" w:line="280" w:lineRule="exact"/>
        <w:jc w:val="left"/>
        <w:rPr>
          <w:rFonts w:ascii="宋体" w:hAnsi="宋体" w:cs="宋体"/>
          <w:b/>
          <w:bCs/>
        </w:rPr>
      </w:pPr>
      <w:bookmarkStart w:id="294" w:name="_Toc989183"/>
      <w:r>
        <w:rPr>
          <w:rFonts w:ascii="宋体" w:hAnsi="宋体" w:cs="宋体"/>
          <w:b/>
          <w:bCs/>
        </w:rPr>
        <w:t>31、所有权或使用权受到限制的资产</w:t>
      </w:r>
      <w:bookmarkEnd w:id="294"/>
    </w:p>
    <w:p w14:paraId="76AB18D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3889969">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E50B1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9E617FE">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B332113">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r>
      <w:tr w14:paraId="3FF560D8">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A72443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B08BA2">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BE9BDE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2686DB">
            <w:pPr>
              <w:spacing w:before="40" w:after="40" w:line="240" w:lineRule="exact"/>
              <w:jc w:val="center"/>
              <w:rPr>
                <w:rFonts w:ascii="宋体" w:hAnsi="宋体" w:eastAsia="宋体" w:cs="宋体"/>
                <w:sz w:val="18"/>
                <w:szCs w:val="18"/>
              </w:rPr>
            </w:pPr>
            <w:r>
              <w:rPr>
                <w:rFonts w:ascii="宋体" w:hAnsi="宋体" w:eastAsia="宋体" w:cs="宋体"/>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E104DDC">
            <w:pPr>
              <w:spacing w:before="40" w:after="40" w:line="240" w:lineRule="exact"/>
              <w:jc w:val="center"/>
              <w:rPr>
                <w:rFonts w:ascii="宋体" w:hAnsi="宋体" w:eastAsia="宋体" w:cs="宋体"/>
                <w:sz w:val="18"/>
                <w:szCs w:val="18"/>
              </w:rPr>
            </w:pPr>
            <w:r>
              <w:rPr>
                <w:rFonts w:ascii="宋体" w:hAnsi="宋体" w:eastAsia="宋体" w:cs="宋体"/>
                <w:sz w:val="18"/>
                <w:szCs w:val="18"/>
              </w:rPr>
              <w:t>受限情况</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87C3A4">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D6958CD">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806B5E">
            <w:pPr>
              <w:spacing w:before="40" w:after="40" w:line="240" w:lineRule="exact"/>
              <w:jc w:val="center"/>
              <w:rPr>
                <w:rFonts w:ascii="宋体" w:hAnsi="宋体" w:eastAsia="宋体" w:cs="宋体"/>
                <w:sz w:val="18"/>
                <w:szCs w:val="18"/>
              </w:rPr>
            </w:pPr>
            <w:r>
              <w:rPr>
                <w:rFonts w:ascii="宋体" w:hAnsi="宋体" w:eastAsia="宋体" w:cs="宋体"/>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A3C625">
            <w:pPr>
              <w:spacing w:before="40" w:after="40" w:line="240" w:lineRule="exact"/>
              <w:jc w:val="center"/>
              <w:rPr>
                <w:rFonts w:ascii="宋体" w:hAnsi="宋体" w:eastAsia="宋体" w:cs="宋体"/>
                <w:sz w:val="18"/>
                <w:szCs w:val="18"/>
              </w:rPr>
            </w:pPr>
            <w:r>
              <w:rPr>
                <w:rFonts w:ascii="宋体" w:hAnsi="宋体" w:eastAsia="宋体" w:cs="宋体"/>
                <w:sz w:val="18"/>
                <w:szCs w:val="18"/>
              </w:rPr>
              <w:t>受限情况</w:t>
            </w:r>
          </w:p>
        </w:tc>
      </w:tr>
      <w:tr w14:paraId="185DB97B">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910B6C">
            <w:pPr>
              <w:spacing w:before="40" w:after="40" w:line="240" w:lineRule="exact"/>
              <w:rPr>
                <w:rFonts w:ascii="宋体" w:hAnsi="宋体" w:eastAsia="宋体" w:cs="宋体"/>
                <w:sz w:val="18"/>
                <w:szCs w:val="18"/>
              </w:rPr>
            </w:pPr>
            <w:r>
              <w:rPr>
                <w:rFonts w:ascii="宋体" w:hAnsi="宋体" w:eastAsia="宋体" w:cs="宋体"/>
                <w:sz w:val="18"/>
                <w:szCs w:val="18"/>
              </w:rPr>
              <w:t>货币资金</w:t>
            </w:r>
          </w:p>
        </w:tc>
        <w:tc>
          <w:tcPr>
            <w:tcW w:w="1071" w:type="dxa"/>
            <w:tcBorders>
              <w:top w:val="single" w:color="auto" w:sz="2" w:space="0"/>
              <w:left w:val="single" w:color="auto" w:sz="2" w:space="0"/>
              <w:bottom w:val="single" w:color="auto" w:sz="2" w:space="0"/>
              <w:right w:val="single" w:color="auto" w:sz="2" w:space="0"/>
            </w:tcBorders>
            <w:vAlign w:val="center"/>
          </w:tcPr>
          <w:p w14:paraId="2E6FF69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54D0B6">
            <w:pPr>
              <w:spacing w:line="240" w:lineRule="exact"/>
              <w:jc w:val="right"/>
              <w:rPr>
                <w:rFonts w:ascii="宋体" w:hAnsi="宋体" w:eastAsia="宋体" w:cs="宋体"/>
                <w:sz w:val="18"/>
                <w:szCs w:val="18"/>
              </w:rPr>
            </w:pPr>
            <w:r>
              <w:rPr>
                <w:rFonts w:ascii="宋体" w:hAnsi="宋体" w:eastAsia="宋体" w:cs="宋体"/>
                <w:sz w:val="18"/>
                <w:szCs w:val="18"/>
              </w:rPr>
              <w:t>4.17</w:t>
            </w:r>
          </w:p>
        </w:tc>
        <w:tc>
          <w:tcPr>
            <w:tcW w:w="1071" w:type="dxa"/>
            <w:tcBorders>
              <w:top w:val="single" w:color="auto" w:sz="2" w:space="0"/>
              <w:left w:val="single" w:color="auto" w:sz="2" w:space="0"/>
              <w:bottom w:val="single" w:color="auto" w:sz="2" w:space="0"/>
              <w:right w:val="single" w:color="auto" w:sz="2" w:space="0"/>
            </w:tcBorders>
            <w:vAlign w:val="center"/>
          </w:tcPr>
          <w:p w14:paraId="08D78A45">
            <w:pPr>
              <w:spacing w:line="240" w:lineRule="exact"/>
              <w:rPr>
                <w:rFonts w:ascii="宋体" w:hAnsi="宋体" w:eastAsia="宋体" w:cs="宋体"/>
                <w:sz w:val="18"/>
                <w:szCs w:val="18"/>
              </w:rPr>
            </w:pPr>
            <w:r>
              <w:rPr>
                <w:rFonts w:ascii="宋体" w:hAnsi="宋体" w:eastAsia="宋体" w:cs="宋体"/>
                <w:sz w:val="18"/>
                <w:szCs w:val="18"/>
              </w:rPr>
              <w:t>银行冻结</w:t>
            </w:r>
          </w:p>
        </w:tc>
        <w:tc>
          <w:tcPr>
            <w:tcW w:w="1071" w:type="dxa"/>
            <w:tcBorders>
              <w:top w:val="single" w:color="auto" w:sz="2" w:space="0"/>
              <w:left w:val="single" w:color="auto" w:sz="2" w:space="0"/>
              <w:bottom w:val="single" w:color="auto" w:sz="2" w:space="0"/>
              <w:right w:val="single" w:color="auto" w:sz="2" w:space="0"/>
            </w:tcBorders>
            <w:vAlign w:val="center"/>
          </w:tcPr>
          <w:p w14:paraId="4FE03CBA">
            <w:pPr>
              <w:spacing w:line="240" w:lineRule="exact"/>
              <w:rPr>
                <w:rFonts w:ascii="宋体" w:hAnsi="宋体" w:eastAsia="宋体" w:cs="宋体"/>
                <w:sz w:val="18"/>
                <w:szCs w:val="18"/>
              </w:rPr>
            </w:pPr>
            <w:r>
              <w:rPr>
                <w:rFonts w:ascii="宋体" w:hAnsi="宋体" w:eastAsia="宋体" w:cs="宋体"/>
                <w:sz w:val="18"/>
                <w:szCs w:val="18"/>
              </w:rPr>
              <w:t>诉讼冻结</w:t>
            </w:r>
          </w:p>
        </w:tc>
        <w:tc>
          <w:tcPr>
            <w:tcW w:w="1071" w:type="dxa"/>
            <w:tcBorders>
              <w:top w:val="single" w:color="auto" w:sz="2" w:space="0"/>
              <w:left w:val="single" w:color="auto" w:sz="2" w:space="0"/>
              <w:bottom w:val="single" w:color="auto" w:sz="2" w:space="0"/>
              <w:right w:val="single" w:color="auto" w:sz="2" w:space="0"/>
            </w:tcBorders>
            <w:vAlign w:val="center"/>
          </w:tcPr>
          <w:p w14:paraId="6886863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D87D66">
            <w:pPr>
              <w:spacing w:line="240" w:lineRule="exact"/>
              <w:jc w:val="right"/>
              <w:rPr>
                <w:rFonts w:ascii="宋体" w:hAnsi="宋体" w:eastAsia="宋体" w:cs="宋体"/>
                <w:sz w:val="18"/>
                <w:szCs w:val="18"/>
              </w:rPr>
            </w:pPr>
            <w:r>
              <w:rPr>
                <w:rFonts w:ascii="宋体" w:hAnsi="宋体" w:eastAsia="宋体" w:cs="宋体"/>
                <w:sz w:val="18"/>
                <w:szCs w:val="18"/>
              </w:rPr>
              <w:t>15,365.44</w:t>
            </w:r>
          </w:p>
        </w:tc>
        <w:tc>
          <w:tcPr>
            <w:tcW w:w="1071" w:type="dxa"/>
            <w:tcBorders>
              <w:top w:val="single" w:color="auto" w:sz="2" w:space="0"/>
              <w:left w:val="single" w:color="auto" w:sz="2" w:space="0"/>
              <w:bottom w:val="single" w:color="auto" w:sz="2" w:space="0"/>
              <w:right w:val="single" w:color="auto" w:sz="2" w:space="0"/>
            </w:tcBorders>
            <w:vAlign w:val="center"/>
          </w:tcPr>
          <w:p w14:paraId="0B4F5E1E">
            <w:pPr>
              <w:spacing w:line="240" w:lineRule="exact"/>
              <w:rPr>
                <w:rFonts w:ascii="宋体" w:hAnsi="宋体" w:eastAsia="宋体" w:cs="宋体"/>
                <w:sz w:val="18"/>
                <w:szCs w:val="18"/>
              </w:rPr>
            </w:pPr>
            <w:r>
              <w:rPr>
                <w:rFonts w:ascii="宋体" w:hAnsi="宋体" w:eastAsia="宋体" w:cs="宋体"/>
                <w:sz w:val="18"/>
                <w:szCs w:val="18"/>
              </w:rPr>
              <w:t>银行冻结</w:t>
            </w:r>
          </w:p>
        </w:tc>
        <w:tc>
          <w:tcPr>
            <w:tcW w:w="1071" w:type="dxa"/>
            <w:tcBorders>
              <w:top w:val="single" w:color="auto" w:sz="2" w:space="0"/>
              <w:left w:val="single" w:color="auto" w:sz="2" w:space="0"/>
              <w:bottom w:val="single" w:color="auto" w:sz="2" w:space="0"/>
              <w:right w:val="single" w:color="auto" w:sz="2" w:space="0"/>
            </w:tcBorders>
            <w:vAlign w:val="center"/>
          </w:tcPr>
          <w:p w14:paraId="7EDA50E1">
            <w:pPr>
              <w:spacing w:line="240" w:lineRule="exact"/>
              <w:rPr>
                <w:rFonts w:ascii="宋体" w:hAnsi="宋体" w:eastAsia="宋体" w:cs="宋体"/>
                <w:sz w:val="18"/>
                <w:szCs w:val="18"/>
              </w:rPr>
            </w:pPr>
            <w:r>
              <w:rPr>
                <w:rFonts w:ascii="宋体" w:hAnsi="宋体" w:eastAsia="宋体" w:cs="宋体"/>
                <w:sz w:val="18"/>
                <w:szCs w:val="18"/>
              </w:rPr>
              <w:t>诉讼冻结</w:t>
            </w:r>
          </w:p>
        </w:tc>
      </w:tr>
      <w:tr w14:paraId="13124E9B">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EA17355">
            <w:pPr>
              <w:spacing w:line="240" w:lineRule="exact"/>
              <w:rPr>
                <w:rFonts w:ascii="宋体" w:hAnsi="宋体" w:eastAsia="宋体" w:cs="宋体"/>
                <w:sz w:val="18"/>
                <w:szCs w:val="18"/>
              </w:rPr>
            </w:pPr>
            <w:r>
              <w:rPr>
                <w:rFonts w:ascii="宋体" w:hAnsi="宋体" w:eastAsia="宋体" w:cs="宋体"/>
                <w:sz w:val="18"/>
                <w:szCs w:val="18"/>
              </w:rPr>
              <w:t>长期股权投资及其他非流动金融资产</w:t>
            </w:r>
          </w:p>
        </w:tc>
        <w:tc>
          <w:tcPr>
            <w:tcW w:w="1071" w:type="dxa"/>
            <w:tcBorders>
              <w:top w:val="single" w:color="auto" w:sz="2" w:space="0"/>
              <w:left w:val="single" w:color="auto" w:sz="2" w:space="0"/>
              <w:bottom w:val="single" w:color="auto" w:sz="2" w:space="0"/>
              <w:right w:val="single" w:color="auto" w:sz="2" w:space="0"/>
            </w:tcBorders>
            <w:vAlign w:val="center"/>
          </w:tcPr>
          <w:p w14:paraId="72D260F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DDC7F5">
            <w:pPr>
              <w:spacing w:line="240" w:lineRule="exact"/>
              <w:jc w:val="right"/>
              <w:rPr>
                <w:rFonts w:ascii="宋体" w:hAnsi="宋体" w:eastAsia="宋体" w:cs="宋体"/>
                <w:sz w:val="18"/>
                <w:szCs w:val="18"/>
              </w:rPr>
            </w:pPr>
            <w:r>
              <w:rPr>
                <w:rFonts w:ascii="宋体" w:hAnsi="宋体" w:eastAsia="宋体" w:cs="宋体"/>
                <w:sz w:val="18"/>
                <w:szCs w:val="18"/>
              </w:rPr>
              <w:t>386,584,524.54</w:t>
            </w:r>
          </w:p>
        </w:tc>
        <w:tc>
          <w:tcPr>
            <w:tcW w:w="1071" w:type="dxa"/>
            <w:tcBorders>
              <w:top w:val="single" w:color="auto" w:sz="2" w:space="0"/>
              <w:left w:val="single" w:color="auto" w:sz="2" w:space="0"/>
              <w:bottom w:val="single" w:color="auto" w:sz="2" w:space="0"/>
              <w:right w:val="single" w:color="auto" w:sz="2" w:space="0"/>
            </w:tcBorders>
            <w:vAlign w:val="center"/>
          </w:tcPr>
          <w:p w14:paraId="564CC3B7">
            <w:pPr>
              <w:spacing w:line="240" w:lineRule="exact"/>
              <w:rPr>
                <w:rFonts w:ascii="宋体" w:hAnsi="宋体" w:eastAsia="宋体" w:cs="宋体"/>
                <w:sz w:val="18"/>
                <w:szCs w:val="18"/>
              </w:rPr>
            </w:pPr>
            <w:r>
              <w:rPr>
                <w:rFonts w:ascii="宋体" w:hAnsi="宋体" w:eastAsia="宋体" w:cs="宋体"/>
                <w:sz w:val="18"/>
                <w:szCs w:val="18"/>
              </w:rPr>
              <w:t>法院查封</w:t>
            </w:r>
          </w:p>
        </w:tc>
        <w:tc>
          <w:tcPr>
            <w:tcW w:w="1071" w:type="dxa"/>
            <w:tcBorders>
              <w:top w:val="single" w:color="auto" w:sz="2" w:space="0"/>
              <w:left w:val="single" w:color="auto" w:sz="2" w:space="0"/>
              <w:bottom w:val="single" w:color="auto" w:sz="2" w:space="0"/>
              <w:right w:val="single" w:color="auto" w:sz="2" w:space="0"/>
            </w:tcBorders>
            <w:vAlign w:val="center"/>
          </w:tcPr>
          <w:p w14:paraId="59FD28C8">
            <w:pPr>
              <w:spacing w:line="240" w:lineRule="exact"/>
              <w:rPr>
                <w:rFonts w:ascii="宋体" w:hAnsi="宋体" w:eastAsia="宋体" w:cs="宋体"/>
                <w:sz w:val="18"/>
                <w:szCs w:val="18"/>
              </w:rPr>
            </w:pPr>
            <w:r>
              <w:rPr>
                <w:rFonts w:ascii="宋体" w:hAnsi="宋体" w:eastAsia="宋体" w:cs="宋体"/>
                <w:sz w:val="18"/>
                <w:szCs w:val="18"/>
              </w:rPr>
              <w:t>诉讼冻结</w:t>
            </w:r>
          </w:p>
        </w:tc>
        <w:tc>
          <w:tcPr>
            <w:tcW w:w="1071" w:type="dxa"/>
            <w:tcBorders>
              <w:top w:val="single" w:color="auto" w:sz="2" w:space="0"/>
              <w:left w:val="single" w:color="auto" w:sz="2" w:space="0"/>
              <w:bottom w:val="single" w:color="auto" w:sz="2" w:space="0"/>
              <w:right w:val="single" w:color="auto" w:sz="2" w:space="0"/>
            </w:tcBorders>
            <w:vAlign w:val="center"/>
          </w:tcPr>
          <w:p w14:paraId="601270A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796587">
            <w:pPr>
              <w:spacing w:line="240" w:lineRule="exact"/>
              <w:jc w:val="right"/>
              <w:rPr>
                <w:rFonts w:ascii="宋体" w:hAnsi="宋体" w:eastAsia="宋体" w:cs="宋体"/>
                <w:sz w:val="18"/>
                <w:szCs w:val="18"/>
              </w:rPr>
            </w:pPr>
            <w:r>
              <w:rPr>
                <w:rFonts w:ascii="宋体" w:hAnsi="宋体" w:eastAsia="宋体" w:cs="宋体"/>
                <w:sz w:val="18"/>
                <w:szCs w:val="18"/>
              </w:rPr>
              <w:t>389,830,375.21</w:t>
            </w:r>
          </w:p>
        </w:tc>
        <w:tc>
          <w:tcPr>
            <w:tcW w:w="1071" w:type="dxa"/>
            <w:tcBorders>
              <w:top w:val="single" w:color="auto" w:sz="2" w:space="0"/>
              <w:left w:val="single" w:color="auto" w:sz="2" w:space="0"/>
              <w:bottom w:val="single" w:color="auto" w:sz="2" w:space="0"/>
              <w:right w:val="single" w:color="auto" w:sz="2" w:space="0"/>
            </w:tcBorders>
            <w:vAlign w:val="center"/>
          </w:tcPr>
          <w:p w14:paraId="5238CD39">
            <w:pPr>
              <w:spacing w:line="240" w:lineRule="exact"/>
              <w:rPr>
                <w:rFonts w:ascii="宋体" w:hAnsi="宋体" w:eastAsia="宋体" w:cs="宋体"/>
                <w:sz w:val="18"/>
                <w:szCs w:val="18"/>
              </w:rPr>
            </w:pPr>
            <w:r>
              <w:rPr>
                <w:rFonts w:ascii="宋体" w:hAnsi="宋体" w:eastAsia="宋体" w:cs="宋体"/>
                <w:sz w:val="18"/>
                <w:szCs w:val="18"/>
              </w:rPr>
              <w:t>法院查封</w:t>
            </w:r>
          </w:p>
        </w:tc>
        <w:tc>
          <w:tcPr>
            <w:tcW w:w="1071" w:type="dxa"/>
            <w:tcBorders>
              <w:top w:val="single" w:color="auto" w:sz="2" w:space="0"/>
              <w:left w:val="single" w:color="auto" w:sz="2" w:space="0"/>
              <w:bottom w:val="single" w:color="auto" w:sz="2" w:space="0"/>
              <w:right w:val="single" w:color="auto" w:sz="2" w:space="0"/>
            </w:tcBorders>
            <w:vAlign w:val="center"/>
          </w:tcPr>
          <w:p w14:paraId="6825F419">
            <w:pPr>
              <w:spacing w:line="240" w:lineRule="exact"/>
              <w:rPr>
                <w:rFonts w:ascii="宋体" w:hAnsi="宋体" w:eastAsia="宋体" w:cs="宋体"/>
                <w:sz w:val="18"/>
                <w:szCs w:val="18"/>
              </w:rPr>
            </w:pPr>
            <w:r>
              <w:rPr>
                <w:rFonts w:ascii="宋体" w:hAnsi="宋体" w:eastAsia="宋体" w:cs="宋体"/>
                <w:sz w:val="18"/>
                <w:szCs w:val="18"/>
              </w:rPr>
              <w:t>诉讼冻结</w:t>
            </w:r>
          </w:p>
        </w:tc>
      </w:tr>
      <w:tr w14:paraId="05B4A94A">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05E5CE3">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7F1E3C5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FEBC10">
            <w:pPr>
              <w:spacing w:line="240" w:lineRule="exact"/>
              <w:jc w:val="right"/>
              <w:rPr>
                <w:rFonts w:ascii="宋体" w:hAnsi="宋体" w:eastAsia="宋体" w:cs="宋体"/>
                <w:sz w:val="18"/>
                <w:szCs w:val="18"/>
              </w:rPr>
            </w:pPr>
            <w:r>
              <w:rPr>
                <w:rFonts w:ascii="宋体" w:hAnsi="宋体" w:eastAsia="宋体" w:cs="宋体"/>
                <w:sz w:val="18"/>
                <w:szCs w:val="18"/>
              </w:rPr>
              <w:t>386,584,528.71</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8818A7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A95968"/>
        </w:tc>
        <w:tc>
          <w:tcPr>
            <w:tcW w:w="1071" w:type="dxa"/>
            <w:tcBorders>
              <w:top w:val="single" w:color="auto" w:sz="2" w:space="0"/>
              <w:left w:val="single" w:color="auto" w:sz="2" w:space="0"/>
              <w:bottom w:val="single" w:color="auto" w:sz="2" w:space="0"/>
              <w:right w:val="single" w:color="auto" w:sz="2" w:space="0"/>
            </w:tcBorders>
            <w:vAlign w:val="center"/>
          </w:tcPr>
          <w:p w14:paraId="07D7DFC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FAF6AB0">
            <w:pPr>
              <w:spacing w:line="240" w:lineRule="exact"/>
              <w:jc w:val="right"/>
              <w:rPr>
                <w:rFonts w:ascii="宋体" w:hAnsi="宋体" w:eastAsia="宋体" w:cs="宋体"/>
                <w:sz w:val="18"/>
                <w:szCs w:val="18"/>
              </w:rPr>
            </w:pPr>
            <w:r>
              <w:rPr>
                <w:rFonts w:ascii="宋体" w:hAnsi="宋体" w:eastAsia="宋体" w:cs="宋体"/>
                <w:sz w:val="18"/>
                <w:szCs w:val="18"/>
              </w:rPr>
              <w:t>389,845,740.65</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79CED0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A3D1E00"/>
        </w:tc>
      </w:tr>
    </w:tbl>
    <w:p w14:paraId="1D8EB2A0">
      <w:pPr>
        <w:spacing w:before="100" w:after="100" w:line="240" w:lineRule="exact"/>
      </w:pPr>
      <w:r>
        <w:rPr>
          <w:rFonts w:ascii="宋体" w:hAnsi="宋体" w:eastAsia="宋体" w:cs="宋体"/>
          <w:sz w:val="18"/>
          <w:szCs w:val="18"/>
        </w:rPr>
        <w:t>其他说明：</w:t>
      </w:r>
    </w:p>
    <w:p w14:paraId="7A0FA5C3">
      <w:pPr>
        <w:pStyle w:val="3"/>
        <w:spacing w:after="100" w:line="280" w:lineRule="exact"/>
        <w:jc w:val="left"/>
        <w:rPr>
          <w:rFonts w:ascii="宋体" w:hAnsi="宋体" w:cs="宋体"/>
          <w:b/>
          <w:bCs/>
        </w:rPr>
      </w:pPr>
      <w:bookmarkStart w:id="295" w:name="_Toc989184"/>
      <w:r>
        <w:rPr>
          <w:rFonts w:ascii="宋体" w:hAnsi="宋体" w:cs="宋体"/>
          <w:b/>
          <w:bCs/>
        </w:rPr>
        <w:t>32、短期借款</w:t>
      </w:r>
      <w:bookmarkEnd w:id="295"/>
    </w:p>
    <w:p w14:paraId="4557343B">
      <w:pPr>
        <w:keepNext/>
        <w:keepLines/>
        <w:spacing w:before="300" w:after="100" w:line="280" w:lineRule="exact"/>
        <w:outlineLvl w:val="3"/>
        <w:rPr>
          <w:rFonts w:ascii="宋体" w:hAnsi="宋体" w:eastAsia="宋体" w:cs="宋体"/>
          <w:b/>
          <w:bCs/>
          <w:szCs w:val="21"/>
        </w:rPr>
      </w:pPr>
      <w:bookmarkStart w:id="296" w:name="_Toc989185"/>
      <w:r>
        <w:rPr>
          <w:rFonts w:ascii="宋体" w:hAnsi="宋体" w:eastAsia="宋体" w:cs="宋体"/>
          <w:b/>
          <w:bCs/>
          <w:szCs w:val="21"/>
        </w:rPr>
        <w:t>（1） 短期借款分类</w:t>
      </w:r>
      <w:bookmarkEnd w:id="296"/>
    </w:p>
    <w:p w14:paraId="3D7BA828">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D5C57D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EECF83">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9BAB49">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06C911">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AA26B3C">
      <w:pPr>
        <w:spacing w:before="100" w:after="100" w:line="240" w:lineRule="exact"/>
        <w:rPr>
          <w:rFonts w:ascii="宋体" w:hAnsi="宋体" w:eastAsia="宋体" w:cs="宋体"/>
          <w:sz w:val="18"/>
          <w:szCs w:val="18"/>
        </w:rPr>
      </w:pPr>
      <w:r>
        <w:rPr>
          <w:rFonts w:ascii="宋体" w:hAnsi="宋体" w:eastAsia="宋体" w:cs="宋体"/>
          <w:sz w:val="18"/>
          <w:szCs w:val="18"/>
        </w:rPr>
        <w:t>短期借款分类的说明：</w:t>
      </w:r>
    </w:p>
    <w:p w14:paraId="13F8A328">
      <w:pPr>
        <w:spacing w:after="100"/>
      </w:pPr>
    </w:p>
    <w:p w14:paraId="4497FE83">
      <w:pPr>
        <w:keepNext/>
        <w:keepLines/>
        <w:spacing w:before="300" w:after="100" w:line="280" w:lineRule="exact"/>
        <w:outlineLvl w:val="3"/>
        <w:rPr>
          <w:rFonts w:ascii="宋体" w:hAnsi="宋体" w:eastAsia="宋体" w:cs="宋体"/>
          <w:b/>
          <w:bCs/>
          <w:szCs w:val="21"/>
        </w:rPr>
      </w:pPr>
      <w:bookmarkStart w:id="297" w:name="_Toc989186"/>
      <w:r>
        <w:rPr>
          <w:rFonts w:ascii="宋体" w:hAnsi="宋体" w:eastAsia="宋体" w:cs="宋体"/>
          <w:b/>
          <w:bCs/>
          <w:szCs w:val="21"/>
        </w:rPr>
        <w:t>（2） 已逾期未偿还的短期借款情况</w:t>
      </w:r>
      <w:bookmarkEnd w:id="297"/>
    </w:p>
    <w:p w14:paraId="160BBE49">
      <w:pPr>
        <w:spacing w:before="40" w:after="100" w:line="240" w:lineRule="exact"/>
        <w:rPr>
          <w:rFonts w:ascii="宋体" w:hAnsi="宋体" w:eastAsia="宋体" w:cs="宋体"/>
          <w:sz w:val="18"/>
          <w:szCs w:val="18"/>
        </w:rPr>
      </w:pPr>
      <w:r>
        <w:rPr>
          <w:rFonts w:ascii="宋体" w:hAnsi="宋体" w:eastAsia="宋体" w:cs="宋体"/>
          <w:sz w:val="18"/>
          <w:szCs w:val="18"/>
        </w:rPr>
        <w:t>本期末已逾期未偿还的短期借款总额为元，其中重要的已逾期未偿还的短期借款情况如下：</w:t>
      </w:r>
    </w:p>
    <w:p w14:paraId="5B8FB010">
      <w:pPr>
        <w:spacing w:before="12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C4EE87F">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6242D6">
            <w:pPr>
              <w:spacing w:before="40" w:after="10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AACA3B">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1D2600">
            <w:pPr>
              <w:spacing w:before="40" w:after="100" w:line="240" w:lineRule="exact"/>
              <w:jc w:val="center"/>
              <w:rPr>
                <w:rFonts w:ascii="宋体" w:hAnsi="宋体" w:eastAsia="宋体" w:cs="宋体"/>
                <w:sz w:val="18"/>
                <w:szCs w:val="18"/>
              </w:rPr>
            </w:pPr>
            <w:r>
              <w:rPr>
                <w:rFonts w:ascii="宋体" w:hAnsi="宋体" w:eastAsia="宋体" w:cs="宋体"/>
                <w:sz w:val="18"/>
                <w:szCs w:val="18"/>
              </w:rPr>
              <w:t>借款利率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47D5D8">
            <w:pPr>
              <w:spacing w:before="40" w:after="100" w:line="240" w:lineRule="exact"/>
              <w:jc w:val="center"/>
              <w:rPr>
                <w:rFonts w:ascii="宋体" w:hAnsi="宋体" w:eastAsia="宋体" w:cs="宋体"/>
                <w:sz w:val="18"/>
                <w:szCs w:val="18"/>
              </w:rPr>
            </w:pPr>
            <w:r>
              <w:rPr>
                <w:rFonts w:ascii="宋体" w:hAnsi="宋体" w:eastAsia="宋体" w:cs="宋体"/>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E3A572">
            <w:pPr>
              <w:spacing w:before="40" w:after="100" w:line="240" w:lineRule="exact"/>
              <w:jc w:val="center"/>
              <w:rPr>
                <w:rFonts w:ascii="宋体" w:hAnsi="宋体" w:eastAsia="宋体" w:cs="宋体"/>
                <w:sz w:val="18"/>
                <w:szCs w:val="18"/>
              </w:rPr>
            </w:pPr>
            <w:r>
              <w:rPr>
                <w:rFonts w:ascii="宋体" w:hAnsi="宋体" w:eastAsia="宋体" w:cs="宋体"/>
                <w:sz w:val="18"/>
                <w:szCs w:val="18"/>
              </w:rPr>
              <w:t>逾期利率</w:t>
            </w:r>
          </w:p>
        </w:tc>
      </w:tr>
    </w:tbl>
    <w:p w14:paraId="0CDF3B0E">
      <w:pPr>
        <w:spacing w:before="100" w:after="100" w:line="240" w:lineRule="exact"/>
      </w:pPr>
      <w:r>
        <w:rPr>
          <w:rFonts w:ascii="宋体" w:hAnsi="宋体" w:eastAsia="宋体" w:cs="宋体"/>
          <w:sz w:val="18"/>
          <w:szCs w:val="18"/>
        </w:rPr>
        <w:t>其他说明</w:t>
      </w:r>
    </w:p>
    <w:p w14:paraId="6F47DB2C">
      <w:pPr>
        <w:pStyle w:val="3"/>
        <w:spacing w:after="100" w:line="280" w:lineRule="exact"/>
        <w:jc w:val="left"/>
        <w:rPr>
          <w:rFonts w:ascii="宋体" w:hAnsi="宋体" w:cs="宋体"/>
          <w:b/>
          <w:bCs/>
        </w:rPr>
      </w:pPr>
      <w:bookmarkStart w:id="298" w:name="_Toc989187"/>
      <w:r>
        <w:rPr>
          <w:rFonts w:ascii="宋体" w:hAnsi="宋体" w:cs="宋体"/>
          <w:b/>
          <w:bCs/>
        </w:rPr>
        <w:t>33、交易性金融负债</w:t>
      </w:r>
      <w:bookmarkEnd w:id="298"/>
    </w:p>
    <w:p w14:paraId="32B0155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9ACB34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300CF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6E2F7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1F592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445F2A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662014">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E97A14"/>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FD30CC"/>
        </w:tc>
      </w:tr>
      <w:tr w14:paraId="511A8DE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7AC3C4">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B4FA8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FC4CCA"/>
        </w:tc>
      </w:tr>
    </w:tbl>
    <w:p w14:paraId="73130FF0">
      <w:pPr>
        <w:spacing w:before="100" w:after="100" w:line="240" w:lineRule="exact"/>
      </w:pPr>
      <w:r>
        <w:rPr>
          <w:rFonts w:ascii="宋体" w:hAnsi="宋体" w:eastAsia="宋体" w:cs="宋体"/>
          <w:sz w:val="18"/>
          <w:szCs w:val="18"/>
        </w:rPr>
        <w:t>其他说明：</w:t>
      </w:r>
    </w:p>
    <w:p w14:paraId="7E98E10A">
      <w:pPr>
        <w:pStyle w:val="3"/>
        <w:spacing w:after="100" w:line="280" w:lineRule="exact"/>
        <w:jc w:val="left"/>
        <w:rPr>
          <w:rFonts w:ascii="宋体" w:hAnsi="宋体" w:cs="宋体"/>
          <w:b/>
          <w:bCs/>
        </w:rPr>
      </w:pPr>
      <w:bookmarkStart w:id="299" w:name="_Toc989188"/>
      <w:r>
        <w:rPr>
          <w:rFonts w:ascii="宋体" w:hAnsi="宋体" w:cs="宋体"/>
          <w:b/>
          <w:bCs/>
        </w:rPr>
        <w:t>34、衍生金融负债</w:t>
      </w:r>
      <w:bookmarkEnd w:id="299"/>
    </w:p>
    <w:p w14:paraId="49FE33FE">
      <w:pPr>
        <w:spacing w:before="12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E471E1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1D7EC0">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945FAB">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270DBE">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20BD05A5">
      <w:pPr>
        <w:spacing w:before="100" w:after="100" w:line="240" w:lineRule="exact"/>
      </w:pPr>
      <w:r>
        <w:rPr>
          <w:rFonts w:ascii="宋体" w:hAnsi="宋体" w:eastAsia="宋体" w:cs="宋体"/>
          <w:sz w:val="18"/>
          <w:szCs w:val="18"/>
        </w:rPr>
        <w:t>其他说明：</w:t>
      </w:r>
    </w:p>
    <w:p w14:paraId="4FF913F8">
      <w:pPr>
        <w:pStyle w:val="3"/>
        <w:spacing w:after="100" w:line="280" w:lineRule="exact"/>
        <w:jc w:val="left"/>
        <w:rPr>
          <w:rFonts w:ascii="宋体" w:hAnsi="宋体" w:cs="宋体"/>
          <w:b/>
          <w:bCs/>
        </w:rPr>
      </w:pPr>
      <w:bookmarkStart w:id="300" w:name="_Toc989189"/>
      <w:r>
        <w:rPr>
          <w:rFonts w:ascii="宋体" w:hAnsi="宋体" w:cs="宋体"/>
          <w:b/>
          <w:bCs/>
        </w:rPr>
        <w:t>35、应付票据</w:t>
      </w:r>
      <w:bookmarkEnd w:id="300"/>
    </w:p>
    <w:p w14:paraId="217FF833">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DE2D2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616D9B">
            <w:pPr>
              <w:spacing w:before="40" w:after="100" w:line="240" w:lineRule="exact"/>
              <w:jc w:val="center"/>
              <w:rPr>
                <w:rFonts w:ascii="宋体" w:hAnsi="宋体" w:eastAsia="宋体" w:cs="宋体"/>
                <w:sz w:val="18"/>
                <w:szCs w:val="18"/>
              </w:rPr>
            </w:pPr>
            <w:r>
              <w:rPr>
                <w:rFonts w:ascii="宋体" w:hAnsi="宋体" w:eastAsia="宋体" w:cs="宋体"/>
                <w:sz w:val="18"/>
                <w:szCs w:val="18"/>
              </w:rPr>
              <w:t>种类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B6AC2C">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F7FE29">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3D763AB5">
      <w:pPr>
        <w:spacing w:before="100" w:after="100" w:line="240" w:lineRule="exact"/>
        <w:rPr>
          <w:rFonts w:ascii="宋体" w:hAnsi="宋体" w:eastAsia="宋体" w:cs="宋体"/>
          <w:sz w:val="18"/>
          <w:szCs w:val="18"/>
        </w:rPr>
      </w:pPr>
      <w:r>
        <w:rPr>
          <w:rFonts w:ascii="宋体" w:hAnsi="宋体" w:eastAsia="宋体" w:cs="宋体"/>
          <w:sz w:val="18"/>
          <w:szCs w:val="18"/>
        </w:rPr>
        <w:t>本期末已到期未支付的应付票据总额为元，到期未付的原因为。</w:t>
      </w:r>
    </w:p>
    <w:p w14:paraId="7BB704EC">
      <w:pPr>
        <w:pStyle w:val="3"/>
        <w:spacing w:after="100" w:line="280" w:lineRule="exact"/>
        <w:jc w:val="left"/>
        <w:rPr>
          <w:rFonts w:ascii="宋体" w:hAnsi="宋体" w:cs="宋体"/>
          <w:b/>
          <w:bCs/>
        </w:rPr>
      </w:pPr>
      <w:bookmarkStart w:id="301" w:name="_Toc989190"/>
      <w:r>
        <w:rPr>
          <w:rFonts w:ascii="宋体" w:hAnsi="宋体" w:cs="宋体"/>
          <w:b/>
          <w:bCs/>
        </w:rPr>
        <w:t>36、应付账款</w:t>
      </w:r>
      <w:bookmarkEnd w:id="301"/>
    </w:p>
    <w:p w14:paraId="3744C367">
      <w:pPr>
        <w:keepNext/>
        <w:keepLines/>
        <w:spacing w:before="300" w:after="100" w:line="280" w:lineRule="exact"/>
        <w:outlineLvl w:val="3"/>
        <w:rPr>
          <w:rFonts w:ascii="宋体" w:hAnsi="宋体" w:eastAsia="宋体" w:cs="宋体"/>
          <w:b/>
          <w:bCs/>
          <w:sz w:val="18"/>
          <w:szCs w:val="18"/>
        </w:rPr>
      </w:pPr>
      <w:bookmarkStart w:id="302" w:name="_Toc989191"/>
      <w:r>
        <w:rPr>
          <w:rFonts w:ascii="宋体" w:hAnsi="宋体" w:eastAsia="宋体" w:cs="宋体"/>
          <w:b/>
          <w:bCs/>
          <w:sz w:val="18"/>
          <w:szCs w:val="18"/>
        </w:rPr>
        <w:t>（1） 应付账款列示</w:t>
      </w:r>
      <w:bookmarkEnd w:id="302"/>
    </w:p>
    <w:p w14:paraId="64090F0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80B3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92336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CA77D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645E4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C7B486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07B2DA0">
            <w:pPr>
              <w:spacing w:line="240" w:lineRule="exac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20922B2B">
            <w:pPr>
              <w:spacing w:line="240" w:lineRule="exact"/>
              <w:jc w:val="right"/>
              <w:rPr>
                <w:rFonts w:ascii="宋体" w:hAnsi="宋体" w:eastAsia="宋体" w:cs="宋体"/>
                <w:sz w:val="18"/>
                <w:szCs w:val="18"/>
              </w:rPr>
            </w:pPr>
            <w:r>
              <w:rPr>
                <w:rFonts w:ascii="宋体" w:hAnsi="宋体" w:eastAsia="宋体" w:cs="宋体"/>
                <w:sz w:val="18"/>
                <w:szCs w:val="18"/>
              </w:rPr>
              <w:t>17,020,987.90</w:t>
            </w:r>
          </w:p>
        </w:tc>
        <w:tc>
          <w:tcPr>
            <w:tcW w:w="3213" w:type="dxa"/>
            <w:tcBorders>
              <w:top w:val="single" w:color="auto" w:sz="2" w:space="0"/>
              <w:left w:val="single" w:color="auto" w:sz="2" w:space="0"/>
              <w:bottom w:val="single" w:color="auto" w:sz="2" w:space="0"/>
              <w:right w:val="single" w:color="auto" w:sz="2" w:space="0"/>
            </w:tcBorders>
            <w:vAlign w:val="center"/>
          </w:tcPr>
          <w:p w14:paraId="228ED482">
            <w:pPr>
              <w:spacing w:line="240" w:lineRule="exact"/>
              <w:jc w:val="right"/>
              <w:rPr>
                <w:rFonts w:ascii="宋体" w:hAnsi="宋体" w:eastAsia="宋体" w:cs="宋体"/>
                <w:sz w:val="18"/>
                <w:szCs w:val="18"/>
              </w:rPr>
            </w:pPr>
            <w:r>
              <w:rPr>
                <w:rFonts w:ascii="宋体" w:hAnsi="宋体" w:eastAsia="宋体" w:cs="宋体"/>
                <w:sz w:val="18"/>
                <w:szCs w:val="18"/>
              </w:rPr>
              <w:t>16,247,551.02</w:t>
            </w:r>
          </w:p>
        </w:tc>
      </w:tr>
      <w:tr w14:paraId="45032429">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0968F90">
            <w:pPr>
              <w:spacing w:line="240" w:lineRule="exact"/>
              <w:rPr>
                <w:rFonts w:ascii="宋体" w:hAnsi="宋体" w:eastAsia="宋体" w:cs="宋体"/>
                <w:sz w:val="18"/>
                <w:szCs w:val="18"/>
              </w:rPr>
            </w:pPr>
            <w:r>
              <w:rPr>
                <w:rFonts w:ascii="宋体" w:hAnsi="宋体" w:eastAsia="宋体" w:cs="宋体"/>
                <w:sz w:val="18"/>
                <w:szCs w:val="18"/>
              </w:rPr>
              <w:t>1年以上</w:t>
            </w:r>
          </w:p>
        </w:tc>
        <w:tc>
          <w:tcPr>
            <w:tcW w:w="3213" w:type="dxa"/>
            <w:tcBorders>
              <w:top w:val="single" w:color="auto" w:sz="2" w:space="0"/>
              <w:left w:val="single" w:color="auto" w:sz="2" w:space="0"/>
              <w:bottom w:val="single" w:color="auto" w:sz="2" w:space="0"/>
              <w:right w:val="single" w:color="auto" w:sz="2" w:space="0"/>
            </w:tcBorders>
            <w:vAlign w:val="center"/>
          </w:tcPr>
          <w:p w14:paraId="2B0E347F">
            <w:pPr>
              <w:spacing w:line="240" w:lineRule="exact"/>
              <w:jc w:val="right"/>
              <w:rPr>
                <w:rFonts w:ascii="宋体" w:hAnsi="宋体" w:eastAsia="宋体" w:cs="宋体"/>
                <w:sz w:val="18"/>
                <w:szCs w:val="18"/>
              </w:rPr>
            </w:pPr>
            <w:r>
              <w:rPr>
                <w:rFonts w:ascii="宋体" w:hAnsi="宋体" w:eastAsia="宋体" w:cs="宋体"/>
                <w:sz w:val="18"/>
                <w:szCs w:val="18"/>
              </w:rPr>
              <w:t>3,293,713.92</w:t>
            </w:r>
          </w:p>
        </w:tc>
        <w:tc>
          <w:tcPr>
            <w:tcW w:w="3213" w:type="dxa"/>
            <w:tcBorders>
              <w:top w:val="single" w:color="auto" w:sz="2" w:space="0"/>
              <w:left w:val="single" w:color="auto" w:sz="2" w:space="0"/>
              <w:bottom w:val="single" w:color="auto" w:sz="2" w:space="0"/>
              <w:right w:val="single" w:color="auto" w:sz="2" w:space="0"/>
            </w:tcBorders>
            <w:vAlign w:val="center"/>
          </w:tcPr>
          <w:p w14:paraId="5B00B3EB">
            <w:pPr>
              <w:spacing w:line="240" w:lineRule="exact"/>
              <w:jc w:val="right"/>
              <w:rPr>
                <w:rFonts w:ascii="宋体" w:hAnsi="宋体" w:eastAsia="宋体" w:cs="宋体"/>
                <w:sz w:val="18"/>
                <w:szCs w:val="18"/>
              </w:rPr>
            </w:pPr>
            <w:r>
              <w:rPr>
                <w:rFonts w:ascii="宋体" w:hAnsi="宋体" w:eastAsia="宋体" w:cs="宋体"/>
                <w:sz w:val="18"/>
                <w:szCs w:val="18"/>
              </w:rPr>
              <w:t>2,904,706.54</w:t>
            </w:r>
          </w:p>
        </w:tc>
      </w:tr>
      <w:tr w14:paraId="4B35243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8F1CB3">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14CD6C5">
            <w:pPr>
              <w:spacing w:line="240" w:lineRule="exact"/>
              <w:jc w:val="right"/>
              <w:rPr>
                <w:rFonts w:ascii="宋体" w:hAnsi="宋体" w:eastAsia="宋体" w:cs="宋体"/>
                <w:sz w:val="18"/>
                <w:szCs w:val="18"/>
              </w:rPr>
            </w:pPr>
            <w:r>
              <w:rPr>
                <w:rFonts w:ascii="宋体" w:hAnsi="宋体" w:eastAsia="宋体" w:cs="宋体"/>
                <w:sz w:val="18"/>
                <w:szCs w:val="18"/>
              </w:rPr>
              <w:t>20,314,701.82</w:t>
            </w:r>
          </w:p>
        </w:tc>
        <w:tc>
          <w:tcPr>
            <w:tcW w:w="3213" w:type="dxa"/>
            <w:tcBorders>
              <w:top w:val="single" w:color="auto" w:sz="2" w:space="0"/>
              <w:left w:val="single" w:color="auto" w:sz="2" w:space="0"/>
              <w:bottom w:val="single" w:color="auto" w:sz="2" w:space="0"/>
              <w:right w:val="single" w:color="auto" w:sz="2" w:space="0"/>
            </w:tcBorders>
            <w:vAlign w:val="center"/>
          </w:tcPr>
          <w:p w14:paraId="1BD811F2">
            <w:pPr>
              <w:spacing w:line="240" w:lineRule="exact"/>
              <w:jc w:val="right"/>
              <w:rPr>
                <w:rFonts w:ascii="宋体" w:hAnsi="宋体" w:eastAsia="宋体" w:cs="宋体"/>
                <w:sz w:val="18"/>
                <w:szCs w:val="18"/>
              </w:rPr>
            </w:pPr>
            <w:r>
              <w:rPr>
                <w:rFonts w:ascii="宋体" w:hAnsi="宋体" w:eastAsia="宋体" w:cs="宋体"/>
                <w:sz w:val="18"/>
                <w:szCs w:val="18"/>
              </w:rPr>
              <w:t>19,152,257.56</w:t>
            </w:r>
          </w:p>
        </w:tc>
      </w:tr>
    </w:tbl>
    <w:p w14:paraId="50BC2242">
      <w:pPr>
        <w:keepNext/>
        <w:keepLines/>
        <w:spacing w:before="300" w:after="100" w:line="280" w:lineRule="exact"/>
        <w:outlineLvl w:val="3"/>
        <w:rPr>
          <w:rFonts w:ascii="宋体" w:hAnsi="宋体" w:eastAsia="宋体" w:cs="宋体"/>
          <w:b/>
          <w:bCs/>
          <w:sz w:val="18"/>
          <w:szCs w:val="18"/>
        </w:rPr>
      </w:pPr>
      <w:bookmarkStart w:id="303" w:name="_Toc989192"/>
      <w:r>
        <w:rPr>
          <w:rFonts w:ascii="宋体" w:hAnsi="宋体" w:eastAsia="宋体" w:cs="宋体"/>
          <w:b/>
          <w:bCs/>
          <w:sz w:val="18"/>
          <w:szCs w:val="18"/>
        </w:rPr>
        <w:t>（2） 账龄超过1年或逾期的重要应付账款</w:t>
      </w:r>
      <w:bookmarkEnd w:id="303"/>
    </w:p>
    <w:p w14:paraId="5C7B1F9B">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36235A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787125">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999199">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738FD9">
            <w:pPr>
              <w:spacing w:before="40" w:after="10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r w14:paraId="3EFD6BF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9B0F585">
            <w:pPr>
              <w:spacing w:after="100" w:line="240" w:lineRule="exact"/>
              <w:rPr>
                <w:rFonts w:ascii="宋体" w:hAnsi="宋体" w:eastAsia="宋体" w:cs="宋体"/>
                <w:sz w:val="18"/>
                <w:szCs w:val="18"/>
              </w:rPr>
            </w:pPr>
            <w:r>
              <w:rPr>
                <w:rFonts w:ascii="宋体" w:hAnsi="宋体" w:eastAsia="宋体" w:cs="宋体"/>
                <w:sz w:val="18"/>
                <w:szCs w:val="18"/>
              </w:rPr>
              <w:t>沧州欧联玻璃容器有限公司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14C7F5D1">
            <w:pPr>
              <w:spacing w:after="100" w:line="240" w:lineRule="exact"/>
              <w:jc w:val="right"/>
              <w:rPr>
                <w:rFonts w:ascii="宋体" w:hAnsi="宋体" w:eastAsia="宋体" w:cs="宋体"/>
                <w:sz w:val="18"/>
                <w:szCs w:val="18"/>
              </w:rPr>
            </w:pPr>
            <w:r>
              <w:rPr>
                <w:rFonts w:ascii="宋体" w:hAnsi="宋体" w:eastAsia="宋体" w:cs="宋体"/>
                <w:sz w:val="18"/>
                <w:szCs w:val="18"/>
              </w:rPr>
              <w:t>2,005,594.39</w:t>
            </w:r>
          </w:p>
        </w:tc>
        <w:tc>
          <w:tcPr>
            <w:tcW w:w="3213" w:type="dxa"/>
            <w:tcBorders>
              <w:top w:val="single" w:color="auto" w:sz="2" w:space="0"/>
              <w:left w:val="single" w:color="auto" w:sz="2" w:space="0"/>
              <w:bottom w:val="single" w:color="auto" w:sz="2" w:space="0"/>
              <w:right w:val="single" w:color="auto" w:sz="2" w:space="0"/>
            </w:tcBorders>
            <w:vAlign w:val="center"/>
          </w:tcPr>
          <w:p w14:paraId="562E0833">
            <w:pPr>
              <w:spacing w:after="100" w:line="240" w:lineRule="exact"/>
              <w:rPr>
                <w:rFonts w:ascii="宋体" w:hAnsi="宋体" w:eastAsia="宋体" w:cs="宋体"/>
                <w:sz w:val="18"/>
                <w:szCs w:val="18"/>
              </w:rPr>
            </w:pPr>
            <w:r>
              <w:rPr>
                <w:rFonts w:ascii="宋体" w:hAnsi="宋体" w:eastAsia="宋体" w:cs="宋体"/>
                <w:sz w:val="18"/>
                <w:szCs w:val="18"/>
              </w:rPr>
              <w:t> 产品质量问题未结算</w:t>
            </w:r>
          </w:p>
        </w:tc>
      </w:tr>
      <w:tr w14:paraId="3D43CC1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248C20">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420587A">
            <w:pPr>
              <w:spacing w:after="100" w:line="240" w:lineRule="exact"/>
              <w:jc w:val="right"/>
              <w:rPr>
                <w:rFonts w:ascii="宋体" w:hAnsi="宋体" w:eastAsia="宋体" w:cs="宋体"/>
                <w:sz w:val="18"/>
                <w:szCs w:val="18"/>
              </w:rPr>
            </w:pPr>
            <w:r>
              <w:rPr>
                <w:rFonts w:ascii="宋体" w:hAnsi="宋体" w:eastAsia="宋体" w:cs="宋体"/>
                <w:sz w:val="18"/>
                <w:szCs w:val="18"/>
              </w:rPr>
              <w:t>2,005,594.39</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EF2AA5">
            <w:pPr>
              <w:spacing w:after="100"/>
            </w:pPr>
          </w:p>
        </w:tc>
      </w:tr>
    </w:tbl>
    <w:p w14:paraId="6CFA5C02">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5BA8B302">
      <w:pPr>
        <w:spacing w:after="100"/>
      </w:pPr>
    </w:p>
    <w:p w14:paraId="71E83E59">
      <w:pPr>
        <w:pStyle w:val="3"/>
        <w:spacing w:after="100" w:line="280" w:lineRule="exact"/>
        <w:jc w:val="left"/>
        <w:rPr>
          <w:rFonts w:ascii="宋体" w:hAnsi="宋体" w:cs="宋体"/>
          <w:b/>
          <w:bCs/>
        </w:rPr>
      </w:pPr>
      <w:bookmarkStart w:id="304" w:name="_Toc989193"/>
      <w:r>
        <w:rPr>
          <w:rFonts w:ascii="宋体" w:hAnsi="宋体" w:cs="宋体"/>
          <w:b/>
          <w:bCs/>
        </w:rPr>
        <w:t>37、其他应付款</w:t>
      </w:r>
      <w:bookmarkEnd w:id="304"/>
    </w:p>
    <w:p w14:paraId="75ACC860">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AAC411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900862">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9E54AB">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22FF63">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F26DC1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49A921">
            <w:pPr>
              <w:spacing w:before="40" w:after="100" w:line="240" w:lineRule="exact"/>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3DEA4369">
            <w:pPr>
              <w:spacing w:after="100" w:line="240" w:lineRule="exact"/>
              <w:jc w:val="right"/>
              <w:rPr>
                <w:rFonts w:ascii="宋体" w:hAnsi="宋体" w:eastAsia="宋体" w:cs="宋体"/>
                <w:sz w:val="18"/>
                <w:szCs w:val="18"/>
              </w:rPr>
            </w:pPr>
            <w:r>
              <w:rPr>
                <w:rFonts w:ascii="宋体" w:hAnsi="宋体" w:eastAsia="宋体" w:cs="宋体"/>
                <w:sz w:val="18"/>
                <w:szCs w:val="18"/>
              </w:rPr>
              <w:t>856.39</w:t>
            </w:r>
          </w:p>
        </w:tc>
        <w:tc>
          <w:tcPr>
            <w:tcW w:w="3213" w:type="dxa"/>
            <w:tcBorders>
              <w:top w:val="single" w:color="auto" w:sz="2" w:space="0"/>
              <w:left w:val="single" w:color="auto" w:sz="2" w:space="0"/>
              <w:bottom w:val="single" w:color="auto" w:sz="2" w:space="0"/>
              <w:right w:val="single" w:color="auto" w:sz="2" w:space="0"/>
            </w:tcBorders>
            <w:vAlign w:val="center"/>
          </w:tcPr>
          <w:p w14:paraId="5F28E6B0">
            <w:pPr>
              <w:spacing w:after="100" w:line="240" w:lineRule="exact"/>
              <w:jc w:val="right"/>
              <w:rPr>
                <w:rFonts w:ascii="宋体" w:hAnsi="宋体" w:eastAsia="宋体" w:cs="宋体"/>
                <w:sz w:val="18"/>
                <w:szCs w:val="18"/>
              </w:rPr>
            </w:pPr>
            <w:r>
              <w:rPr>
                <w:rFonts w:ascii="宋体" w:hAnsi="宋体" w:eastAsia="宋体" w:cs="宋体"/>
                <w:sz w:val="18"/>
                <w:szCs w:val="18"/>
              </w:rPr>
              <w:t>856.39</w:t>
            </w:r>
          </w:p>
        </w:tc>
      </w:tr>
      <w:tr w14:paraId="5202762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D5EBEB">
            <w:pPr>
              <w:spacing w:before="40" w:after="100" w:line="240" w:lineRule="exact"/>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39C86B7E">
            <w:pPr>
              <w:spacing w:after="100" w:line="240" w:lineRule="exact"/>
              <w:jc w:val="right"/>
              <w:rPr>
                <w:rFonts w:ascii="宋体" w:hAnsi="宋体" w:eastAsia="宋体" w:cs="宋体"/>
                <w:sz w:val="18"/>
                <w:szCs w:val="18"/>
              </w:rPr>
            </w:pPr>
            <w:r>
              <w:rPr>
                <w:rFonts w:ascii="宋体" w:hAnsi="宋体" w:eastAsia="宋体" w:cs="宋体"/>
                <w:sz w:val="18"/>
                <w:szCs w:val="18"/>
              </w:rPr>
              <w:t>307,347,980.27</w:t>
            </w:r>
          </w:p>
        </w:tc>
        <w:tc>
          <w:tcPr>
            <w:tcW w:w="3213" w:type="dxa"/>
            <w:tcBorders>
              <w:top w:val="single" w:color="auto" w:sz="2" w:space="0"/>
              <w:left w:val="single" w:color="auto" w:sz="2" w:space="0"/>
              <w:bottom w:val="single" w:color="auto" w:sz="2" w:space="0"/>
              <w:right w:val="single" w:color="auto" w:sz="2" w:space="0"/>
            </w:tcBorders>
            <w:vAlign w:val="center"/>
          </w:tcPr>
          <w:p w14:paraId="58D0816F">
            <w:pPr>
              <w:spacing w:after="100" w:line="240" w:lineRule="exact"/>
              <w:jc w:val="right"/>
              <w:rPr>
                <w:rFonts w:ascii="宋体" w:hAnsi="宋体" w:eastAsia="宋体" w:cs="宋体"/>
                <w:sz w:val="18"/>
                <w:szCs w:val="18"/>
              </w:rPr>
            </w:pPr>
            <w:r>
              <w:rPr>
                <w:rFonts w:ascii="宋体" w:hAnsi="宋体" w:eastAsia="宋体" w:cs="宋体"/>
                <w:sz w:val="18"/>
                <w:szCs w:val="18"/>
              </w:rPr>
              <w:t>311,893,767.38</w:t>
            </w:r>
          </w:p>
        </w:tc>
      </w:tr>
      <w:tr w14:paraId="358493C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7BDFE1">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248A48B">
            <w:pPr>
              <w:spacing w:after="100" w:line="240" w:lineRule="exact"/>
              <w:jc w:val="right"/>
              <w:rPr>
                <w:rFonts w:ascii="宋体" w:hAnsi="宋体" w:eastAsia="宋体" w:cs="宋体"/>
                <w:sz w:val="18"/>
                <w:szCs w:val="18"/>
              </w:rPr>
            </w:pPr>
            <w:r>
              <w:rPr>
                <w:rFonts w:ascii="宋体" w:hAnsi="宋体" w:eastAsia="宋体" w:cs="宋体"/>
                <w:sz w:val="18"/>
                <w:szCs w:val="18"/>
              </w:rPr>
              <w:t>307,348,836.66</w:t>
            </w:r>
          </w:p>
        </w:tc>
        <w:tc>
          <w:tcPr>
            <w:tcW w:w="3213" w:type="dxa"/>
            <w:tcBorders>
              <w:top w:val="single" w:color="auto" w:sz="2" w:space="0"/>
              <w:left w:val="single" w:color="auto" w:sz="2" w:space="0"/>
              <w:bottom w:val="single" w:color="auto" w:sz="2" w:space="0"/>
              <w:right w:val="single" w:color="auto" w:sz="2" w:space="0"/>
            </w:tcBorders>
            <w:vAlign w:val="center"/>
          </w:tcPr>
          <w:p w14:paraId="37DD07E4">
            <w:pPr>
              <w:spacing w:after="100" w:line="240" w:lineRule="exact"/>
              <w:jc w:val="right"/>
              <w:rPr>
                <w:rFonts w:ascii="宋体" w:hAnsi="宋体" w:eastAsia="宋体" w:cs="宋体"/>
                <w:sz w:val="18"/>
                <w:szCs w:val="18"/>
              </w:rPr>
            </w:pPr>
            <w:r>
              <w:rPr>
                <w:rFonts w:ascii="宋体" w:hAnsi="宋体" w:eastAsia="宋体" w:cs="宋体"/>
                <w:sz w:val="18"/>
                <w:szCs w:val="18"/>
              </w:rPr>
              <w:t>311,894,623.77</w:t>
            </w:r>
          </w:p>
        </w:tc>
      </w:tr>
    </w:tbl>
    <w:p w14:paraId="3A2694AF">
      <w:pPr>
        <w:keepNext/>
        <w:keepLines/>
        <w:spacing w:before="300" w:after="100" w:line="280" w:lineRule="exact"/>
        <w:outlineLvl w:val="3"/>
        <w:rPr>
          <w:rFonts w:ascii="宋体" w:hAnsi="宋体" w:eastAsia="宋体" w:cs="宋体"/>
          <w:b/>
          <w:bCs/>
          <w:szCs w:val="21"/>
        </w:rPr>
      </w:pPr>
      <w:bookmarkStart w:id="305" w:name="_Toc989194"/>
      <w:r>
        <w:rPr>
          <w:rFonts w:ascii="宋体" w:hAnsi="宋体" w:eastAsia="宋体" w:cs="宋体"/>
          <w:b/>
          <w:bCs/>
          <w:szCs w:val="21"/>
        </w:rPr>
        <w:t>（1） 应付利息</w:t>
      </w:r>
      <w:bookmarkEnd w:id="305"/>
    </w:p>
    <w:p w14:paraId="7522D16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2FB588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C8D98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4DD9F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B0F03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1F7EF208">
      <w:pPr>
        <w:spacing w:before="100" w:after="100" w:line="240" w:lineRule="exact"/>
        <w:rPr>
          <w:rFonts w:ascii="宋体" w:hAnsi="宋体" w:eastAsia="宋体" w:cs="宋体"/>
          <w:sz w:val="18"/>
          <w:szCs w:val="18"/>
        </w:rPr>
      </w:pPr>
      <w:r>
        <w:rPr>
          <w:rFonts w:ascii="宋体" w:hAnsi="宋体" w:eastAsia="宋体" w:cs="宋体"/>
          <w:sz w:val="18"/>
          <w:szCs w:val="18"/>
        </w:rPr>
        <w:t>重要的已逾期未支付的利息情况：</w:t>
      </w:r>
    </w:p>
    <w:p w14:paraId="6417D3FA">
      <w:pPr>
        <w:spacing w:before="12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80549E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2C0B12">
            <w:pPr>
              <w:spacing w:before="40" w:after="10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B15E93">
            <w:pPr>
              <w:spacing w:before="40" w:after="100" w:line="240" w:lineRule="exact"/>
              <w:jc w:val="center"/>
              <w:rPr>
                <w:rFonts w:ascii="宋体" w:hAnsi="宋体" w:eastAsia="宋体" w:cs="宋体"/>
                <w:sz w:val="18"/>
                <w:szCs w:val="18"/>
              </w:rPr>
            </w:pPr>
            <w:r>
              <w:rPr>
                <w:rFonts w:ascii="宋体" w:hAnsi="宋体" w:eastAsia="宋体" w:cs="宋体"/>
                <w:sz w:val="18"/>
                <w:szCs w:val="18"/>
              </w:rPr>
              <w:t>逾期金额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85E73F">
            <w:pPr>
              <w:spacing w:before="40" w:after="100" w:line="240" w:lineRule="exact"/>
              <w:jc w:val="center"/>
              <w:rPr>
                <w:rFonts w:ascii="宋体" w:hAnsi="宋体" w:eastAsia="宋体" w:cs="宋体"/>
                <w:sz w:val="18"/>
                <w:szCs w:val="18"/>
              </w:rPr>
            </w:pPr>
            <w:r>
              <w:rPr>
                <w:rFonts w:ascii="宋体" w:hAnsi="宋体" w:eastAsia="宋体" w:cs="宋体"/>
                <w:sz w:val="18"/>
                <w:szCs w:val="18"/>
              </w:rPr>
              <w:t>逾期原因</w:t>
            </w:r>
          </w:p>
        </w:tc>
      </w:tr>
    </w:tbl>
    <w:p w14:paraId="50A7EF25">
      <w:pPr>
        <w:spacing w:before="100" w:after="100" w:line="240" w:lineRule="exact"/>
      </w:pPr>
      <w:r>
        <w:rPr>
          <w:rFonts w:ascii="宋体" w:hAnsi="宋体" w:eastAsia="宋体" w:cs="宋体"/>
          <w:sz w:val="18"/>
          <w:szCs w:val="18"/>
        </w:rPr>
        <w:t>其他说明：</w:t>
      </w:r>
    </w:p>
    <w:p w14:paraId="50883BD3">
      <w:pPr>
        <w:keepNext/>
        <w:keepLines/>
        <w:spacing w:before="300" w:after="100" w:line="280" w:lineRule="exact"/>
        <w:outlineLvl w:val="3"/>
        <w:rPr>
          <w:rFonts w:ascii="宋体" w:hAnsi="宋体" w:eastAsia="宋体" w:cs="宋体"/>
          <w:b/>
          <w:bCs/>
          <w:szCs w:val="21"/>
        </w:rPr>
      </w:pPr>
      <w:bookmarkStart w:id="306" w:name="_Toc989195"/>
      <w:r>
        <w:rPr>
          <w:rFonts w:ascii="宋体" w:hAnsi="宋体" w:eastAsia="宋体" w:cs="宋体"/>
          <w:b/>
          <w:bCs/>
          <w:szCs w:val="21"/>
        </w:rPr>
        <w:t>（2） 应付股利</w:t>
      </w:r>
      <w:bookmarkEnd w:id="306"/>
    </w:p>
    <w:p w14:paraId="156BE399">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DA43F6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07252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29D27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7CE68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C28FD2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203585">
            <w:pPr>
              <w:spacing w:before="40" w:after="40" w:line="240" w:lineRule="exact"/>
              <w:rPr>
                <w:rFonts w:ascii="宋体" w:hAnsi="宋体" w:eastAsia="宋体" w:cs="宋体"/>
                <w:sz w:val="18"/>
                <w:szCs w:val="18"/>
              </w:rPr>
            </w:pPr>
            <w:r>
              <w:rPr>
                <w:rFonts w:ascii="宋体" w:hAnsi="宋体" w:eastAsia="宋体" w:cs="宋体"/>
                <w:sz w:val="18"/>
                <w:szCs w:val="18"/>
              </w:rPr>
              <w:t>普通股股利</w:t>
            </w:r>
          </w:p>
        </w:tc>
        <w:tc>
          <w:tcPr>
            <w:tcW w:w="3213" w:type="dxa"/>
            <w:tcBorders>
              <w:top w:val="single" w:color="auto" w:sz="2" w:space="0"/>
              <w:left w:val="single" w:color="auto" w:sz="2" w:space="0"/>
              <w:bottom w:val="single" w:color="auto" w:sz="2" w:space="0"/>
              <w:right w:val="single" w:color="auto" w:sz="2" w:space="0"/>
            </w:tcBorders>
            <w:vAlign w:val="center"/>
          </w:tcPr>
          <w:p w14:paraId="1BB1FB85">
            <w:pPr>
              <w:spacing w:line="240" w:lineRule="exact"/>
              <w:jc w:val="right"/>
              <w:rPr>
                <w:rFonts w:ascii="宋体" w:hAnsi="宋体" w:eastAsia="宋体" w:cs="宋体"/>
                <w:sz w:val="18"/>
                <w:szCs w:val="18"/>
              </w:rPr>
            </w:pPr>
            <w:r>
              <w:rPr>
                <w:rFonts w:ascii="宋体" w:hAnsi="宋体" w:eastAsia="宋体" w:cs="宋体"/>
                <w:sz w:val="18"/>
                <w:szCs w:val="18"/>
              </w:rPr>
              <w:t>856.39</w:t>
            </w:r>
          </w:p>
        </w:tc>
        <w:tc>
          <w:tcPr>
            <w:tcW w:w="3213" w:type="dxa"/>
            <w:tcBorders>
              <w:top w:val="single" w:color="auto" w:sz="2" w:space="0"/>
              <w:left w:val="single" w:color="auto" w:sz="2" w:space="0"/>
              <w:bottom w:val="single" w:color="auto" w:sz="2" w:space="0"/>
              <w:right w:val="single" w:color="auto" w:sz="2" w:space="0"/>
            </w:tcBorders>
            <w:vAlign w:val="center"/>
          </w:tcPr>
          <w:p w14:paraId="160AECBE">
            <w:pPr>
              <w:spacing w:line="240" w:lineRule="exact"/>
              <w:jc w:val="right"/>
              <w:rPr>
                <w:rFonts w:ascii="宋体" w:hAnsi="宋体" w:eastAsia="宋体" w:cs="宋体"/>
                <w:sz w:val="18"/>
                <w:szCs w:val="18"/>
              </w:rPr>
            </w:pPr>
            <w:r>
              <w:rPr>
                <w:rFonts w:ascii="宋体" w:hAnsi="宋体" w:eastAsia="宋体" w:cs="宋体"/>
                <w:sz w:val="18"/>
                <w:szCs w:val="18"/>
              </w:rPr>
              <w:t>856.39</w:t>
            </w:r>
          </w:p>
        </w:tc>
      </w:tr>
      <w:tr w14:paraId="28ADD10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85A47B">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103C333">
            <w:pPr>
              <w:spacing w:line="240" w:lineRule="exact"/>
              <w:jc w:val="right"/>
              <w:rPr>
                <w:rFonts w:ascii="宋体" w:hAnsi="宋体" w:eastAsia="宋体" w:cs="宋体"/>
                <w:sz w:val="18"/>
                <w:szCs w:val="18"/>
              </w:rPr>
            </w:pPr>
            <w:r>
              <w:rPr>
                <w:rFonts w:ascii="宋体" w:hAnsi="宋体" w:eastAsia="宋体" w:cs="宋体"/>
                <w:sz w:val="18"/>
                <w:szCs w:val="18"/>
              </w:rPr>
              <w:t>856.39</w:t>
            </w:r>
          </w:p>
        </w:tc>
        <w:tc>
          <w:tcPr>
            <w:tcW w:w="3213" w:type="dxa"/>
            <w:tcBorders>
              <w:top w:val="single" w:color="auto" w:sz="2" w:space="0"/>
              <w:left w:val="single" w:color="auto" w:sz="2" w:space="0"/>
              <w:bottom w:val="single" w:color="auto" w:sz="2" w:space="0"/>
              <w:right w:val="single" w:color="auto" w:sz="2" w:space="0"/>
            </w:tcBorders>
            <w:vAlign w:val="center"/>
          </w:tcPr>
          <w:p w14:paraId="28643E11">
            <w:pPr>
              <w:spacing w:line="240" w:lineRule="exact"/>
              <w:jc w:val="right"/>
              <w:rPr>
                <w:rFonts w:ascii="宋体" w:hAnsi="宋体" w:eastAsia="宋体" w:cs="宋体"/>
                <w:sz w:val="18"/>
                <w:szCs w:val="18"/>
              </w:rPr>
            </w:pPr>
            <w:r>
              <w:rPr>
                <w:rFonts w:ascii="宋体" w:hAnsi="宋体" w:eastAsia="宋体" w:cs="宋体"/>
                <w:sz w:val="18"/>
                <w:szCs w:val="18"/>
              </w:rPr>
              <w:t>856.39</w:t>
            </w:r>
          </w:p>
        </w:tc>
      </w:tr>
    </w:tbl>
    <w:p w14:paraId="32433986">
      <w:pPr>
        <w:spacing w:before="100" w:after="100" w:line="240" w:lineRule="exact"/>
      </w:pPr>
      <w:r>
        <w:rPr>
          <w:rFonts w:ascii="宋体" w:hAnsi="宋体" w:eastAsia="宋体" w:cs="宋体"/>
          <w:sz w:val="18"/>
          <w:szCs w:val="18"/>
        </w:rPr>
        <w:t>其他说明，包括重要的超过1年未支付的应付股利，应披露未支付原因：</w:t>
      </w:r>
    </w:p>
    <w:p w14:paraId="15F12EAF">
      <w:pPr>
        <w:keepNext/>
        <w:keepLines/>
        <w:spacing w:before="300" w:after="100" w:line="280" w:lineRule="exact"/>
        <w:outlineLvl w:val="3"/>
        <w:rPr>
          <w:rFonts w:ascii="宋体" w:hAnsi="宋体" w:eastAsia="宋体" w:cs="宋体"/>
          <w:b/>
          <w:bCs/>
          <w:szCs w:val="21"/>
        </w:rPr>
      </w:pPr>
      <w:bookmarkStart w:id="307" w:name="_Toc989196"/>
      <w:r>
        <w:rPr>
          <w:rFonts w:ascii="宋体" w:hAnsi="宋体" w:eastAsia="宋体" w:cs="宋体"/>
          <w:b/>
          <w:bCs/>
          <w:szCs w:val="21"/>
        </w:rPr>
        <w:t>（3） 其他应付款</w:t>
      </w:r>
      <w:bookmarkEnd w:id="307"/>
    </w:p>
    <w:p w14:paraId="6098BD20">
      <w:pPr>
        <w:keepNext/>
        <w:keepLines/>
        <w:spacing w:before="300" w:after="100" w:line="280" w:lineRule="exact"/>
        <w:outlineLvl w:val="4"/>
        <w:rPr>
          <w:rFonts w:ascii="宋体" w:hAnsi="宋体" w:eastAsia="宋体" w:cs="宋体"/>
          <w:b/>
          <w:bCs/>
          <w:sz w:val="18"/>
          <w:szCs w:val="18"/>
        </w:rPr>
      </w:pPr>
      <w:bookmarkStart w:id="308" w:name="_Toc989197"/>
      <w:r>
        <w:rPr>
          <w:rFonts w:ascii="宋体" w:hAnsi="宋体" w:eastAsia="宋体" w:cs="宋体"/>
          <w:b/>
          <w:bCs/>
          <w:sz w:val="18"/>
          <w:szCs w:val="18"/>
        </w:rPr>
        <w:t>1） 按款项性质列示其他应付款</w:t>
      </w:r>
      <w:bookmarkEnd w:id="308"/>
    </w:p>
    <w:p w14:paraId="5E9C4E6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D41678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781D0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FE996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506BB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BBC5628">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12E9A24">
            <w:pPr>
              <w:spacing w:line="240" w:lineRule="exact"/>
              <w:rPr>
                <w:rFonts w:ascii="宋体" w:hAnsi="宋体" w:eastAsia="宋体" w:cs="宋体"/>
                <w:sz w:val="18"/>
                <w:szCs w:val="18"/>
              </w:rPr>
            </w:pPr>
            <w:r>
              <w:rPr>
                <w:rFonts w:ascii="宋体" w:hAnsi="宋体" w:eastAsia="宋体" w:cs="宋体"/>
                <w:sz w:val="18"/>
                <w:szCs w:val="18"/>
              </w:rPr>
              <w:t> 与借款及票据有关的款项</w:t>
            </w:r>
          </w:p>
        </w:tc>
        <w:tc>
          <w:tcPr>
            <w:tcW w:w="3213" w:type="dxa"/>
            <w:tcBorders>
              <w:top w:val="single" w:color="auto" w:sz="2" w:space="0"/>
              <w:left w:val="single" w:color="auto" w:sz="2" w:space="0"/>
              <w:bottom w:val="single" w:color="auto" w:sz="2" w:space="0"/>
              <w:right w:val="single" w:color="auto" w:sz="2" w:space="0"/>
            </w:tcBorders>
            <w:vAlign w:val="center"/>
          </w:tcPr>
          <w:p w14:paraId="73DC0BC0">
            <w:pPr>
              <w:spacing w:line="240" w:lineRule="exact"/>
              <w:jc w:val="right"/>
              <w:rPr>
                <w:rFonts w:ascii="宋体" w:hAnsi="宋体" w:eastAsia="宋体" w:cs="宋体"/>
                <w:sz w:val="18"/>
                <w:szCs w:val="18"/>
              </w:rPr>
            </w:pPr>
            <w:r>
              <w:rPr>
                <w:rFonts w:hint="eastAsia"/>
                <w:color w:val="333333"/>
                <w:sz w:val="18"/>
                <w:szCs w:val="18"/>
                <w:shd w:val="clear" w:color="auto" w:fill="FFFFFF"/>
              </w:rPr>
              <w:t>299,432,859.31</w:t>
            </w:r>
          </w:p>
        </w:tc>
        <w:tc>
          <w:tcPr>
            <w:tcW w:w="3213" w:type="dxa"/>
            <w:tcBorders>
              <w:top w:val="single" w:color="auto" w:sz="2" w:space="0"/>
              <w:left w:val="single" w:color="auto" w:sz="2" w:space="0"/>
              <w:bottom w:val="single" w:color="auto" w:sz="2" w:space="0"/>
              <w:right w:val="single" w:color="auto" w:sz="2" w:space="0"/>
            </w:tcBorders>
            <w:vAlign w:val="center"/>
          </w:tcPr>
          <w:p w14:paraId="5BBBB930">
            <w:pPr>
              <w:spacing w:line="240" w:lineRule="exact"/>
              <w:jc w:val="right"/>
              <w:rPr>
                <w:rFonts w:ascii="宋体" w:hAnsi="宋体" w:eastAsia="宋体" w:cs="宋体"/>
                <w:sz w:val="18"/>
                <w:szCs w:val="18"/>
              </w:rPr>
            </w:pPr>
            <w:r>
              <w:rPr>
                <w:rFonts w:ascii="宋体" w:hAnsi="宋体" w:eastAsia="宋体" w:cs="宋体"/>
                <w:sz w:val="18"/>
                <w:szCs w:val="18"/>
              </w:rPr>
              <w:t>305,994,548.57</w:t>
            </w:r>
          </w:p>
        </w:tc>
      </w:tr>
      <w:tr w14:paraId="16B7016A">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3420FB4">
            <w:pPr>
              <w:spacing w:line="240" w:lineRule="exact"/>
              <w:rPr>
                <w:rFonts w:ascii="宋体" w:hAnsi="宋体" w:eastAsia="宋体" w:cs="宋体"/>
                <w:sz w:val="18"/>
                <w:szCs w:val="18"/>
              </w:rPr>
            </w:pPr>
            <w:r>
              <w:rPr>
                <w:rFonts w:ascii="宋体" w:hAnsi="宋体" w:eastAsia="宋体" w:cs="宋体"/>
                <w:sz w:val="18"/>
                <w:szCs w:val="18"/>
              </w:rPr>
              <w:t> 往来款</w:t>
            </w:r>
          </w:p>
        </w:tc>
        <w:tc>
          <w:tcPr>
            <w:tcW w:w="3213" w:type="dxa"/>
            <w:tcBorders>
              <w:top w:val="single" w:color="auto" w:sz="2" w:space="0"/>
              <w:left w:val="single" w:color="auto" w:sz="2" w:space="0"/>
              <w:bottom w:val="single" w:color="auto" w:sz="2" w:space="0"/>
              <w:right w:val="single" w:color="auto" w:sz="2" w:space="0"/>
            </w:tcBorders>
            <w:vAlign w:val="center"/>
          </w:tcPr>
          <w:p w14:paraId="686137B1">
            <w:pPr>
              <w:spacing w:line="240" w:lineRule="exact"/>
              <w:jc w:val="right"/>
              <w:rPr>
                <w:rFonts w:ascii="宋体" w:hAnsi="宋体" w:eastAsia="宋体" w:cs="宋体"/>
                <w:sz w:val="18"/>
                <w:szCs w:val="18"/>
              </w:rPr>
            </w:pPr>
            <w:r>
              <w:rPr>
                <w:rFonts w:ascii="宋体" w:hAnsi="宋体" w:eastAsia="宋体" w:cs="宋体"/>
                <w:sz w:val="18"/>
                <w:szCs w:val="18"/>
              </w:rPr>
              <w:t>6,402,782.31</w:t>
            </w:r>
          </w:p>
        </w:tc>
        <w:tc>
          <w:tcPr>
            <w:tcW w:w="3213" w:type="dxa"/>
            <w:tcBorders>
              <w:top w:val="single" w:color="auto" w:sz="2" w:space="0"/>
              <w:left w:val="single" w:color="auto" w:sz="2" w:space="0"/>
              <w:bottom w:val="single" w:color="auto" w:sz="2" w:space="0"/>
              <w:right w:val="single" w:color="auto" w:sz="2" w:space="0"/>
            </w:tcBorders>
            <w:vAlign w:val="center"/>
          </w:tcPr>
          <w:p w14:paraId="74A27031">
            <w:pPr>
              <w:spacing w:line="240" w:lineRule="exact"/>
              <w:jc w:val="right"/>
              <w:rPr>
                <w:rFonts w:ascii="宋体" w:hAnsi="宋体" w:eastAsia="宋体" w:cs="宋体"/>
                <w:sz w:val="18"/>
                <w:szCs w:val="18"/>
              </w:rPr>
            </w:pPr>
            <w:r>
              <w:rPr>
                <w:rFonts w:ascii="宋体" w:hAnsi="宋体" w:eastAsia="宋体" w:cs="宋体"/>
                <w:sz w:val="18"/>
                <w:szCs w:val="18"/>
              </w:rPr>
              <w:t>4,551,631.64</w:t>
            </w:r>
          </w:p>
        </w:tc>
      </w:tr>
      <w:tr w14:paraId="249C863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5BDEB7F">
            <w:pPr>
              <w:spacing w:line="240" w:lineRule="exact"/>
              <w:rPr>
                <w:rFonts w:ascii="宋体" w:hAnsi="宋体" w:eastAsia="宋体" w:cs="宋体"/>
                <w:sz w:val="18"/>
                <w:szCs w:val="18"/>
              </w:rPr>
            </w:pPr>
            <w:r>
              <w:rPr>
                <w:rFonts w:ascii="宋体" w:hAnsi="宋体" w:eastAsia="宋体" w:cs="宋体"/>
                <w:sz w:val="18"/>
                <w:szCs w:val="18"/>
              </w:rPr>
              <w:t> 押金及保证金</w:t>
            </w:r>
          </w:p>
        </w:tc>
        <w:tc>
          <w:tcPr>
            <w:tcW w:w="3213" w:type="dxa"/>
            <w:tcBorders>
              <w:top w:val="single" w:color="auto" w:sz="2" w:space="0"/>
              <w:left w:val="single" w:color="auto" w:sz="2" w:space="0"/>
              <w:bottom w:val="single" w:color="auto" w:sz="2" w:space="0"/>
              <w:right w:val="single" w:color="auto" w:sz="2" w:space="0"/>
            </w:tcBorders>
            <w:vAlign w:val="center"/>
          </w:tcPr>
          <w:p w14:paraId="62000C26">
            <w:pPr>
              <w:spacing w:line="240" w:lineRule="exact"/>
              <w:jc w:val="right"/>
              <w:rPr>
                <w:rFonts w:ascii="宋体" w:hAnsi="宋体" w:eastAsia="宋体" w:cs="宋体"/>
                <w:sz w:val="18"/>
                <w:szCs w:val="18"/>
              </w:rPr>
            </w:pPr>
            <w:r>
              <w:rPr>
                <w:rFonts w:ascii="宋体" w:hAnsi="宋体" w:eastAsia="宋体" w:cs="宋体"/>
                <w:sz w:val="18"/>
                <w:szCs w:val="18"/>
              </w:rPr>
              <w:t>471,580.00</w:t>
            </w:r>
          </w:p>
        </w:tc>
        <w:tc>
          <w:tcPr>
            <w:tcW w:w="3213" w:type="dxa"/>
            <w:tcBorders>
              <w:top w:val="single" w:color="auto" w:sz="2" w:space="0"/>
              <w:left w:val="single" w:color="auto" w:sz="2" w:space="0"/>
              <w:bottom w:val="single" w:color="auto" w:sz="2" w:space="0"/>
              <w:right w:val="single" w:color="auto" w:sz="2" w:space="0"/>
            </w:tcBorders>
            <w:vAlign w:val="center"/>
          </w:tcPr>
          <w:p w14:paraId="36DF03AB">
            <w:pPr>
              <w:spacing w:line="240" w:lineRule="exact"/>
              <w:jc w:val="right"/>
              <w:rPr>
                <w:rFonts w:ascii="宋体" w:hAnsi="宋体" w:eastAsia="宋体" w:cs="宋体"/>
                <w:sz w:val="18"/>
                <w:szCs w:val="18"/>
              </w:rPr>
            </w:pPr>
            <w:r>
              <w:rPr>
                <w:rFonts w:ascii="宋体" w:hAnsi="宋体" w:eastAsia="宋体" w:cs="宋体"/>
                <w:sz w:val="18"/>
                <w:szCs w:val="18"/>
              </w:rPr>
              <w:t>63,080.00</w:t>
            </w:r>
          </w:p>
        </w:tc>
      </w:tr>
      <w:tr w14:paraId="786153C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3D6F189">
            <w:pPr>
              <w:spacing w:line="240" w:lineRule="exact"/>
              <w:rPr>
                <w:rFonts w:ascii="宋体" w:hAnsi="宋体" w:eastAsia="宋体" w:cs="宋体"/>
                <w:sz w:val="18"/>
                <w:szCs w:val="18"/>
              </w:rPr>
            </w:pPr>
            <w:r>
              <w:rPr>
                <w:rFonts w:ascii="宋体" w:hAnsi="宋体" w:eastAsia="宋体" w:cs="宋体"/>
                <w:sz w:val="18"/>
                <w:szCs w:val="18"/>
              </w:rPr>
              <w:t> 其他</w:t>
            </w:r>
          </w:p>
        </w:tc>
        <w:tc>
          <w:tcPr>
            <w:tcW w:w="3213" w:type="dxa"/>
            <w:tcBorders>
              <w:top w:val="single" w:color="auto" w:sz="2" w:space="0"/>
              <w:left w:val="single" w:color="auto" w:sz="2" w:space="0"/>
              <w:bottom w:val="single" w:color="auto" w:sz="2" w:space="0"/>
              <w:right w:val="single" w:color="auto" w:sz="2" w:space="0"/>
            </w:tcBorders>
            <w:vAlign w:val="center"/>
          </w:tcPr>
          <w:p w14:paraId="07FCD5A9">
            <w:pPr>
              <w:spacing w:line="240" w:lineRule="exact"/>
              <w:jc w:val="right"/>
              <w:rPr>
                <w:rFonts w:ascii="宋体" w:hAnsi="宋体" w:eastAsia="宋体" w:cs="宋体"/>
                <w:sz w:val="18"/>
                <w:szCs w:val="18"/>
              </w:rPr>
            </w:pPr>
            <w:r>
              <w:rPr>
                <w:rFonts w:hint="eastAsia"/>
                <w:color w:val="333333"/>
                <w:sz w:val="18"/>
                <w:szCs w:val="18"/>
                <w:shd w:val="clear" w:color="auto" w:fill="FFFFFF"/>
              </w:rPr>
              <w:t>1,040,758.65</w:t>
            </w:r>
          </w:p>
        </w:tc>
        <w:tc>
          <w:tcPr>
            <w:tcW w:w="3213" w:type="dxa"/>
            <w:tcBorders>
              <w:top w:val="single" w:color="auto" w:sz="2" w:space="0"/>
              <w:left w:val="single" w:color="auto" w:sz="2" w:space="0"/>
              <w:bottom w:val="single" w:color="auto" w:sz="2" w:space="0"/>
              <w:right w:val="single" w:color="auto" w:sz="2" w:space="0"/>
            </w:tcBorders>
            <w:vAlign w:val="center"/>
          </w:tcPr>
          <w:p w14:paraId="099D736A">
            <w:pPr>
              <w:spacing w:line="240" w:lineRule="exact"/>
              <w:jc w:val="right"/>
              <w:rPr>
                <w:rFonts w:ascii="宋体" w:hAnsi="宋体" w:eastAsia="宋体" w:cs="宋体"/>
                <w:sz w:val="18"/>
                <w:szCs w:val="18"/>
              </w:rPr>
            </w:pPr>
            <w:r>
              <w:rPr>
                <w:rFonts w:ascii="宋体" w:hAnsi="宋体" w:eastAsia="宋体" w:cs="宋体"/>
                <w:sz w:val="18"/>
                <w:szCs w:val="18"/>
              </w:rPr>
              <w:t>1,284,507.17</w:t>
            </w:r>
          </w:p>
        </w:tc>
      </w:tr>
      <w:tr w14:paraId="10B98BF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D77120">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C1BBA43">
            <w:pPr>
              <w:spacing w:line="240" w:lineRule="exact"/>
              <w:jc w:val="right"/>
              <w:rPr>
                <w:rFonts w:ascii="宋体" w:hAnsi="宋体" w:eastAsia="宋体" w:cs="宋体"/>
                <w:sz w:val="18"/>
                <w:szCs w:val="18"/>
              </w:rPr>
            </w:pPr>
            <w:r>
              <w:rPr>
                <w:rFonts w:ascii="宋体" w:hAnsi="宋体" w:eastAsia="宋体" w:cs="宋体"/>
                <w:sz w:val="18"/>
                <w:szCs w:val="18"/>
              </w:rPr>
              <w:t>307,347,980.27</w:t>
            </w:r>
          </w:p>
        </w:tc>
        <w:tc>
          <w:tcPr>
            <w:tcW w:w="3213" w:type="dxa"/>
            <w:tcBorders>
              <w:top w:val="single" w:color="auto" w:sz="2" w:space="0"/>
              <w:left w:val="single" w:color="auto" w:sz="2" w:space="0"/>
              <w:bottom w:val="single" w:color="auto" w:sz="2" w:space="0"/>
              <w:right w:val="single" w:color="auto" w:sz="2" w:space="0"/>
            </w:tcBorders>
            <w:vAlign w:val="center"/>
          </w:tcPr>
          <w:p w14:paraId="1EC54374">
            <w:pPr>
              <w:spacing w:line="240" w:lineRule="exact"/>
              <w:jc w:val="right"/>
              <w:rPr>
                <w:rFonts w:ascii="宋体" w:hAnsi="宋体" w:eastAsia="宋体" w:cs="宋体"/>
                <w:sz w:val="18"/>
                <w:szCs w:val="18"/>
              </w:rPr>
            </w:pPr>
            <w:r>
              <w:rPr>
                <w:rFonts w:ascii="宋体" w:hAnsi="宋体" w:eastAsia="宋体" w:cs="宋体"/>
                <w:sz w:val="18"/>
                <w:szCs w:val="18"/>
              </w:rPr>
              <w:t>311,893,767.38</w:t>
            </w:r>
          </w:p>
        </w:tc>
      </w:tr>
    </w:tbl>
    <w:p w14:paraId="393A4503">
      <w:pPr>
        <w:keepNext/>
        <w:keepLines/>
        <w:spacing w:before="300" w:after="100" w:line="280" w:lineRule="exact"/>
        <w:outlineLvl w:val="4"/>
        <w:rPr>
          <w:rFonts w:ascii="宋体" w:hAnsi="宋体" w:eastAsia="宋体" w:cs="宋体"/>
          <w:b/>
          <w:bCs/>
          <w:sz w:val="18"/>
          <w:szCs w:val="18"/>
        </w:rPr>
      </w:pPr>
      <w:bookmarkStart w:id="309" w:name="_Toc989198"/>
      <w:r>
        <w:rPr>
          <w:rFonts w:ascii="宋体" w:hAnsi="宋体" w:eastAsia="宋体" w:cs="宋体"/>
          <w:b/>
          <w:bCs/>
          <w:sz w:val="18"/>
          <w:szCs w:val="18"/>
        </w:rPr>
        <w:t>2） 账龄超过1年或逾期的重要其他应付款</w:t>
      </w:r>
      <w:bookmarkEnd w:id="309"/>
    </w:p>
    <w:p w14:paraId="0B76613B">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426C43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7CBF71">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C935EE">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26CA2C">
            <w:pPr>
              <w:spacing w:before="40" w:after="10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r w14:paraId="2C722636">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E43323A">
            <w:pPr>
              <w:spacing w:after="100" w:line="240" w:lineRule="exact"/>
              <w:rPr>
                <w:rFonts w:ascii="宋体" w:hAnsi="宋体" w:eastAsia="宋体" w:cs="宋体"/>
                <w:sz w:val="18"/>
                <w:szCs w:val="18"/>
              </w:rPr>
            </w:pPr>
            <w:r>
              <w:rPr>
                <w:rFonts w:ascii="宋体" w:hAnsi="宋体" w:eastAsia="宋体" w:cs="宋体"/>
                <w:sz w:val="18"/>
                <w:szCs w:val="18"/>
              </w:rPr>
              <w:t>西藏盛邦控股有限公司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12EA9B49">
            <w:pPr>
              <w:spacing w:after="100" w:line="240" w:lineRule="exact"/>
              <w:jc w:val="right"/>
              <w:rPr>
                <w:rFonts w:ascii="宋体" w:hAnsi="宋体" w:eastAsia="宋体" w:cs="宋体"/>
                <w:sz w:val="18"/>
                <w:szCs w:val="18"/>
              </w:rPr>
            </w:pPr>
            <w:r>
              <w:rPr>
                <w:rFonts w:ascii="宋体" w:hAnsi="宋体" w:eastAsia="宋体" w:cs="宋体"/>
                <w:sz w:val="18"/>
                <w:szCs w:val="18"/>
              </w:rPr>
              <w:t>150,000,000.00</w:t>
            </w:r>
          </w:p>
        </w:tc>
        <w:tc>
          <w:tcPr>
            <w:tcW w:w="3213" w:type="dxa"/>
            <w:tcBorders>
              <w:top w:val="single" w:color="auto" w:sz="2" w:space="0"/>
              <w:left w:val="single" w:color="auto" w:sz="2" w:space="0"/>
              <w:bottom w:val="single" w:color="auto" w:sz="2" w:space="0"/>
              <w:right w:val="single" w:color="auto" w:sz="2" w:space="0"/>
            </w:tcBorders>
            <w:vAlign w:val="center"/>
          </w:tcPr>
          <w:p w14:paraId="4D540C8C">
            <w:pPr>
              <w:spacing w:after="100" w:line="240" w:lineRule="exact"/>
              <w:rPr>
                <w:rFonts w:ascii="宋体" w:hAnsi="宋体" w:eastAsia="宋体" w:cs="宋体"/>
                <w:sz w:val="18"/>
                <w:szCs w:val="18"/>
              </w:rPr>
            </w:pPr>
            <w:r>
              <w:rPr>
                <w:rFonts w:ascii="宋体" w:hAnsi="宋体" w:eastAsia="宋体" w:cs="宋体"/>
                <w:sz w:val="18"/>
                <w:szCs w:val="18"/>
              </w:rPr>
              <w:t>预重整阶段</w:t>
            </w:r>
          </w:p>
        </w:tc>
      </w:tr>
      <w:tr w14:paraId="73104E2C">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230A6CE">
            <w:pPr>
              <w:spacing w:after="100" w:line="240" w:lineRule="exact"/>
              <w:rPr>
                <w:rFonts w:ascii="宋体" w:hAnsi="宋体" w:eastAsia="宋体" w:cs="宋体"/>
                <w:sz w:val="18"/>
                <w:szCs w:val="18"/>
              </w:rPr>
            </w:pPr>
            <w:r>
              <w:rPr>
                <w:rFonts w:ascii="宋体" w:hAnsi="宋体" w:eastAsia="宋体" w:cs="宋体"/>
                <w:sz w:val="18"/>
                <w:szCs w:val="18"/>
              </w:rPr>
              <w:t>浙江阿拉丁信息科技股份有限公司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0F7C07BA">
            <w:pPr>
              <w:spacing w:after="100" w:line="240" w:lineRule="exact"/>
              <w:jc w:val="right"/>
              <w:rPr>
                <w:rFonts w:ascii="宋体" w:hAnsi="宋体" w:eastAsia="宋体" w:cs="宋体"/>
                <w:sz w:val="18"/>
                <w:szCs w:val="18"/>
              </w:rPr>
            </w:pPr>
            <w:r>
              <w:rPr>
                <w:rFonts w:ascii="宋体" w:hAnsi="宋体" w:eastAsia="宋体" w:cs="宋体"/>
                <w:sz w:val="18"/>
                <w:szCs w:val="18"/>
              </w:rPr>
              <w:t>60,000,000.00</w:t>
            </w:r>
          </w:p>
        </w:tc>
        <w:tc>
          <w:tcPr>
            <w:tcW w:w="3213" w:type="dxa"/>
            <w:tcBorders>
              <w:top w:val="single" w:color="auto" w:sz="2" w:space="0"/>
              <w:left w:val="single" w:color="auto" w:sz="2" w:space="0"/>
              <w:bottom w:val="single" w:color="auto" w:sz="2" w:space="0"/>
              <w:right w:val="single" w:color="auto" w:sz="2" w:space="0"/>
            </w:tcBorders>
            <w:vAlign w:val="center"/>
          </w:tcPr>
          <w:p w14:paraId="24412AB6">
            <w:pPr>
              <w:spacing w:after="100" w:line="240" w:lineRule="exact"/>
              <w:rPr>
                <w:rFonts w:ascii="宋体" w:hAnsi="宋体" w:eastAsia="宋体" w:cs="宋体"/>
                <w:sz w:val="18"/>
                <w:szCs w:val="18"/>
              </w:rPr>
            </w:pPr>
            <w:r>
              <w:rPr>
                <w:rFonts w:ascii="宋体" w:hAnsi="宋体" w:eastAsia="宋体" w:cs="宋体"/>
                <w:sz w:val="18"/>
                <w:szCs w:val="18"/>
              </w:rPr>
              <w:t>预重整阶段</w:t>
            </w:r>
          </w:p>
        </w:tc>
      </w:tr>
      <w:tr w14:paraId="5FEC953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393E7D1">
            <w:pPr>
              <w:spacing w:after="100" w:line="240" w:lineRule="exact"/>
              <w:rPr>
                <w:rFonts w:ascii="宋体" w:hAnsi="宋体" w:eastAsia="宋体" w:cs="宋体"/>
                <w:sz w:val="18"/>
                <w:szCs w:val="18"/>
              </w:rPr>
            </w:pPr>
            <w:r>
              <w:rPr>
                <w:rFonts w:ascii="宋体" w:hAnsi="宋体" w:eastAsia="宋体" w:cs="宋体"/>
                <w:sz w:val="18"/>
                <w:szCs w:val="18"/>
              </w:rPr>
              <w:t>冠中国际商业保理公司</w:t>
            </w:r>
          </w:p>
        </w:tc>
        <w:tc>
          <w:tcPr>
            <w:tcW w:w="3213" w:type="dxa"/>
            <w:tcBorders>
              <w:top w:val="single" w:color="auto" w:sz="2" w:space="0"/>
              <w:left w:val="single" w:color="auto" w:sz="2" w:space="0"/>
              <w:bottom w:val="single" w:color="auto" w:sz="2" w:space="0"/>
              <w:right w:val="single" w:color="auto" w:sz="2" w:space="0"/>
            </w:tcBorders>
            <w:vAlign w:val="center"/>
          </w:tcPr>
          <w:p w14:paraId="6C312440">
            <w:pPr>
              <w:spacing w:after="100" w:line="240" w:lineRule="exact"/>
              <w:jc w:val="right"/>
              <w:rPr>
                <w:rFonts w:ascii="宋体" w:hAnsi="宋体" w:eastAsia="宋体" w:cs="宋体"/>
                <w:sz w:val="18"/>
                <w:szCs w:val="18"/>
              </w:rPr>
            </w:pPr>
            <w:r>
              <w:rPr>
                <w:rFonts w:ascii="宋体" w:hAnsi="宋体" w:eastAsia="宋体" w:cs="宋体"/>
                <w:sz w:val="18"/>
                <w:szCs w:val="18"/>
              </w:rPr>
              <w:t>30,000,000.00</w:t>
            </w:r>
          </w:p>
        </w:tc>
        <w:tc>
          <w:tcPr>
            <w:tcW w:w="3213" w:type="dxa"/>
            <w:tcBorders>
              <w:top w:val="single" w:color="auto" w:sz="2" w:space="0"/>
              <w:left w:val="single" w:color="auto" w:sz="2" w:space="0"/>
              <w:bottom w:val="single" w:color="auto" w:sz="2" w:space="0"/>
              <w:right w:val="single" w:color="auto" w:sz="2" w:space="0"/>
            </w:tcBorders>
            <w:vAlign w:val="center"/>
          </w:tcPr>
          <w:p w14:paraId="34489799">
            <w:pPr>
              <w:spacing w:after="100" w:line="240" w:lineRule="exact"/>
              <w:rPr>
                <w:rFonts w:ascii="宋体" w:hAnsi="宋体" w:eastAsia="宋体" w:cs="宋体"/>
                <w:sz w:val="18"/>
                <w:szCs w:val="18"/>
              </w:rPr>
            </w:pPr>
            <w:r>
              <w:rPr>
                <w:rFonts w:ascii="宋体" w:hAnsi="宋体" w:eastAsia="宋体" w:cs="宋体"/>
                <w:sz w:val="18"/>
                <w:szCs w:val="18"/>
              </w:rPr>
              <w:t>预重整阶段</w:t>
            </w:r>
          </w:p>
        </w:tc>
      </w:tr>
      <w:tr w14:paraId="3ACA4BE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25F1AC">
            <w:pPr>
              <w:spacing w:after="100" w:line="240" w:lineRule="exact"/>
              <w:rPr>
                <w:rFonts w:ascii="宋体" w:hAnsi="宋体" w:eastAsia="宋体" w:cs="宋体"/>
                <w:sz w:val="18"/>
                <w:szCs w:val="18"/>
              </w:rPr>
            </w:pPr>
            <w:r>
              <w:rPr>
                <w:rFonts w:ascii="宋体" w:hAnsi="宋体" w:eastAsia="宋体" w:cs="宋体"/>
                <w:sz w:val="18"/>
                <w:szCs w:val="18"/>
              </w:rPr>
              <w:t>新疆日广通远投资有限公司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54B502EA">
            <w:pPr>
              <w:spacing w:after="100" w:line="240" w:lineRule="exact"/>
              <w:jc w:val="right"/>
              <w:rPr>
                <w:rFonts w:ascii="宋体" w:hAnsi="宋体" w:eastAsia="宋体" w:cs="宋体"/>
                <w:sz w:val="18"/>
                <w:szCs w:val="18"/>
              </w:rPr>
            </w:pPr>
            <w:r>
              <w:rPr>
                <w:rFonts w:ascii="宋体" w:hAnsi="宋体" w:eastAsia="宋体" w:cs="宋体"/>
                <w:sz w:val="18"/>
                <w:szCs w:val="18"/>
              </w:rPr>
              <w:t>20,317,667.94</w:t>
            </w:r>
          </w:p>
        </w:tc>
        <w:tc>
          <w:tcPr>
            <w:tcW w:w="3213" w:type="dxa"/>
            <w:tcBorders>
              <w:top w:val="single" w:color="auto" w:sz="2" w:space="0"/>
              <w:left w:val="single" w:color="auto" w:sz="2" w:space="0"/>
              <w:bottom w:val="single" w:color="auto" w:sz="2" w:space="0"/>
              <w:right w:val="single" w:color="auto" w:sz="2" w:space="0"/>
            </w:tcBorders>
            <w:vAlign w:val="center"/>
          </w:tcPr>
          <w:p w14:paraId="3F3DA406">
            <w:pPr>
              <w:spacing w:after="100" w:line="240" w:lineRule="exact"/>
              <w:rPr>
                <w:rFonts w:ascii="宋体" w:hAnsi="宋体" w:eastAsia="宋体" w:cs="宋体"/>
                <w:sz w:val="18"/>
                <w:szCs w:val="18"/>
              </w:rPr>
            </w:pPr>
            <w:r>
              <w:rPr>
                <w:rFonts w:ascii="宋体" w:hAnsi="宋体" w:eastAsia="宋体" w:cs="宋体"/>
                <w:sz w:val="18"/>
                <w:szCs w:val="18"/>
              </w:rPr>
              <w:t>预重整阶段</w:t>
            </w:r>
          </w:p>
        </w:tc>
      </w:tr>
      <w:tr w14:paraId="3698EDC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DCFA374">
            <w:pPr>
              <w:spacing w:after="100" w:line="240" w:lineRule="exact"/>
              <w:rPr>
                <w:rFonts w:ascii="宋体" w:hAnsi="宋体" w:eastAsia="宋体" w:cs="宋体"/>
                <w:sz w:val="18"/>
                <w:szCs w:val="18"/>
              </w:rPr>
            </w:pPr>
            <w:r>
              <w:rPr>
                <w:rFonts w:ascii="宋体" w:hAnsi="宋体" w:eastAsia="宋体" w:cs="宋体"/>
                <w:sz w:val="18"/>
                <w:szCs w:val="18"/>
              </w:rPr>
              <w:t>吴小蓉</w:t>
            </w:r>
          </w:p>
        </w:tc>
        <w:tc>
          <w:tcPr>
            <w:tcW w:w="3213" w:type="dxa"/>
            <w:tcBorders>
              <w:top w:val="single" w:color="auto" w:sz="2" w:space="0"/>
              <w:left w:val="single" w:color="auto" w:sz="2" w:space="0"/>
              <w:bottom w:val="single" w:color="auto" w:sz="2" w:space="0"/>
              <w:right w:val="single" w:color="auto" w:sz="2" w:space="0"/>
            </w:tcBorders>
            <w:vAlign w:val="center"/>
          </w:tcPr>
          <w:p w14:paraId="21BE899C">
            <w:pPr>
              <w:spacing w:after="100" w:line="240" w:lineRule="exact"/>
              <w:jc w:val="right"/>
              <w:rPr>
                <w:rFonts w:ascii="宋体" w:hAnsi="宋体" w:eastAsia="宋体" w:cs="宋体"/>
                <w:sz w:val="18"/>
                <w:szCs w:val="18"/>
              </w:rPr>
            </w:pPr>
            <w:r>
              <w:rPr>
                <w:rFonts w:ascii="宋体" w:hAnsi="宋体" w:eastAsia="宋体" w:cs="宋体"/>
                <w:sz w:val="18"/>
                <w:szCs w:val="18"/>
              </w:rPr>
              <w:t>19,800,000.00</w:t>
            </w:r>
          </w:p>
        </w:tc>
        <w:tc>
          <w:tcPr>
            <w:tcW w:w="3213" w:type="dxa"/>
            <w:tcBorders>
              <w:top w:val="single" w:color="auto" w:sz="2" w:space="0"/>
              <w:left w:val="single" w:color="auto" w:sz="2" w:space="0"/>
              <w:bottom w:val="single" w:color="auto" w:sz="2" w:space="0"/>
              <w:right w:val="single" w:color="auto" w:sz="2" w:space="0"/>
            </w:tcBorders>
            <w:vAlign w:val="center"/>
          </w:tcPr>
          <w:p w14:paraId="25B1F1E0">
            <w:pPr>
              <w:spacing w:after="100" w:line="240" w:lineRule="exact"/>
              <w:rPr>
                <w:rFonts w:ascii="宋体" w:hAnsi="宋体" w:eastAsia="宋体" w:cs="宋体"/>
                <w:sz w:val="18"/>
                <w:szCs w:val="18"/>
              </w:rPr>
            </w:pPr>
            <w:r>
              <w:rPr>
                <w:rFonts w:ascii="宋体" w:hAnsi="宋体" w:eastAsia="宋体" w:cs="宋体"/>
                <w:sz w:val="18"/>
                <w:szCs w:val="18"/>
              </w:rPr>
              <w:t>预重整阶段</w:t>
            </w:r>
          </w:p>
        </w:tc>
      </w:tr>
      <w:tr w14:paraId="7020244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3E799A1">
            <w:pPr>
              <w:spacing w:after="100" w:line="240" w:lineRule="exact"/>
              <w:rPr>
                <w:rFonts w:ascii="宋体" w:hAnsi="宋体" w:eastAsia="宋体" w:cs="宋体"/>
                <w:sz w:val="18"/>
                <w:szCs w:val="18"/>
              </w:rPr>
            </w:pPr>
            <w:r>
              <w:rPr>
                <w:rFonts w:ascii="宋体" w:hAnsi="宋体" w:eastAsia="宋体" w:cs="宋体"/>
                <w:sz w:val="18"/>
                <w:szCs w:val="18"/>
              </w:rPr>
              <w:t>深圳瞬赐商业保理有限公司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06FD8C42">
            <w:pPr>
              <w:spacing w:after="100" w:line="240" w:lineRule="exact"/>
              <w:jc w:val="right"/>
              <w:rPr>
                <w:rFonts w:ascii="宋体" w:hAnsi="宋体" w:eastAsia="宋体" w:cs="宋体"/>
                <w:sz w:val="18"/>
                <w:szCs w:val="18"/>
              </w:rPr>
            </w:pPr>
            <w:r>
              <w:rPr>
                <w:rFonts w:ascii="宋体" w:hAnsi="宋体" w:eastAsia="宋体" w:cs="宋体"/>
                <w:sz w:val="18"/>
                <w:szCs w:val="18"/>
              </w:rPr>
              <w:t>16,445,784.72</w:t>
            </w:r>
          </w:p>
        </w:tc>
        <w:tc>
          <w:tcPr>
            <w:tcW w:w="3213" w:type="dxa"/>
            <w:tcBorders>
              <w:top w:val="single" w:color="auto" w:sz="2" w:space="0"/>
              <w:left w:val="single" w:color="auto" w:sz="2" w:space="0"/>
              <w:bottom w:val="single" w:color="auto" w:sz="2" w:space="0"/>
              <w:right w:val="single" w:color="auto" w:sz="2" w:space="0"/>
            </w:tcBorders>
            <w:vAlign w:val="center"/>
          </w:tcPr>
          <w:p w14:paraId="47FA807D">
            <w:pPr>
              <w:spacing w:after="100" w:line="240" w:lineRule="exact"/>
              <w:rPr>
                <w:rFonts w:ascii="宋体" w:hAnsi="宋体" w:eastAsia="宋体" w:cs="宋体"/>
                <w:sz w:val="18"/>
                <w:szCs w:val="18"/>
              </w:rPr>
            </w:pPr>
            <w:r>
              <w:rPr>
                <w:rFonts w:ascii="宋体" w:hAnsi="宋体" w:eastAsia="宋体" w:cs="宋体"/>
                <w:sz w:val="18"/>
                <w:szCs w:val="18"/>
              </w:rPr>
              <w:t>预重整阶段</w:t>
            </w:r>
          </w:p>
        </w:tc>
      </w:tr>
      <w:tr w14:paraId="7DA1EB0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1DCFEE">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EBEA039">
            <w:pPr>
              <w:spacing w:after="100" w:line="240" w:lineRule="exact"/>
              <w:jc w:val="right"/>
              <w:rPr>
                <w:rFonts w:ascii="宋体" w:hAnsi="宋体" w:eastAsia="宋体" w:cs="宋体"/>
                <w:sz w:val="18"/>
                <w:szCs w:val="18"/>
              </w:rPr>
            </w:pPr>
            <w:r>
              <w:rPr>
                <w:rFonts w:ascii="宋体" w:hAnsi="宋体" w:eastAsia="宋体" w:cs="宋体"/>
                <w:sz w:val="18"/>
                <w:szCs w:val="18"/>
              </w:rPr>
              <w:t>296,563,452.66</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157E7A">
            <w:pPr>
              <w:spacing w:after="100"/>
            </w:pPr>
          </w:p>
        </w:tc>
      </w:tr>
    </w:tbl>
    <w:p w14:paraId="5FD4EBBD">
      <w:pPr>
        <w:spacing w:before="100" w:after="100" w:line="240" w:lineRule="exact"/>
      </w:pPr>
      <w:r>
        <w:rPr>
          <w:rFonts w:ascii="宋体" w:hAnsi="宋体" w:eastAsia="宋体" w:cs="宋体"/>
          <w:sz w:val="18"/>
          <w:szCs w:val="18"/>
        </w:rPr>
        <w:t>其他说明</w:t>
      </w:r>
    </w:p>
    <w:p w14:paraId="0AD5B41C">
      <w:pPr>
        <w:pStyle w:val="3"/>
        <w:spacing w:after="100" w:line="280" w:lineRule="exact"/>
        <w:jc w:val="left"/>
        <w:rPr>
          <w:rFonts w:ascii="宋体" w:hAnsi="宋体" w:cs="宋体"/>
          <w:b/>
          <w:bCs/>
        </w:rPr>
      </w:pPr>
      <w:bookmarkStart w:id="310" w:name="_Toc989199"/>
      <w:r>
        <w:rPr>
          <w:rFonts w:ascii="宋体" w:hAnsi="宋体" w:cs="宋体"/>
          <w:b/>
          <w:bCs/>
        </w:rPr>
        <w:t>38、预收款项</w:t>
      </w:r>
      <w:bookmarkEnd w:id="310"/>
    </w:p>
    <w:p w14:paraId="436B4F31">
      <w:pPr>
        <w:keepNext/>
        <w:keepLines/>
        <w:spacing w:before="300" w:after="100" w:line="280" w:lineRule="exact"/>
        <w:outlineLvl w:val="3"/>
        <w:rPr>
          <w:rFonts w:ascii="宋体" w:hAnsi="宋体" w:eastAsia="宋体" w:cs="宋体"/>
          <w:b/>
          <w:bCs/>
          <w:szCs w:val="21"/>
        </w:rPr>
      </w:pPr>
      <w:bookmarkStart w:id="311" w:name="_Toc989200"/>
      <w:r>
        <w:rPr>
          <w:rFonts w:ascii="宋体" w:hAnsi="宋体" w:eastAsia="宋体" w:cs="宋体"/>
          <w:b/>
          <w:bCs/>
          <w:szCs w:val="21"/>
        </w:rPr>
        <w:t>（1） 预收款项列示</w:t>
      </w:r>
      <w:bookmarkEnd w:id="311"/>
    </w:p>
    <w:p w14:paraId="06C9ED69">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42862C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A58A1F">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B08AD8">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CB7A87">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C61A4E4">
      <w:pPr>
        <w:keepNext/>
        <w:keepLines/>
        <w:spacing w:before="300" w:after="100" w:line="280" w:lineRule="exact"/>
        <w:outlineLvl w:val="3"/>
        <w:rPr>
          <w:rFonts w:ascii="宋体" w:hAnsi="宋体" w:eastAsia="宋体" w:cs="宋体"/>
          <w:b/>
          <w:bCs/>
          <w:szCs w:val="21"/>
        </w:rPr>
      </w:pPr>
      <w:bookmarkStart w:id="312" w:name="_Toc989201"/>
      <w:r>
        <w:rPr>
          <w:rFonts w:ascii="宋体" w:hAnsi="宋体" w:eastAsia="宋体" w:cs="宋体"/>
          <w:b/>
          <w:bCs/>
          <w:szCs w:val="21"/>
        </w:rPr>
        <w:t>（2） 账龄超过1年或逾期的重要预收款项</w:t>
      </w:r>
      <w:bookmarkEnd w:id="312"/>
    </w:p>
    <w:p w14:paraId="18FF6E56">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1516BD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3892DD">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66F5EA">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F4CC61">
            <w:pPr>
              <w:spacing w:before="40" w:after="10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bl>
    <w:p w14:paraId="1BA2352D">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4101F9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DEC9AD">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EBD2E1">
            <w:pPr>
              <w:spacing w:before="40" w:after="100" w:line="240" w:lineRule="exact"/>
              <w:jc w:val="center"/>
              <w:rPr>
                <w:rFonts w:ascii="宋体" w:hAnsi="宋体" w:eastAsia="宋体" w:cs="宋体"/>
                <w:sz w:val="18"/>
                <w:szCs w:val="18"/>
              </w:rPr>
            </w:pPr>
            <w:r>
              <w:rPr>
                <w:rFonts w:ascii="宋体" w:hAnsi="宋体" w:eastAsia="宋体" w:cs="宋体"/>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5E431">
            <w:pPr>
              <w:spacing w:before="40" w:after="100" w:line="240" w:lineRule="exact"/>
              <w:jc w:val="center"/>
              <w:rPr>
                <w:rFonts w:ascii="宋体" w:hAnsi="宋体" w:eastAsia="宋体" w:cs="宋体"/>
                <w:sz w:val="18"/>
                <w:szCs w:val="18"/>
              </w:rPr>
            </w:pPr>
            <w:r>
              <w:rPr>
                <w:rFonts w:ascii="宋体" w:hAnsi="宋体" w:eastAsia="宋体" w:cs="宋体"/>
                <w:sz w:val="18"/>
                <w:szCs w:val="18"/>
              </w:rPr>
              <w:t>变动原因</w:t>
            </w:r>
          </w:p>
        </w:tc>
      </w:tr>
    </w:tbl>
    <w:p w14:paraId="361A2D83">
      <w:pPr>
        <w:spacing w:before="100" w:after="100" w:line="240" w:lineRule="exact"/>
      </w:pPr>
      <w:r>
        <w:rPr>
          <w:rFonts w:ascii="宋体" w:hAnsi="宋体" w:eastAsia="宋体" w:cs="宋体"/>
          <w:sz w:val="18"/>
          <w:szCs w:val="18"/>
        </w:rPr>
        <w:t>其他说明：</w:t>
      </w:r>
    </w:p>
    <w:p w14:paraId="5A35DDF6">
      <w:pPr>
        <w:pStyle w:val="3"/>
        <w:spacing w:after="100" w:line="280" w:lineRule="exact"/>
        <w:jc w:val="left"/>
        <w:rPr>
          <w:rFonts w:ascii="宋体" w:hAnsi="宋体" w:cs="宋体"/>
          <w:b/>
          <w:bCs/>
        </w:rPr>
      </w:pPr>
      <w:bookmarkStart w:id="313" w:name="_Toc989202"/>
      <w:r>
        <w:rPr>
          <w:rFonts w:ascii="宋体" w:hAnsi="宋体" w:cs="宋体"/>
          <w:b/>
          <w:bCs/>
        </w:rPr>
        <w:t>39、合同负债</w:t>
      </w:r>
      <w:bookmarkEnd w:id="313"/>
    </w:p>
    <w:p w14:paraId="5F90FB69">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DB4F55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09CB34">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C55E7D">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C697A8">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328FE7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235580F">
            <w:pPr>
              <w:spacing w:line="240" w:lineRule="exact"/>
              <w:rPr>
                <w:rFonts w:ascii="宋体" w:hAnsi="宋体" w:eastAsia="宋体" w:cs="宋体"/>
                <w:sz w:val="18"/>
                <w:szCs w:val="18"/>
              </w:rPr>
            </w:pPr>
            <w:r>
              <w:rPr>
                <w:rFonts w:ascii="宋体" w:hAnsi="宋体" w:eastAsia="宋体" w:cs="宋体"/>
                <w:sz w:val="18"/>
                <w:szCs w:val="18"/>
              </w:rPr>
              <w:t>货款</w:t>
            </w:r>
          </w:p>
        </w:tc>
        <w:tc>
          <w:tcPr>
            <w:tcW w:w="3213" w:type="dxa"/>
            <w:tcBorders>
              <w:top w:val="single" w:color="auto" w:sz="2" w:space="0"/>
              <w:left w:val="single" w:color="auto" w:sz="2" w:space="0"/>
              <w:bottom w:val="single" w:color="auto" w:sz="2" w:space="0"/>
              <w:right w:val="single" w:color="auto" w:sz="2" w:space="0"/>
            </w:tcBorders>
            <w:vAlign w:val="center"/>
          </w:tcPr>
          <w:p w14:paraId="638013AF">
            <w:pPr>
              <w:spacing w:line="240" w:lineRule="exact"/>
              <w:jc w:val="right"/>
              <w:rPr>
                <w:rFonts w:ascii="宋体" w:hAnsi="宋体" w:eastAsia="宋体" w:cs="宋体"/>
                <w:sz w:val="18"/>
                <w:szCs w:val="18"/>
              </w:rPr>
            </w:pPr>
            <w:r>
              <w:rPr>
                <w:rFonts w:ascii="宋体" w:hAnsi="宋体" w:eastAsia="宋体" w:cs="宋体"/>
                <w:sz w:val="18"/>
                <w:szCs w:val="18"/>
              </w:rPr>
              <w:t>653,075.17</w:t>
            </w:r>
          </w:p>
        </w:tc>
        <w:tc>
          <w:tcPr>
            <w:tcW w:w="3213" w:type="dxa"/>
            <w:tcBorders>
              <w:top w:val="single" w:color="auto" w:sz="2" w:space="0"/>
              <w:left w:val="single" w:color="auto" w:sz="2" w:space="0"/>
              <w:bottom w:val="single" w:color="auto" w:sz="2" w:space="0"/>
              <w:right w:val="single" w:color="auto" w:sz="2" w:space="0"/>
            </w:tcBorders>
            <w:vAlign w:val="center"/>
          </w:tcPr>
          <w:p w14:paraId="4380116B">
            <w:pPr>
              <w:spacing w:line="240" w:lineRule="exact"/>
              <w:jc w:val="right"/>
              <w:rPr>
                <w:rFonts w:ascii="宋体" w:hAnsi="宋体" w:eastAsia="宋体" w:cs="宋体"/>
                <w:sz w:val="18"/>
                <w:szCs w:val="18"/>
              </w:rPr>
            </w:pPr>
            <w:r>
              <w:rPr>
                <w:rFonts w:ascii="宋体" w:hAnsi="宋体" w:eastAsia="宋体" w:cs="宋体"/>
                <w:sz w:val="18"/>
                <w:szCs w:val="18"/>
              </w:rPr>
              <w:t>3,129,333.37</w:t>
            </w:r>
          </w:p>
        </w:tc>
      </w:tr>
      <w:tr w14:paraId="476DBD5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B76888">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5321DEB">
            <w:pPr>
              <w:spacing w:line="240" w:lineRule="exact"/>
              <w:jc w:val="right"/>
              <w:rPr>
                <w:rFonts w:ascii="宋体" w:hAnsi="宋体" w:eastAsia="宋体" w:cs="宋体"/>
                <w:sz w:val="18"/>
                <w:szCs w:val="18"/>
              </w:rPr>
            </w:pPr>
            <w:r>
              <w:rPr>
                <w:rFonts w:ascii="宋体" w:hAnsi="宋体" w:eastAsia="宋体" w:cs="宋体"/>
                <w:sz w:val="18"/>
                <w:szCs w:val="18"/>
              </w:rPr>
              <w:t>653,075.17</w:t>
            </w:r>
          </w:p>
        </w:tc>
        <w:tc>
          <w:tcPr>
            <w:tcW w:w="3213" w:type="dxa"/>
            <w:tcBorders>
              <w:top w:val="single" w:color="auto" w:sz="2" w:space="0"/>
              <w:left w:val="single" w:color="auto" w:sz="2" w:space="0"/>
              <w:bottom w:val="single" w:color="auto" w:sz="2" w:space="0"/>
              <w:right w:val="single" w:color="auto" w:sz="2" w:space="0"/>
            </w:tcBorders>
            <w:vAlign w:val="center"/>
          </w:tcPr>
          <w:p w14:paraId="1EB2AB99">
            <w:pPr>
              <w:spacing w:line="240" w:lineRule="exact"/>
              <w:jc w:val="right"/>
              <w:rPr>
                <w:rFonts w:ascii="宋体" w:hAnsi="宋体" w:eastAsia="宋体" w:cs="宋体"/>
                <w:sz w:val="18"/>
                <w:szCs w:val="18"/>
              </w:rPr>
            </w:pPr>
            <w:r>
              <w:rPr>
                <w:rFonts w:ascii="宋体" w:hAnsi="宋体" w:eastAsia="宋体" w:cs="宋体"/>
                <w:sz w:val="18"/>
                <w:szCs w:val="18"/>
              </w:rPr>
              <w:t>3,129,333.37</w:t>
            </w:r>
          </w:p>
        </w:tc>
      </w:tr>
    </w:tbl>
    <w:p w14:paraId="580655C7">
      <w:pPr>
        <w:spacing w:before="100" w:after="100" w:line="240" w:lineRule="exact"/>
        <w:rPr>
          <w:rFonts w:ascii="宋体" w:hAnsi="宋体" w:eastAsia="宋体" w:cs="宋体"/>
          <w:sz w:val="18"/>
          <w:szCs w:val="18"/>
        </w:rPr>
      </w:pPr>
      <w:r>
        <w:rPr>
          <w:rFonts w:ascii="宋体" w:hAnsi="宋体" w:eastAsia="宋体" w:cs="宋体"/>
          <w:sz w:val="18"/>
          <w:szCs w:val="18"/>
        </w:rPr>
        <w:t>账龄超过1年的重要合同负债</w:t>
      </w:r>
    </w:p>
    <w:p w14:paraId="0615879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F8B239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FF6C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F5DAA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D25E43">
            <w:pPr>
              <w:spacing w:before="40" w:after="4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bl>
    <w:p w14:paraId="77F3B6B3">
      <w:pPr>
        <w:spacing w:before="100" w:after="100" w:line="240" w:lineRule="exact"/>
        <w:rPr>
          <w:rFonts w:ascii="宋体" w:hAnsi="宋体" w:eastAsia="宋体" w:cs="宋体"/>
          <w:sz w:val="18"/>
          <w:szCs w:val="18"/>
        </w:rPr>
      </w:pPr>
      <w:r>
        <w:rPr>
          <w:rFonts w:ascii="宋体" w:hAnsi="宋体" w:eastAsia="宋体" w:cs="宋体"/>
          <w:sz w:val="18"/>
          <w:szCs w:val="18"/>
        </w:rPr>
        <w:t>报告期内账面价值发生重大变动的金额和原因</w:t>
      </w:r>
    </w:p>
    <w:p w14:paraId="5BB4E19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0"/>
        <w:gridCol w:w="820"/>
        <w:gridCol w:w="7999"/>
      </w:tblGrid>
      <w:tr w14:paraId="3644C927">
        <w:trPr>
          <w:trHeight w:val="240" w:hRule="atLeast"/>
        </w:trPr>
        <w:tc>
          <w:tcPr>
            <w:tcW w:w="820" w:type="dxa"/>
            <w:tcBorders>
              <w:top w:val="single" w:color="auto" w:sz="2" w:space="0"/>
              <w:left w:val="single" w:color="auto" w:sz="2" w:space="0"/>
              <w:bottom w:val="single" w:color="auto" w:sz="2" w:space="0"/>
              <w:right w:val="single" w:color="auto" w:sz="2" w:space="0"/>
            </w:tcBorders>
            <w:shd w:val="clear" w:color="auto" w:fill="D3D3D3"/>
            <w:vAlign w:val="center"/>
          </w:tcPr>
          <w:p w14:paraId="453E714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20" w:type="dxa"/>
            <w:tcBorders>
              <w:top w:val="single" w:color="auto" w:sz="2" w:space="0"/>
              <w:left w:val="single" w:color="auto" w:sz="2" w:space="0"/>
              <w:bottom w:val="single" w:color="auto" w:sz="2" w:space="0"/>
              <w:right w:val="single" w:color="auto" w:sz="2" w:space="0"/>
            </w:tcBorders>
            <w:shd w:val="clear" w:color="auto" w:fill="D3D3D3"/>
            <w:vAlign w:val="center"/>
          </w:tcPr>
          <w:p w14:paraId="078CCFCB">
            <w:pPr>
              <w:spacing w:before="40" w:after="40" w:line="240" w:lineRule="exact"/>
              <w:jc w:val="center"/>
              <w:rPr>
                <w:rFonts w:ascii="宋体" w:hAnsi="宋体" w:eastAsia="宋体" w:cs="宋体"/>
                <w:sz w:val="18"/>
                <w:szCs w:val="18"/>
              </w:rPr>
            </w:pPr>
            <w:r>
              <w:rPr>
                <w:rFonts w:ascii="宋体" w:hAnsi="宋体" w:eastAsia="宋体" w:cs="宋体"/>
                <w:sz w:val="18"/>
                <w:szCs w:val="18"/>
              </w:rPr>
              <w:t>变动金额</w:t>
            </w:r>
          </w:p>
        </w:tc>
        <w:tc>
          <w:tcPr>
            <w:tcW w:w="8000" w:type="dxa"/>
            <w:tcBorders>
              <w:top w:val="single" w:color="auto" w:sz="2" w:space="0"/>
              <w:left w:val="single" w:color="auto" w:sz="2" w:space="0"/>
              <w:bottom w:val="single" w:color="auto" w:sz="2" w:space="0"/>
              <w:right w:val="single" w:color="auto" w:sz="2" w:space="0"/>
            </w:tcBorders>
            <w:shd w:val="clear" w:color="auto" w:fill="D3D3D3"/>
            <w:vAlign w:val="center"/>
          </w:tcPr>
          <w:p w14:paraId="400C6328">
            <w:pPr>
              <w:spacing w:before="40" w:after="40" w:line="240" w:lineRule="exact"/>
              <w:jc w:val="center"/>
              <w:rPr>
                <w:rFonts w:ascii="宋体" w:hAnsi="宋体" w:eastAsia="宋体" w:cs="宋体"/>
                <w:sz w:val="18"/>
                <w:szCs w:val="18"/>
              </w:rPr>
            </w:pPr>
            <w:r>
              <w:rPr>
                <w:rFonts w:ascii="宋体" w:hAnsi="宋体" w:eastAsia="宋体" w:cs="宋体"/>
                <w:sz w:val="18"/>
                <w:szCs w:val="18"/>
              </w:rPr>
              <w:t>变动原因</w:t>
            </w:r>
          </w:p>
        </w:tc>
      </w:tr>
    </w:tbl>
    <w:p w14:paraId="683BE402">
      <w:pPr>
        <w:spacing w:before="100" w:after="100" w:line="240" w:lineRule="exact"/>
      </w:pPr>
      <w:r>
        <w:rPr>
          <w:rFonts w:ascii="宋体" w:hAnsi="宋体" w:eastAsia="宋体" w:cs="宋体"/>
          <w:sz w:val="18"/>
          <w:szCs w:val="18"/>
        </w:rPr>
        <w:t>公司需遵守《深圳证券交易所上市公司自律监管指引第3号——行业信息披露》中食品及酒制造相关业的披露要求</w:t>
      </w:r>
    </w:p>
    <w:p w14:paraId="75167FA0">
      <w:pPr>
        <w:pStyle w:val="3"/>
        <w:spacing w:after="100" w:line="280" w:lineRule="exact"/>
        <w:jc w:val="left"/>
        <w:rPr>
          <w:rFonts w:ascii="宋体" w:hAnsi="宋体" w:cs="宋体"/>
          <w:b/>
          <w:bCs/>
        </w:rPr>
      </w:pPr>
      <w:bookmarkStart w:id="314" w:name="_Toc989203"/>
      <w:r>
        <w:rPr>
          <w:rFonts w:ascii="宋体" w:hAnsi="宋体" w:cs="宋体"/>
          <w:b/>
          <w:bCs/>
        </w:rPr>
        <w:t>40、应付职工薪酬</w:t>
      </w:r>
      <w:bookmarkEnd w:id="314"/>
    </w:p>
    <w:p w14:paraId="7B2B00A0">
      <w:pPr>
        <w:keepNext/>
        <w:keepLines/>
        <w:spacing w:before="300" w:after="100" w:line="280" w:lineRule="exact"/>
        <w:outlineLvl w:val="3"/>
        <w:rPr>
          <w:rFonts w:ascii="宋体" w:hAnsi="宋体" w:eastAsia="宋体" w:cs="宋体"/>
          <w:b/>
          <w:bCs/>
          <w:szCs w:val="21"/>
        </w:rPr>
      </w:pPr>
      <w:bookmarkStart w:id="315" w:name="_Toc989204"/>
      <w:r>
        <w:rPr>
          <w:rFonts w:ascii="宋体" w:hAnsi="宋体" w:eastAsia="宋体" w:cs="宋体"/>
          <w:b/>
          <w:bCs/>
          <w:szCs w:val="21"/>
        </w:rPr>
        <w:t>（1） 应付职工薪酬列示</w:t>
      </w:r>
      <w:bookmarkEnd w:id="315"/>
    </w:p>
    <w:p w14:paraId="3BC402B8">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C790EA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A92BC7">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015074">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783FD7">
            <w:pPr>
              <w:spacing w:before="40" w:after="10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3602CF">
            <w:pPr>
              <w:spacing w:before="40" w:after="10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1681A9">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D8F2D5D">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B3420D8">
            <w:pPr>
              <w:spacing w:before="40" w:after="100" w:line="240" w:lineRule="exact"/>
              <w:rPr>
                <w:rFonts w:ascii="宋体" w:hAnsi="宋体" w:eastAsia="宋体" w:cs="宋体"/>
                <w:sz w:val="18"/>
                <w:szCs w:val="18"/>
              </w:rPr>
            </w:pPr>
            <w:r>
              <w:rPr>
                <w:rFonts w:ascii="宋体" w:hAnsi="宋体" w:eastAsia="宋体" w:cs="宋体"/>
                <w:sz w:val="18"/>
                <w:szCs w:val="18"/>
              </w:rPr>
              <w:t>一、短期薪酬</w:t>
            </w:r>
          </w:p>
        </w:tc>
        <w:tc>
          <w:tcPr>
            <w:tcW w:w="1928" w:type="dxa"/>
            <w:tcBorders>
              <w:top w:val="single" w:color="auto" w:sz="2" w:space="0"/>
              <w:left w:val="single" w:color="auto" w:sz="2" w:space="0"/>
              <w:bottom w:val="single" w:color="auto" w:sz="2" w:space="0"/>
              <w:right w:val="single" w:color="auto" w:sz="2" w:space="0"/>
            </w:tcBorders>
            <w:vAlign w:val="center"/>
          </w:tcPr>
          <w:p w14:paraId="09DCC1D5">
            <w:pPr>
              <w:spacing w:after="100" w:line="240" w:lineRule="exact"/>
              <w:jc w:val="right"/>
              <w:rPr>
                <w:rFonts w:ascii="宋体" w:hAnsi="宋体" w:eastAsia="宋体" w:cs="宋体"/>
                <w:sz w:val="18"/>
                <w:szCs w:val="18"/>
              </w:rPr>
            </w:pPr>
            <w:r>
              <w:rPr>
                <w:rFonts w:ascii="宋体" w:hAnsi="宋体" w:eastAsia="宋体" w:cs="宋体"/>
                <w:sz w:val="18"/>
                <w:szCs w:val="18"/>
              </w:rPr>
              <w:t>5,622,551.00</w:t>
            </w:r>
          </w:p>
        </w:tc>
        <w:tc>
          <w:tcPr>
            <w:tcW w:w="1928" w:type="dxa"/>
            <w:tcBorders>
              <w:top w:val="single" w:color="auto" w:sz="2" w:space="0"/>
              <w:left w:val="single" w:color="auto" w:sz="2" w:space="0"/>
              <w:bottom w:val="single" w:color="auto" w:sz="2" w:space="0"/>
              <w:right w:val="single" w:color="auto" w:sz="2" w:space="0"/>
            </w:tcBorders>
            <w:vAlign w:val="center"/>
          </w:tcPr>
          <w:p w14:paraId="7504C72A">
            <w:pPr>
              <w:spacing w:after="100" w:line="240" w:lineRule="exact"/>
              <w:jc w:val="right"/>
              <w:rPr>
                <w:rFonts w:ascii="宋体" w:hAnsi="宋体" w:eastAsia="宋体" w:cs="宋体"/>
                <w:sz w:val="18"/>
                <w:szCs w:val="18"/>
              </w:rPr>
            </w:pPr>
            <w:r>
              <w:rPr>
                <w:rFonts w:ascii="宋体" w:hAnsi="宋体" w:eastAsia="宋体" w:cs="宋体"/>
                <w:sz w:val="18"/>
                <w:szCs w:val="18"/>
              </w:rPr>
              <w:t>19,332,841.64</w:t>
            </w:r>
          </w:p>
        </w:tc>
        <w:tc>
          <w:tcPr>
            <w:tcW w:w="1928" w:type="dxa"/>
            <w:tcBorders>
              <w:top w:val="single" w:color="auto" w:sz="2" w:space="0"/>
              <w:left w:val="single" w:color="auto" w:sz="2" w:space="0"/>
              <w:bottom w:val="single" w:color="auto" w:sz="2" w:space="0"/>
              <w:right w:val="single" w:color="auto" w:sz="2" w:space="0"/>
            </w:tcBorders>
            <w:vAlign w:val="center"/>
          </w:tcPr>
          <w:p w14:paraId="53599EB4">
            <w:pPr>
              <w:spacing w:after="100" w:line="240" w:lineRule="exact"/>
              <w:jc w:val="right"/>
              <w:rPr>
                <w:rFonts w:ascii="宋体" w:hAnsi="宋体" w:eastAsia="宋体" w:cs="宋体"/>
                <w:sz w:val="18"/>
                <w:szCs w:val="18"/>
              </w:rPr>
            </w:pPr>
            <w:r>
              <w:rPr>
                <w:rFonts w:ascii="宋体" w:hAnsi="宋体" w:eastAsia="宋体" w:cs="宋体"/>
                <w:sz w:val="18"/>
                <w:szCs w:val="18"/>
              </w:rPr>
              <w:t>23,354,448.62</w:t>
            </w:r>
          </w:p>
        </w:tc>
        <w:tc>
          <w:tcPr>
            <w:tcW w:w="1928" w:type="dxa"/>
            <w:tcBorders>
              <w:top w:val="single" w:color="auto" w:sz="2" w:space="0"/>
              <w:left w:val="single" w:color="auto" w:sz="2" w:space="0"/>
              <w:bottom w:val="single" w:color="auto" w:sz="2" w:space="0"/>
              <w:right w:val="single" w:color="auto" w:sz="2" w:space="0"/>
            </w:tcBorders>
            <w:vAlign w:val="center"/>
          </w:tcPr>
          <w:p w14:paraId="302A3064">
            <w:pPr>
              <w:spacing w:after="100" w:line="240" w:lineRule="exact"/>
              <w:jc w:val="right"/>
              <w:rPr>
                <w:rFonts w:ascii="宋体" w:hAnsi="宋体" w:eastAsia="宋体" w:cs="宋体"/>
                <w:sz w:val="18"/>
                <w:szCs w:val="18"/>
              </w:rPr>
            </w:pPr>
            <w:r>
              <w:rPr>
                <w:rFonts w:ascii="宋体" w:hAnsi="宋体" w:eastAsia="宋体" w:cs="宋体"/>
                <w:sz w:val="18"/>
                <w:szCs w:val="18"/>
              </w:rPr>
              <w:t>1,600,944.02</w:t>
            </w:r>
          </w:p>
        </w:tc>
      </w:tr>
      <w:tr w14:paraId="4C565F65">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CC3C19">
            <w:pPr>
              <w:spacing w:before="40" w:after="100" w:line="240" w:lineRule="exact"/>
              <w:rPr>
                <w:rFonts w:ascii="宋体" w:hAnsi="宋体" w:eastAsia="宋体" w:cs="宋体"/>
                <w:sz w:val="18"/>
                <w:szCs w:val="18"/>
              </w:rPr>
            </w:pPr>
            <w:r>
              <w:rPr>
                <w:rFonts w:ascii="宋体" w:hAnsi="宋体" w:eastAsia="宋体" w:cs="宋体"/>
                <w:sz w:val="18"/>
                <w:szCs w:val="18"/>
              </w:rPr>
              <w:t>二、离职后福利-设定提存计划</w:t>
            </w:r>
          </w:p>
        </w:tc>
        <w:tc>
          <w:tcPr>
            <w:tcW w:w="1928" w:type="dxa"/>
            <w:tcBorders>
              <w:top w:val="single" w:color="auto" w:sz="2" w:space="0"/>
              <w:left w:val="single" w:color="auto" w:sz="2" w:space="0"/>
              <w:bottom w:val="single" w:color="auto" w:sz="2" w:space="0"/>
              <w:right w:val="single" w:color="auto" w:sz="2" w:space="0"/>
            </w:tcBorders>
            <w:vAlign w:val="center"/>
          </w:tcPr>
          <w:p w14:paraId="2E2A79D4">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E907F53">
            <w:pPr>
              <w:spacing w:after="100" w:line="240" w:lineRule="exact"/>
              <w:jc w:val="right"/>
              <w:rPr>
                <w:rFonts w:ascii="宋体" w:hAnsi="宋体" w:eastAsia="宋体" w:cs="宋体"/>
                <w:sz w:val="18"/>
                <w:szCs w:val="18"/>
              </w:rPr>
            </w:pPr>
            <w:r>
              <w:rPr>
                <w:rFonts w:ascii="宋体" w:hAnsi="宋体" w:eastAsia="宋体" w:cs="宋体"/>
                <w:sz w:val="18"/>
                <w:szCs w:val="18"/>
              </w:rPr>
              <w:t>2,144,161.49</w:t>
            </w:r>
          </w:p>
        </w:tc>
        <w:tc>
          <w:tcPr>
            <w:tcW w:w="1928" w:type="dxa"/>
            <w:tcBorders>
              <w:top w:val="single" w:color="auto" w:sz="2" w:space="0"/>
              <w:left w:val="single" w:color="auto" w:sz="2" w:space="0"/>
              <w:bottom w:val="single" w:color="auto" w:sz="2" w:space="0"/>
              <w:right w:val="single" w:color="auto" w:sz="2" w:space="0"/>
            </w:tcBorders>
            <w:vAlign w:val="center"/>
          </w:tcPr>
          <w:p w14:paraId="78716DAA">
            <w:pPr>
              <w:spacing w:after="100" w:line="240" w:lineRule="exact"/>
              <w:jc w:val="right"/>
              <w:rPr>
                <w:rFonts w:ascii="宋体" w:hAnsi="宋体" w:eastAsia="宋体" w:cs="宋体"/>
                <w:sz w:val="18"/>
                <w:szCs w:val="18"/>
              </w:rPr>
            </w:pPr>
            <w:r>
              <w:rPr>
                <w:rFonts w:ascii="宋体" w:hAnsi="宋体" w:eastAsia="宋体" w:cs="宋体"/>
                <w:sz w:val="18"/>
                <w:szCs w:val="18"/>
              </w:rPr>
              <w:t>2,144,161.49</w:t>
            </w:r>
          </w:p>
        </w:tc>
        <w:tc>
          <w:tcPr>
            <w:tcW w:w="1928" w:type="dxa"/>
            <w:tcBorders>
              <w:top w:val="single" w:color="auto" w:sz="2" w:space="0"/>
              <w:left w:val="single" w:color="auto" w:sz="2" w:space="0"/>
              <w:bottom w:val="single" w:color="auto" w:sz="2" w:space="0"/>
              <w:right w:val="single" w:color="auto" w:sz="2" w:space="0"/>
            </w:tcBorders>
            <w:vAlign w:val="center"/>
          </w:tcPr>
          <w:p w14:paraId="3288FCC8">
            <w:pPr>
              <w:spacing w:after="100" w:line="240" w:lineRule="exact"/>
              <w:jc w:val="right"/>
              <w:rPr>
                <w:rFonts w:ascii="宋体" w:hAnsi="宋体" w:eastAsia="宋体" w:cs="宋体"/>
                <w:sz w:val="18"/>
                <w:szCs w:val="18"/>
              </w:rPr>
            </w:pPr>
          </w:p>
        </w:tc>
      </w:tr>
      <w:tr w14:paraId="5DFD74A6">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967E42">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0767847">
            <w:pPr>
              <w:spacing w:after="100" w:line="240" w:lineRule="exact"/>
              <w:jc w:val="right"/>
              <w:rPr>
                <w:rFonts w:ascii="宋体" w:hAnsi="宋体" w:eastAsia="宋体" w:cs="宋体"/>
                <w:sz w:val="18"/>
                <w:szCs w:val="18"/>
              </w:rPr>
            </w:pPr>
            <w:r>
              <w:rPr>
                <w:rFonts w:ascii="宋体" w:hAnsi="宋体" w:eastAsia="宋体" w:cs="宋体"/>
                <w:sz w:val="18"/>
                <w:szCs w:val="18"/>
              </w:rPr>
              <w:t>5,622,551.00</w:t>
            </w:r>
          </w:p>
        </w:tc>
        <w:tc>
          <w:tcPr>
            <w:tcW w:w="1928" w:type="dxa"/>
            <w:tcBorders>
              <w:top w:val="single" w:color="auto" w:sz="2" w:space="0"/>
              <w:left w:val="single" w:color="auto" w:sz="2" w:space="0"/>
              <w:bottom w:val="single" w:color="auto" w:sz="2" w:space="0"/>
              <w:right w:val="single" w:color="auto" w:sz="2" w:space="0"/>
            </w:tcBorders>
            <w:vAlign w:val="center"/>
          </w:tcPr>
          <w:p w14:paraId="4BF10E83">
            <w:pPr>
              <w:spacing w:after="100" w:line="240" w:lineRule="exact"/>
              <w:jc w:val="right"/>
              <w:rPr>
                <w:rFonts w:ascii="宋体" w:hAnsi="宋体" w:eastAsia="宋体" w:cs="宋体"/>
                <w:sz w:val="18"/>
                <w:szCs w:val="18"/>
              </w:rPr>
            </w:pPr>
            <w:r>
              <w:rPr>
                <w:rFonts w:ascii="宋体" w:hAnsi="宋体" w:eastAsia="宋体" w:cs="宋体"/>
                <w:sz w:val="18"/>
                <w:szCs w:val="18"/>
              </w:rPr>
              <w:t>21,477,003.13</w:t>
            </w:r>
          </w:p>
        </w:tc>
        <w:tc>
          <w:tcPr>
            <w:tcW w:w="1928" w:type="dxa"/>
            <w:tcBorders>
              <w:top w:val="single" w:color="auto" w:sz="2" w:space="0"/>
              <w:left w:val="single" w:color="auto" w:sz="2" w:space="0"/>
              <w:bottom w:val="single" w:color="auto" w:sz="2" w:space="0"/>
              <w:right w:val="single" w:color="auto" w:sz="2" w:space="0"/>
            </w:tcBorders>
            <w:vAlign w:val="center"/>
          </w:tcPr>
          <w:p w14:paraId="79C6A5CE">
            <w:pPr>
              <w:spacing w:after="100" w:line="240" w:lineRule="exact"/>
              <w:jc w:val="right"/>
              <w:rPr>
                <w:rFonts w:ascii="宋体" w:hAnsi="宋体" w:eastAsia="宋体" w:cs="宋体"/>
                <w:sz w:val="18"/>
                <w:szCs w:val="18"/>
              </w:rPr>
            </w:pPr>
            <w:r>
              <w:rPr>
                <w:rFonts w:ascii="宋体" w:hAnsi="宋体" w:eastAsia="宋体" w:cs="宋体"/>
                <w:sz w:val="18"/>
                <w:szCs w:val="18"/>
              </w:rPr>
              <w:t>25,498,610.11</w:t>
            </w:r>
          </w:p>
        </w:tc>
        <w:tc>
          <w:tcPr>
            <w:tcW w:w="1928" w:type="dxa"/>
            <w:tcBorders>
              <w:top w:val="single" w:color="auto" w:sz="2" w:space="0"/>
              <w:left w:val="single" w:color="auto" w:sz="2" w:space="0"/>
              <w:bottom w:val="single" w:color="auto" w:sz="2" w:space="0"/>
              <w:right w:val="single" w:color="auto" w:sz="2" w:space="0"/>
            </w:tcBorders>
            <w:vAlign w:val="center"/>
          </w:tcPr>
          <w:p w14:paraId="54D3D775">
            <w:pPr>
              <w:spacing w:after="100" w:line="240" w:lineRule="exact"/>
              <w:jc w:val="right"/>
              <w:rPr>
                <w:rFonts w:ascii="宋体" w:hAnsi="宋体" w:eastAsia="宋体" w:cs="宋体"/>
                <w:sz w:val="18"/>
                <w:szCs w:val="18"/>
              </w:rPr>
            </w:pPr>
            <w:r>
              <w:rPr>
                <w:rFonts w:ascii="宋体" w:hAnsi="宋体" w:eastAsia="宋体" w:cs="宋体"/>
                <w:sz w:val="18"/>
                <w:szCs w:val="18"/>
              </w:rPr>
              <w:t>1,600,944.02</w:t>
            </w:r>
          </w:p>
        </w:tc>
      </w:tr>
    </w:tbl>
    <w:p w14:paraId="5F70F9A4">
      <w:pPr>
        <w:keepNext/>
        <w:keepLines/>
        <w:spacing w:before="300" w:after="100" w:line="280" w:lineRule="exact"/>
        <w:outlineLvl w:val="3"/>
        <w:rPr>
          <w:rFonts w:ascii="宋体" w:hAnsi="宋体" w:eastAsia="宋体" w:cs="宋体"/>
          <w:b/>
          <w:bCs/>
          <w:szCs w:val="21"/>
        </w:rPr>
      </w:pPr>
      <w:bookmarkStart w:id="316" w:name="_Toc989205"/>
      <w:r>
        <w:rPr>
          <w:rFonts w:ascii="宋体" w:hAnsi="宋体" w:eastAsia="宋体" w:cs="宋体"/>
          <w:b/>
          <w:bCs/>
          <w:szCs w:val="21"/>
        </w:rPr>
        <w:t>（2） 短期薪酬列示</w:t>
      </w:r>
      <w:bookmarkEnd w:id="316"/>
    </w:p>
    <w:p w14:paraId="0C25F3A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7A458BFF">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0116C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D474B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8F4E54">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BCB412">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A55024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63844FC">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18C1E7">
            <w:pPr>
              <w:spacing w:before="40" w:after="40" w:line="240" w:lineRule="exact"/>
              <w:rPr>
                <w:rFonts w:ascii="宋体" w:hAnsi="宋体" w:eastAsia="宋体" w:cs="宋体"/>
                <w:sz w:val="18"/>
                <w:szCs w:val="18"/>
              </w:rPr>
            </w:pPr>
            <w:r>
              <w:rPr>
                <w:rFonts w:ascii="宋体" w:hAnsi="宋体" w:eastAsia="宋体" w:cs="宋体"/>
                <w:sz w:val="18"/>
                <w:szCs w:val="18"/>
              </w:rPr>
              <w:t>1、工资、奖金、津贴和补贴</w:t>
            </w:r>
          </w:p>
        </w:tc>
        <w:tc>
          <w:tcPr>
            <w:tcW w:w="1928" w:type="dxa"/>
            <w:tcBorders>
              <w:top w:val="single" w:color="auto" w:sz="2" w:space="0"/>
              <w:left w:val="single" w:color="auto" w:sz="2" w:space="0"/>
              <w:bottom w:val="single" w:color="auto" w:sz="2" w:space="0"/>
              <w:right w:val="single" w:color="auto" w:sz="2" w:space="0"/>
            </w:tcBorders>
            <w:vAlign w:val="center"/>
          </w:tcPr>
          <w:p w14:paraId="25D395F5">
            <w:pPr>
              <w:spacing w:line="240" w:lineRule="exact"/>
              <w:jc w:val="right"/>
              <w:rPr>
                <w:rFonts w:ascii="宋体" w:hAnsi="宋体" w:eastAsia="宋体" w:cs="宋体"/>
                <w:sz w:val="18"/>
                <w:szCs w:val="18"/>
              </w:rPr>
            </w:pPr>
            <w:r>
              <w:rPr>
                <w:rFonts w:ascii="宋体" w:hAnsi="宋体" w:eastAsia="宋体" w:cs="宋体"/>
                <w:sz w:val="18"/>
                <w:szCs w:val="18"/>
              </w:rPr>
              <w:t>5,446,284.65</w:t>
            </w:r>
          </w:p>
        </w:tc>
        <w:tc>
          <w:tcPr>
            <w:tcW w:w="1928" w:type="dxa"/>
            <w:tcBorders>
              <w:top w:val="single" w:color="auto" w:sz="2" w:space="0"/>
              <w:left w:val="single" w:color="auto" w:sz="2" w:space="0"/>
              <w:bottom w:val="single" w:color="auto" w:sz="2" w:space="0"/>
              <w:right w:val="single" w:color="auto" w:sz="2" w:space="0"/>
            </w:tcBorders>
            <w:vAlign w:val="center"/>
          </w:tcPr>
          <w:p w14:paraId="412CA614">
            <w:pPr>
              <w:spacing w:line="240" w:lineRule="exact"/>
              <w:jc w:val="right"/>
              <w:rPr>
                <w:rFonts w:ascii="宋体" w:hAnsi="宋体" w:eastAsia="宋体" w:cs="宋体"/>
                <w:sz w:val="18"/>
                <w:szCs w:val="18"/>
              </w:rPr>
            </w:pPr>
            <w:r>
              <w:rPr>
                <w:rFonts w:ascii="宋体" w:hAnsi="宋体" w:eastAsia="宋体" w:cs="宋体"/>
                <w:sz w:val="18"/>
                <w:szCs w:val="18"/>
              </w:rPr>
              <w:t>16,186,030.13</w:t>
            </w:r>
          </w:p>
        </w:tc>
        <w:tc>
          <w:tcPr>
            <w:tcW w:w="1928" w:type="dxa"/>
            <w:tcBorders>
              <w:top w:val="single" w:color="auto" w:sz="2" w:space="0"/>
              <w:left w:val="single" w:color="auto" w:sz="2" w:space="0"/>
              <w:bottom w:val="single" w:color="auto" w:sz="2" w:space="0"/>
              <w:right w:val="single" w:color="auto" w:sz="2" w:space="0"/>
            </w:tcBorders>
            <w:vAlign w:val="center"/>
          </w:tcPr>
          <w:p w14:paraId="68EC3171">
            <w:pPr>
              <w:spacing w:line="240" w:lineRule="exact"/>
              <w:jc w:val="right"/>
              <w:rPr>
                <w:rFonts w:ascii="宋体" w:hAnsi="宋体" w:eastAsia="宋体" w:cs="宋体"/>
                <w:sz w:val="18"/>
                <w:szCs w:val="18"/>
              </w:rPr>
            </w:pPr>
            <w:r>
              <w:rPr>
                <w:rFonts w:ascii="宋体" w:hAnsi="宋体" w:eastAsia="宋体" w:cs="宋体"/>
                <w:sz w:val="18"/>
                <w:szCs w:val="18"/>
              </w:rPr>
              <w:t>20,219,707.44</w:t>
            </w:r>
          </w:p>
        </w:tc>
        <w:tc>
          <w:tcPr>
            <w:tcW w:w="1928" w:type="dxa"/>
            <w:tcBorders>
              <w:top w:val="single" w:color="auto" w:sz="2" w:space="0"/>
              <w:left w:val="single" w:color="auto" w:sz="2" w:space="0"/>
              <w:bottom w:val="single" w:color="auto" w:sz="2" w:space="0"/>
              <w:right w:val="single" w:color="auto" w:sz="2" w:space="0"/>
            </w:tcBorders>
            <w:vAlign w:val="center"/>
          </w:tcPr>
          <w:p w14:paraId="4831B6A2">
            <w:pPr>
              <w:spacing w:line="240" w:lineRule="exact"/>
              <w:jc w:val="right"/>
              <w:rPr>
                <w:rFonts w:ascii="宋体" w:hAnsi="宋体" w:eastAsia="宋体" w:cs="宋体"/>
                <w:sz w:val="18"/>
                <w:szCs w:val="18"/>
              </w:rPr>
            </w:pPr>
            <w:r>
              <w:rPr>
                <w:rFonts w:ascii="宋体" w:hAnsi="宋体" w:eastAsia="宋体" w:cs="宋体"/>
                <w:sz w:val="18"/>
                <w:szCs w:val="18"/>
              </w:rPr>
              <w:t>1,412,607.34</w:t>
            </w:r>
          </w:p>
        </w:tc>
      </w:tr>
      <w:tr w14:paraId="2B0504A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BB531C">
            <w:pPr>
              <w:spacing w:before="40" w:after="40" w:line="240" w:lineRule="exact"/>
              <w:rPr>
                <w:rFonts w:ascii="宋体" w:hAnsi="宋体" w:eastAsia="宋体" w:cs="宋体"/>
                <w:sz w:val="18"/>
                <w:szCs w:val="18"/>
              </w:rPr>
            </w:pPr>
            <w:r>
              <w:rPr>
                <w:rFonts w:ascii="宋体" w:hAnsi="宋体" w:eastAsia="宋体" w:cs="宋体"/>
                <w:sz w:val="18"/>
                <w:szCs w:val="18"/>
              </w:rPr>
              <w:t>2、职工福利费</w:t>
            </w:r>
          </w:p>
        </w:tc>
        <w:tc>
          <w:tcPr>
            <w:tcW w:w="1928" w:type="dxa"/>
            <w:tcBorders>
              <w:top w:val="single" w:color="auto" w:sz="2" w:space="0"/>
              <w:left w:val="single" w:color="auto" w:sz="2" w:space="0"/>
              <w:bottom w:val="single" w:color="auto" w:sz="2" w:space="0"/>
              <w:right w:val="single" w:color="auto" w:sz="2" w:space="0"/>
            </w:tcBorders>
            <w:vAlign w:val="center"/>
          </w:tcPr>
          <w:p w14:paraId="587031A9">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32E0E16">
            <w:pPr>
              <w:spacing w:line="240" w:lineRule="exact"/>
              <w:jc w:val="right"/>
              <w:rPr>
                <w:rFonts w:ascii="宋体" w:hAnsi="宋体" w:eastAsia="宋体" w:cs="宋体"/>
                <w:sz w:val="18"/>
                <w:szCs w:val="18"/>
              </w:rPr>
            </w:pPr>
            <w:r>
              <w:rPr>
                <w:rFonts w:ascii="宋体" w:hAnsi="宋体" w:eastAsia="宋体" w:cs="宋体"/>
                <w:sz w:val="18"/>
                <w:szCs w:val="18"/>
              </w:rPr>
              <w:t>802,700.55</w:t>
            </w:r>
          </w:p>
        </w:tc>
        <w:tc>
          <w:tcPr>
            <w:tcW w:w="1928" w:type="dxa"/>
            <w:tcBorders>
              <w:top w:val="single" w:color="auto" w:sz="2" w:space="0"/>
              <w:left w:val="single" w:color="auto" w:sz="2" w:space="0"/>
              <w:bottom w:val="single" w:color="auto" w:sz="2" w:space="0"/>
              <w:right w:val="single" w:color="auto" w:sz="2" w:space="0"/>
            </w:tcBorders>
            <w:vAlign w:val="center"/>
          </w:tcPr>
          <w:p w14:paraId="78DF5F32">
            <w:pPr>
              <w:spacing w:line="240" w:lineRule="exact"/>
              <w:jc w:val="right"/>
              <w:rPr>
                <w:rFonts w:ascii="宋体" w:hAnsi="宋体" w:eastAsia="宋体" w:cs="宋体"/>
                <w:sz w:val="18"/>
                <w:szCs w:val="18"/>
              </w:rPr>
            </w:pPr>
            <w:r>
              <w:rPr>
                <w:rFonts w:ascii="宋体" w:hAnsi="宋体" w:eastAsia="宋体" w:cs="宋体"/>
                <w:sz w:val="18"/>
                <w:szCs w:val="18"/>
              </w:rPr>
              <w:t>762,428.61</w:t>
            </w:r>
          </w:p>
        </w:tc>
        <w:tc>
          <w:tcPr>
            <w:tcW w:w="1928" w:type="dxa"/>
            <w:tcBorders>
              <w:top w:val="single" w:color="auto" w:sz="2" w:space="0"/>
              <w:left w:val="single" w:color="auto" w:sz="2" w:space="0"/>
              <w:bottom w:val="single" w:color="auto" w:sz="2" w:space="0"/>
              <w:right w:val="single" w:color="auto" w:sz="2" w:space="0"/>
            </w:tcBorders>
            <w:vAlign w:val="center"/>
          </w:tcPr>
          <w:p w14:paraId="2C53EF03">
            <w:pPr>
              <w:spacing w:line="240" w:lineRule="exact"/>
              <w:jc w:val="right"/>
              <w:rPr>
                <w:rFonts w:ascii="宋体" w:hAnsi="宋体" w:eastAsia="宋体" w:cs="宋体"/>
                <w:sz w:val="18"/>
                <w:szCs w:val="18"/>
              </w:rPr>
            </w:pPr>
            <w:r>
              <w:rPr>
                <w:rFonts w:ascii="宋体" w:hAnsi="宋体" w:eastAsia="宋体" w:cs="宋体"/>
                <w:sz w:val="18"/>
                <w:szCs w:val="18"/>
              </w:rPr>
              <w:t>40,271.94</w:t>
            </w:r>
          </w:p>
        </w:tc>
      </w:tr>
      <w:tr w14:paraId="49B59E7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A906E34">
            <w:pPr>
              <w:spacing w:before="40" w:after="40" w:line="240" w:lineRule="exact"/>
              <w:rPr>
                <w:rFonts w:ascii="宋体" w:hAnsi="宋体" w:eastAsia="宋体" w:cs="宋体"/>
                <w:sz w:val="18"/>
                <w:szCs w:val="18"/>
              </w:rPr>
            </w:pPr>
            <w:r>
              <w:rPr>
                <w:rFonts w:ascii="宋体" w:hAnsi="宋体" w:eastAsia="宋体" w:cs="宋体"/>
                <w:sz w:val="18"/>
                <w:szCs w:val="18"/>
              </w:rPr>
              <w:t>3、社会保险费</w:t>
            </w:r>
          </w:p>
        </w:tc>
        <w:tc>
          <w:tcPr>
            <w:tcW w:w="1928" w:type="dxa"/>
            <w:tcBorders>
              <w:top w:val="single" w:color="auto" w:sz="2" w:space="0"/>
              <w:left w:val="single" w:color="auto" w:sz="2" w:space="0"/>
              <w:bottom w:val="single" w:color="auto" w:sz="2" w:space="0"/>
              <w:right w:val="single" w:color="auto" w:sz="2" w:space="0"/>
            </w:tcBorders>
            <w:vAlign w:val="center"/>
          </w:tcPr>
          <w:p w14:paraId="11E0C48B">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6E0C183">
            <w:pPr>
              <w:spacing w:line="240" w:lineRule="exact"/>
              <w:jc w:val="right"/>
              <w:rPr>
                <w:rFonts w:ascii="宋体" w:hAnsi="宋体" w:eastAsia="宋体" w:cs="宋体"/>
                <w:sz w:val="18"/>
                <w:szCs w:val="18"/>
              </w:rPr>
            </w:pPr>
            <w:r>
              <w:rPr>
                <w:rFonts w:ascii="宋体" w:hAnsi="宋体" w:eastAsia="宋体" w:cs="宋体"/>
                <w:sz w:val="18"/>
                <w:szCs w:val="18"/>
              </w:rPr>
              <w:t>1,016,244.32</w:t>
            </w:r>
          </w:p>
        </w:tc>
        <w:tc>
          <w:tcPr>
            <w:tcW w:w="1928" w:type="dxa"/>
            <w:tcBorders>
              <w:top w:val="single" w:color="auto" w:sz="2" w:space="0"/>
              <w:left w:val="single" w:color="auto" w:sz="2" w:space="0"/>
              <w:bottom w:val="single" w:color="auto" w:sz="2" w:space="0"/>
              <w:right w:val="single" w:color="auto" w:sz="2" w:space="0"/>
            </w:tcBorders>
            <w:vAlign w:val="center"/>
          </w:tcPr>
          <w:p w14:paraId="276CC790">
            <w:pPr>
              <w:spacing w:line="240" w:lineRule="exact"/>
              <w:jc w:val="right"/>
              <w:rPr>
                <w:rFonts w:ascii="宋体" w:hAnsi="宋体" w:eastAsia="宋体" w:cs="宋体"/>
                <w:sz w:val="18"/>
                <w:szCs w:val="18"/>
              </w:rPr>
            </w:pPr>
            <w:r>
              <w:rPr>
                <w:rFonts w:ascii="宋体" w:hAnsi="宋体" w:eastAsia="宋体" w:cs="宋体"/>
                <w:sz w:val="18"/>
                <w:szCs w:val="18"/>
              </w:rPr>
              <w:t>1,016,244.32</w:t>
            </w:r>
          </w:p>
        </w:tc>
        <w:tc>
          <w:tcPr>
            <w:tcW w:w="1928" w:type="dxa"/>
            <w:tcBorders>
              <w:top w:val="single" w:color="auto" w:sz="2" w:space="0"/>
              <w:left w:val="single" w:color="auto" w:sz="2" w:space="0"/>
              <w:bottom w:val="single" w:color="auto" w:sz="2" w:space="0"/>
              <w:right w:val="single" w:color="auto" w:sz="2" w:space="0"/>
            </w:tcBorders>
            <w:vAlign w:val="center"/>
          </w:tcPr>
          <w:p w14:paraId="1330944A">
            <w:pPr>
              <w:spacing w:line="240" w:lineRule="exact"/>
              <w:jc w:val="right"/>
              <w:rPr>
                <w:rFonts w:ascii="宋体" w:hAnsi="宋体" w:eastAsia="宋体" w:cs="宋体"/>
                <w:sz w:val="18"/>
                <w:szCs w:val="18"/>
              </w:rPr>
            </w:pPr>
          </w:p>
        </w:tc>
      </w:tr>
      <w:tr w14:paraId="0672107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8D354A">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其中：医疗保险费</w:t>
            </w:r>
          </w:p>
        </w:tc>
        <w:tc>
          <w:tcPr>
            <w:tcW w:w="1928" w:type="dxa"/>
            <w:tcBorders>
              <w:top w:val="single" w:color="auto" w:sz="2" w:space="0"/>
              <w:left w:val="single" w:color="auto" w:sz="2" w:space="0"/>
              <w:bottom w:val="single" w:color="auto" w:sz="2" w:space="0"/>
              <w:right w:val="single" w:color="auto" w:sz="2" w:space="0"/>
            </w:tcBorders>
            <w:vAlign w:val="center"/>
          </w:tcPr>
          <w:p w14:paraId="5F422D99">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8DC3EFF">
            <w:pPr>
              <w:spacing w:line="240" w:lineRule="exact"/>
              <w:jc w:val="right"/>
              <w:rPr>
                <w:rFonts w:ascii="宋体" w:hAnsi="宋体" w:eastAsia="宋体" w:cs="宋体"/>
                <w:sz w:val="18"/>
                <w:szCs w:val="18"/>
              </w:rPr>
            </w:pPr>
            <w:r>
              <w:rPr>
                <w:rFonts w:ascii="宋体" w:hAnsi="宋体" w:eastAsia="宋体" w:cs="宋体"/>
                <w:sz w:val="18"/>
                <w:szCs w:val="18"/>
              </w:rPr>
              <w:t>936,524.99</w:t>
            </w:r>
          </w:p>
        </w:tc>
        <w:tc>
          <w:tcPr>
            <w:tcW w:w="1928" w:type="dxa"/>
            <w:tcBorders>
              <w:top w:val="single" w:color="auto" w:sz="2" w:space="0"/>
              <w:left w:val="single" w:color="auto" w:sz="2" w:space="0"/>
              <w:bottom w:val="single" w:color="auto" w:sz="2" w:space="0"/>
              <w:right w:val="single" w:color="auto" w:sz="2" w:space="0"/>
            </w:tcBorders>
            <w:vAlign w:val="center"/>
          </w:tcPr>
          <w:p w14:paraId="04696C25">
            <w:pPr>
              <w:spacing w:line="240" w:lineRule="exact"/>
              <w:jc w:val="right"/>
              <w:rPr>
                <w:rFonts w:ascii="宋体" w:hAnsi="宋体" w:eastAsia="宋体" w:cs="宋体"/>
                <w:sz w:val="18"/>
                <w:szCs w:val="18"/>
              </w:rPr>
            </w:pPr>
            <w:r>
              <w:rPr>
                <w:rFonts w:ascii="宋体" w:hAnsi="宋体" w:eastAsia="宋体" w:cs="宋体"/>
                <w:sz w:val="18"/>
                <w:szCs w:val="18"/>
              </w:rPr>
              <w:t>936,524.99</w:t>
            </w:r>
          </w:p>
        </w:tc>
        <w:tc>
          <w:tcPr>
            <w:tcW w:w="1928" w:type="dxa"/>
            <w:tcBorders>
              <w:top w:val="single" w:color="auto" w:sz="2" w:space="0"/>
              <w:left w:val="single" w:color="auto" w:sz="2" w:space="0"/>
              <w:bottom w:val="single" w:color="auto" w:sz="2" w:space="0"/>
              <w:right w:val="single" w:color="auto" w:sz="2" w:space="0"/>
            </w:tcBorders>
            <w:vAlign w:val="center"/>
          </w:tcPr>
          <w:p w14:paraId="5B66810F">
            <w:pPr>
              <w:spacing w:line="240" w:lineRule="exact"/>
              <w:jc w:val="right"/>
              <w:rPr>
                <w:rFonts w:ascii="宋体" w:hAnsi="宋体" w:eastAsia="宋体" w:cs="宋体"/>
                <w:sz w:val="18"/>
                <w:szCs w:val="18"/>
              </w:rPr>
            </w:pPr>
          </w:p>
        </w:tc>
      </w:tr>
      <w:tr w14:paraId="1CCC2B6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ED796B">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工伤保险费</w:t>
            </w:r>
          </w:p>
        </w:tc>
        <w:tc>
          <w:tcPr>
            <w:tcW w:w="1928" w:type="dxa"/>
            <w:tcBorders>
              <w:top w:val="single" w:color="auto" w:sz="2" w:space="0"/>
              <w:left w:val="single" w:color="auto" w:sz="2" w:space="0"/>
              <w:bottom w:val="single" w:color="auto" w:sz="2" w:space="0"/>
              <w:right w:val="single" w:color="auto" w:sz="2" w:space="0"/>
            </w:tcBorders>
            <w:vAlign w:val="center"/>
          </w:tcPr>
          <w:p w14:paraId="1157EAD2">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4D831CF">
            <w:pPr>
              <w:spacing w:line="240" w:lineRule="exact"/>
              <w:jc w:val="right"/>
              <w:rPr>
                <w:rFonts w:ascii="宋体" w:hAnsi="宋体" w:eastAsia="宋体" w:cs="宋体"/>
                <w:sz w:val="18"/>
                <w:szCs w:val="18"/>
              </w:rPr>
            </w:pPr>
            <w:r>
              <w:rPr>
                <w:rFonts w:ascii="宋体" w:hAnsi="宋体" w:eastAsia="宋体" w:cs="宋体"/>
                <w:sz w:val="18"/>
                <w:szCs w:val="18"/>
              </w:rPr>
              <w:t>22,370.02</w:t>
            </w:r>
          </w:p>
        </w:tc>
        <w:tc>
          <w:tcPr>
            <w:tcW w:w="1928" w:type="dxa"/>
            <w:tcBorders>
              <w:top w:val="single" w:color="auto" w:sz="2" w:space="0"/>
              <w:left w:val="single" w:color="auto" w:sz="2" w:space="0"/>
              <w:bottom w:val="single" w:color="auto" w:sz="2" w:space="0"/>
              <w:right w:val="single" w:color="auto" w:sz="2" w:space="0"/>
            </w:tcBorders>
            <w:vAlign w:val="center"/>
          </w:tcPr>
          <w:p w14:paraId="24FBC2E5">
            <w:pPr>
              <w:spacing w:line="240" w:lineRule="exact"/>
              <w:jc w:val="right"/>
              <w:rPr>
                <w:rFonts w:ascii="宋体" w:hAnsi="宋体" w:eastAsia="宋体" w:cs="宋体"/>
                <w:sz w:val="18"/>
                <w:szCs w:val="18"/>
              </w:rPr>
            </w:pPr>
            <w:r>
              <w:rPr>
                <w:rFonts w:ascii="宋体" w:hAnsi="宋体" w:eastAsia="宋体" w:cs="宋体"/>
                <w:sz w:val="18"/>
                <w:szCs w:val="18"/>
              </w:rPr>
              <w:t>22,370.02</w:t>
            </w:r>
          </w:p>
        </w:tc>
        <w:tc>
          <w:tcPr>
            <w:tcW w:w="1928" w:type="dxa"/>
            <w:tcBorders>
              <w:top w:val="single" w:color="auto" w:sz="2" w:space="0"/>
              <w:left w:val="single" w:color="auto" w:sz="2" w:space="0"/>
              <w:bottom w:val="single" w:color="auto" w:sz="2" w:space="0"/>
              <w:right w:val="single" w:color="auto" w:sz="2" w:space="0"/>
            </w:tcBorders>
            <w:vAlign w:val="center"/>
          </w:tcPr>
          <w:p w14:paraId="697085DC">
            <w:pPr>
              <w:spacing w:line="240" w:lineRule="exact"/>
              <w:jc w:val="right"/>
              <w:rPr>
                <w:rFonts w:ascii="宋体" w:hAnsi="宋体" w:eastAsia="宋体" w:cs="宋体"/>
                <w:sz w:val="18"/>
                <w:szCs w:val="18"/>
              </w:rPr>
            </w:pPr>
          </w:p>
        </w:tc>
      </w:tr>
      <w:tr w14:paraId="03E898F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FA8F5A3">
            <w:pPr>
              <w:spacing w:before="40" w:after="40" w:line="240" w:lineRule="exact"/>
              <w:ind w:firstLine="900" w:firstLineChars="500"/>
              <w:rPr>
                <w:rFonts w:ascii="宋体" w:hAnsi="宋体" w:eastAsia="宋体" w:cs="宋体"/>
                <w:sz w:val="18"/>
                <w:szCs w:val="18"/>
              </w:rPr>
            </w:pPr>
            <w:r>
              <w:rPr>
                <w:rFonts w:ascii="宋体" w:hAnsi="宋体" w:eastAsia="宋体" w:cs="宋体"/>
                <w:sz w:val="18"/>
                <w:szCs w:val="18"/>
              </w:rPr>
              <w:t>生育保险费</w:t>
            </w:r>
          </w:p>
        </w:tc>
        <w:tc>
          <w:tcPr>
            <w:tcW w:w="1928" w:type="dxa"/>
            <w:tcBorders>
              <w:top w:val="single" w:color="auto" w:sz="2" w:space="0"/>
              <w:left w:val="single" w:color="auto" w:sz="2" w:space="0"/>
              <w:bottom w:val="single" w:color="auto" w:sz="2" w:space="0"/>
              <w:right w:val="single" w:color="auto" w:sz="2" w:space="0"/>
            </w:tcBorders>
            <w:vAlign w:val="center"/>
          </w:tcPr>
          <w:p w14:paraId="6FE46067">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75348BB">
            <w:pPr>
              <w:spacing w:line="240" w:lineRule="exact"/>
              <w:jc w:val="right"/>
              <w:rPr>
                <w:rFonts w:ascii="宋体" w:hAnsi="宋体" w:eastAsia="宋体" w:cs="宋体"/>
                <w:sz w:val="18"/>
                <w:szCs w:val="18"/>
              </w:rPr>
            </w:pPr>
            <w:r>
              <w:rPr>
                <w:rFonts w:ascii="宋体" w:hAnsi="宋体" w:eastAsia="宋体" w:cs="宋体"/>
                <w:sz w:val="18"/>
                <w:szCs w:val="18"/>
              </w:rPr>
              <w:t>57,349.31</w:t>
            </w:r>
          </w:p>
        </w:tc>
        <w:tc>
          <w:tcPr>
            <w:tcW w:w="1928" w:type="dxa"/>
            <w:tcBorders>
              <w:top w:val="single" w:color="auto" w:sz="2" w:space="0"/>
              <w:left w:val="single" w:color="auto" w:sz="2" w:space="0"/>
              <w:bottom w:val="single" w:color="auto" w:sz="2" w:space="0"/>
              <w:right w:val="single" w:color="auto" w:sz="2" w:space="0"/>
            </w:tcBorders>
            <w:vAlign w:val="center"/>
          </w:tcPr>
          <w:p w14:paraId="4119E468">
            <w:pPr>
              <w:spacing w:line="240" w:lineRule="exact"/>
              <w:jc w:val="right"/>
              <w:rPr>
                <w:rFonts w:ascii="宋体" w:hAnsi="宋体" w:eastAsia="宋体" w:cs="宋体"/>
                <w:sz w:val="18"/>
                <w:szCs w:val="18"/>
              </w:rPr>
            </w:pPr>
            <w:r>
              <w:rPr>
                <w:rFonts w:ascii="宋体" w:hAnsi="宋体" w:eastAsia="宋体" w:cs="宋体"/>
                <w:sz w:val="18"/>
                <w:szCs w:val="18"/>
              </w:rPr>
              <w:t>57,349.31</w:t>
            </w:r>
          </w:p>
        </w:tc>
        <w:tc>
          <w:tcPr>
            <w:tcW w:w="1928" w:type="dxa"/>
            <w:tcBorders>
              <w:top w:val="single" w:color="auto" w:sz="2" w:space="0"/>
              <w:left w:val="single" w:color="auto" w:sz="2" w:space="0"/>
              <w:bottom w:val="single" w:color="auto" w:sz="2" w:space="0"/>
              <w:right w:val="single" w:color="auto" w:sz="2" w:space="0"/>
            </w:tcBorders>
            <w:vAlign w:val="center"/>
          </w:tcPr>
          <w:p w14:paraId="195C45A5">
            <w:pPr>
              <w:spacing w:line="240" w:lineRule="exact"/>
              <w:jc w:val="right"/>
              <w:rPr>
                <w:rFonts w:ascii="宋体" w:hAnsi="宋体" w:eastAsia="宋体" w:cs="宋体"/>
                <w:sz w:val="18"/>
                <w:szCs w:val="18"/>
              </w:rPr>
            </w:pPr>
          </w:p>
        </w:tc>
      </w:tr>
      <w:tr w14:paraId="7513DB2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4032C4">
            <w:pPr>
              <w:spacing w:before="40" w:after="40" w:line="240" w:lineRule="exact"/>
              <w:rPr>
                <w:rFonts w:ascii="宋体" w:hAnsi="宋体" w:eastAsia="宋体" w:cs="宋体"/>
                <w:sz w:val="18"/>
                <w:szCs w:val="18"/>
              </w:rPr>
            </w:pPr>
            <w:r>
              <w:rPr>
                <w:rFonts w:ascii="宋体" w:hAnsi="宋体" w:eastAsia="宋体" w:cs="宋体"/>
                <w:sz w:val="18"/>
                <w:szCs w:val="18"/>
              </w:rPr>
              <w:t>4、住房公积金</w:t>
            </w:r>
          </w:p>
        </w:tc>
        <w:tc>
          <w:tcPr>
            <w:tcW w:w="1928" w:type="dxa"/>
            <w:tcBorders>
              <w:top w:val="single" w:color="auto" w:sz="2" w:space="0"/>
              <w:left w:val="single" w:color="auto" w:sz="2" w:space="0"/>
              <w:bottom w:val="single" w:color="auto" w:sz="2" w:space="0"/>
              <w:right w:val="single" w:color="auto" w:sz="2" w:space="0"/>
            </w:tcBorders>
            <w:vAlign w:val="center"/>
          </w:tcPr>
          <w:p w14:paraId="72E83B2D">
            <w:pPr>
              <w:spacing w:line="240" w:lineRule="exact"/>
              <w:jc w:val="right"/>
              <w:rPr>
                <w:rFonts w:ascii="宋体" w:hAnsi="宋体" w:eastAsia="宋体" w:cs="宋体"/>
                <w:sz w:val="18"/>
                <w:szCs w:val="18"/>
              </w:rPr>
            </w:pPr>
            <w:r>
              <w:rPr>
                <w:rFonts w:ascii="宋体" w:hAnsi="宋体" w:eastAsia="宋体" w:cs="宋体"/>
                <w:sz w:val="18"/>
                <w:szCs w:val="18"/>
              </w:rPr>
              <w:t>100,626.35</w:t>
            </w:r>
          </w:p>
        </w:tc>
        <w:tc>
          <w:tcPr>
            <w:tcW w:w="1928" w:type="dxa"/>
            <w:tcBorders>
              <w:top w:val="single" w:color="auto" w:sz="2" w:space="0"/>
              <w:left w:val="single" w:color="auto" w:sz="2" w:space="0"/>
              <w:bottom w:val="single" w:color="auto" w:sz="2" w:space="0"/>
              <w:right w:val="single" w:color="auto" w:sz="2" w:space="0"/>
            </w:tcBorders>
            <w:vAlign w:val="center"/>
          </w:tcPr>
          <w:p w14:paraId="52333378">
            <w:pPr>
              <w:spacing w:line="240" w:lineRule="exact"/>
              <w:jc w:val="right"/>
              <w:rPr>
                <w:rFonts w:ascii="宋体" w:hAnsi="宋体" w:eastAsia="宋体" w:cs="宋体"/>
                <w:sz w:val="18"/>
                <w:szCs w:val="18"/>
              </w:rPr>
            </w:pPr>
            <w:r>
              <w:rPr>
                <w:rFonts w:ascii="宋体" w:hAnsi="宋体" w:eastAsia="宋体" w:cs="宋体"/>
                <w:sz w:val="18"/>
                <w:szCs w:val="18"/>
              </w:rPr>
              <w:t>1,226,847.00</w:t>
            </w:r>
          </w:p>
        </w:tc>
        <w:tc>
          <w:tcPr>
            <w:tcW w:w="1928" w:type="dxa"/>
            <w:tcBorders>
              <w:top w:val="single" w:color="auto" w:sz="2" w:space="0"/>
              <w:left w:val="single" w:color="auto" w:sz="2" w:space="0"/>
              <w:bottom w:val="single" w:color="auto" w:sz="2" w:space="0"/>
              <w:right w:val="single" w:color="auto" w:sz="2" w:space="0"/>
            </w:tcBorders>
            <w:vAlign w:val="center"/>
          </w:tcPr>
          <w:p w14:paraId="114A61D5">
            <w:pPr>
              <w:spacing w:line="240" w:lineRule="exact"/>
              <w:jc w:val="right"/>
              <w:rPr>
                <w:rFonts w:ascii="宋体" w:hAnsi="宋体" w:eastAsia="宋体" w:cs="宋体"/>
                <w:sz w:val="18"/>
                <w:szCs w:val="18"/>
              </w:rPr>
            </w:pPr>
            <w:r>
              <w:rPr>
                <w:rFonts w:ascii="宋体" w:hAnsi="宋体" w:eastAsia="宋体" w:cs="宋体"/>
                <w:sz w:val="18"/>
                <w:szCs w:val="18"/>
              </w:rPr>
              <w:t>1,226,847.00</w:t>
            </w:r>
          </w:p>
        </w:tc>
        <w:tc>
          <w:tcPr>
            <w:tcW w:w="1928" w:type="dxa"/>
            <w:tcBorders>
              <w:top w:val="single" w:color="auto" w:sz="2" w:space="0"/>
              <w:left w:val="single" w:color="auto" w:sz="2" w:space="0"/>
              <w:bottom w:val="single" w:color="auto" w:sz="2" w:space="0"/>
              <w:right w:val="single" w:color="auto" w:sz="2" w:space="0"/>
            </w:tcBorders>
            <w:vAlign w:val="center"/>
          </w:tcPr>
          <w:p w14:paraId="6D97D6AF">
            <w:pPr>
              <w:spacing w:line="240" w:lineRule="exact"/>
              <w:jc w:val="right"/>
              <w:rPr>
                <w:rFonts w:ascii="宋体" w:hAnsi="宋体" w:eastAsia="宋体" w:cs="宋体"/>
                <w:sz w:val="18"/>
                <w:szCs w:val="18"/>
              </w:rPr>
            </w:pPr>
            <w:r>
              <w:rPr>
                <w:rFonts w:ascii="宋体" w:hAnsi="宋体" w:eastAsia="宋体" w:cs="宋体"/>
                <w:sz w:val="18"/>
                <w:szCs w:val="18"/>
              </w:rPr>
              <w:t>100,626.35</w:t>
            </w:r>
          </w:p>
        </w:tc>
      </w:tr>
      <w:tr w14:paraId="488B49F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CB5072">
            <w:pPr>
              <w:spacing w:before="40" w:after="40" w:line="240" w:lineRule="exact"/>
              <w:rPr>
                <w:rFonts w:ascii="宋体" w:hAnsi="宋体" w:eastAsia="宋体" w:cs="宋体"/>
                <w:sz w:val="18"/>
                <w:szCs w:val="18"/>
              </w:rPr>
            </w:pPr>
            <w:r>
              <w:rPr>
                <w:rFonts w:ascii="宋体" w:hAnsi="宋体" w:eastAsia="宋体" w:cs="宋体"/>
                <w:sz w:val="18"/>
                <w:szCs w:val="18"/>
              </w:rPr>
              <w:t>5、工会经费和职工教育经费</w:t>
            </w:r>
          </w:p>
        </w:tc>
        <w:tc>
          <w:tcPr>
            <w:tcW w:w="1928" w:type="dxa"/>
            <w:tcBorders>
              <w:top w:val="single" w:color="auto" w:sz="2" w:space="0"/>
              <w:left w:val="single" w:color="auto" w:sz="2" w:space="0"/>
              <w:bottom w:val="single" w:color="auto" w:sz="2" w:space="0"/>
              <w:right w:val="single" w:color="auto" w:sz="2" w:space="0"/>
            </w:tcBorders>
            <w:vAlign w:val="center"/>
          </w:tcPr>
          <w:p w14:paraId="33D9E0D5">
            <w:pPr>
              <w:spacing w:line="240" w:lineRule="exact"/>
              <w:jc w:val="right"/>
              <w:rPr>
                <w:rFonts w:ascii="宋体" w:hAnsi="宋体" w:eastAsia="宋体" w:cs="宋体"/>
                <w:sz w:val="18"/>
                <w:szCs w:val="18"/>
              </w:rPr>
            </w:pPr>
            <w:r>
              <w:rPr>
                <w:rFonts w:ascii="宋体" w:hAnsi="宋体" w:eastAsia="宋体" w:cs="宋体"/>
                <w:sz w:val="18"/>
                <w:szCs w:val="18"/>
              </w:rPr>
              <w:t>75,640.00</w:t>
            </w:r>
          </w:p>
        </w:tc>
        <w:tc>
          <w:tcPr>
            <w:tcW w:w="1928" w:type="dxa"/>
            <w:tcBorders>
              <w:top w:val="single" w:color="auto" w:sz="2" w:space="0"/>
              <w:left w:val="single" w:color="auto" w:sz="2" w:space="0"/>
              <w:bottom w:val="single" w:color="auto" w:sz="2" w:space="0"/>
              <w:right w:val="single" w:color="auto" w:sz="2" w:space="0"/>
            </w:tcBorders>
            <w:vAlign w:val="center"/>
          </w:tcPr>
          <w:p w14:paraId="489326CB">
            <w:pPr>
              <w:spacing w:line="240" w:lineRule="exact"/>
              <w:jc w:val="right"/>
              <w:rPr>
                <w:rFonts w:ascii="宋体" w:hAnsi="宋体" w:eastAsia="宋体" w:cs="宋体"/>
                <w:sz w:val="18"/>
                <w:szCs w:val="18"/>
              </w:rPr>
            </w:pPr>
            <w:r>
              <w:rPr>
                <w:rFonts w:ascii="宋体" w:hAnsi="宋体" w:eastAsia="宋体" w:cs="宋体"/>
                <w:sz w:val="18"/>
                <w:szCs w:val="18"/>
              </w:rPr>
              <w:t>101,019.64</w:t>
            </w:r>
          </w:p>
        </w:tc>
        <w:tc>
          <w:tcPr>
            <w:tcW w:w="1928" w:type="dxa"/>
            <w:tcBorders>
              <w:top w:val="single" w:color="auto" w:sz="2" w:space="0"/>
              <w:left w:val="single" w:color="auto" w:sz="2" w:space="0"/>
              <w:bottom w:val="single" w:color="auto" w:sz="2" w:space="0"/>
              <w:right w:val="single" w:color="auto" w:sz="2" w:space="0"/>
            </w:tcBorders>
            <w:vAlign w:val="center"/>
          </w:tcPr>
          <w:p w14:paraId="5044044D">
            <w:pPr>
              <w:spacing w:line="240" w:lineRule="exact"/>
              <w:jc w:val="right"/>
              <w:rPr>
                <w:rFonts w:ascii="宋体" w:hAnsi="宋体" w:eastAsia="宋体" w:cs="宋体"/>
                <w:sz w:val="18"/>
                <w:szCs w:val="18"/>
              </w:rPr>
            </w:pPr>
            <w:r>
              <w:rPr>
                <w:rFonts w:ascii="宋体" w:hAnsi="宋体" w:eastAsia="宋体" w:cs="宋体"/>
                <w:sz w:val="18"/>
                <w:szCs w:val="18"/>
              </w:rPr>
              <w:t>129,221.25</w:t>
            </w:r>
          </w:p>
        </w:tc>
        <w:tc>
          <w:tcPr>
            <w:tcW w:w="1928" w:type="dxa"/>
            <w:tcBorders>
              <w:top w:val="single" w:color="auto" w:sz="2" w:space="0"/>
              <w:left w:val="single" w:color="auto" w:sz="2" w:space="0"/>
              <w:bottom w:val="single" w:color="auto" w:sz="2" w:space="0"/>
              <w:right w:val="single" w:color="auto" w:sz="2" w:space="0"/>
            </w:tcBorders>
            <w:vAlign w:val="center"/>
          </w:tcPr>
          <w:p w14:paraId="5C65CD8C">
            <w:pPr>
              <w:spacing w:line="240" w:lineRule="exact"/>
              <w:jc w:val="right"/>
              <w:rPr>
                <w:rFonts w:ascii="宋体" w:hAnsi="宋体" w:eastAsia="宋体" w:cs="宋体"/>
                <w:sz w:val="18"/>
                <w:szCs w:val="18"/>
              </w:rPr>
            </w:pPr>
            <w:r>
              <w:rPr>
                <w:rFonts w:ascii="宋体" w:hAnsi="宋体" w:eastAsia="宋体" w:cs="宋体"/>
                <w:sz w:val="18"/>
                <w:szCs w:val="18"/>
              </w:rPr>
              <w:t>47,438.39</w:t>
            </w:r>
          </w:p>
        </w:tc>
      </w:tr>
      <w:tr w14:paraId="6880870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A0E42B">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115E06E3">
            <w:pPr>
              <w:spacing w:line="240" w:lineRule="exact"/>
              <w:jc w:val="right"/>
              <w:rPr>
                <w:rFonts w:ascii="宋体" w:hAnsi="宋体" w:eastAsia="宋体" w:cs="宋体"/>
                <w:sz w:val="18"/>
                <w:szCs w:val="18"/>
              </w:rPr>
            </w:pPr>
            <w:r>
              <w:rPr>
                <w:rFonts w:ascii="宋体" w:hAnsi="宋体" w:eastAsia="宋体" w:cs="宋体"/>
                <w:sz w:val="18"/>
                <w:szCs w:val="18"/>
              </w:rPr>
              <w:t>5,622,551.00</w:t>
            </w:r>
          </w:p>
        </w:tc>
        <w:tc>
          <w:tcPr>
            <w:tcW w:w="1928" w:type="dxa"/>
            <w:tcBorders>
              <w:top w:val="single" w:color="auto" w:sz="2" w:space="0"/>
              <w:left w:val="single" w:color="auto" w:sz="2" w:space="0"/>
              <w:bottom w:val="single" w:color="auto" w:sz="2" w:space="0"/>
              <w:right w:val="single" w:color="auto" w:sz="2" w:space="0"/>
            </w:tcBorders>
            <w:vAlign w:val="center"/>
          </w:tcPr>
          <w:p w14:paraId="5F3AEDF5">
            <w:pPr>
              <w:spacing w:line="240" w:lineRule="exact"/>
              <w:jc w:val="right"/>
              <w:rPr>
                <w:rFonts w:ascii="宋体" w:hAnsi="宋体" w:eastAsia="宋体" w:cs="宋体"/>
                <w:sz w:val="18"/>
                <w:szCs w:val="18"/>
              </w:rPr>
            </w:pPr>
            <w:r>
              <w:rPr>
                <w:rFonts w:ascii="宋体" w:hAnsi="宋体" w:eastAsia="宋体" w:cs="宋体"/>
                <w:sz w:val="18"/>
                <w:szCs w:val="18"/>
              </w:rPr>
              <w:t>19,332,841.64</w:t>
            </w:r>
          </w:p>
        </w:tc>
        <w:tc>
          <w:tcPr>
            <w:tcW w:w="1928" w:type="dxa"/>
            <w:tcBorders>
              <w:top w:val="single" w:color="auto" w:sz="2" w:space="0"/>
              <w:left w:val="single" w:color="auto" w:sz="2" w:space="0"/>
              <w:bottom w:val="single" w:color="auto" w:sz="2" w:space="0"/>
              <w:right w:val="single" w:color="auto" w:sz="2" w:space="0"/>
            </w:tcBorders>
            <w:vAlign w:val="center"/>
          </w:tcPr>
          <w:p w14:paraId="72C7B262">
            <w:pPr>
              <w:spacing w:line="240" w:lineRule="exact"/>
              <w:jc w:val="right"/>
              <w:rPr>
                <w:rFonts w:ascii="宋体" w:hAnsi="宋体" w:eastAsia="宋体" w:cs="宋体"/>
                <w:sz w:val="18"/>
                <w:szCs w:val="18"/>
              </w:rPr>
            </w:pPr>
            <w:r>
              <w:rPr>
                <w:rFonts w:ascii="宋体" w:hAnsi="宋体" w:eastAsia="宋体" w:cs="宋体"/>
                <w:sz w:val="18"/>
                <w:szCs w:val="18"/>
              </w:rPr>
              <w:t>23,354,448.62</w:t>
            </w:r>
          </w:p>
        </w:tc>
        <w:tc>
          <w:tcPr>
            <w:tcW w:w="1928" w:type="dxa"/>
            <w:tcBorders>
              <w:top w:val="single" w:color="auto" w:sz="2" w:space="0"/>
              <w:left w:val="single" w:color="auto" w:sz="2" w:space="0"/>
              <w:bottom w:val="single" w:color="auto" w:sz="2" w:space="0"/>
              <w:right w:val="single" w:color="auto" w:sz="2" w:space="0"/>
            </w:tcBorders>
            <w:vAlign w:val="center"/>
          </w:tcPr>
          <w:p w14:paraId="72134665">
            <w:pPr>
              <w:spacing w:line="240" w:lineRule="exact"/>
              <w:jc w:val="right"/>
              <w:rPr>
                <w:rFonts w:ascii="宋体" w:hAnsi="宋体" w:eastAsia="宋体" w:cs="宋体"/>
                <w:sz w:val="18"/>
                <w:szCs w:val="18"/>
              </w:rPr>
            </w:pPr>
            <w:r>
              <w:rPr>
                <w:rFonts w:ascii="宋体" w:hAnsi="宋体" w:eastAsia="宋体" w:cs="宋体"/>
                <w:sz w:val="18"/>
                <w:szCs w:val="18"/>
              </w:rPr>
              <w:t>1,600,944.02</w:t>
            </w:r>
          </w:p>
        </w:tc>
      </w:tr>
    </w:tbl>
    <w:p w14:paraId="25C80403">
      <w:pPr>
        <w:keepNext/>
        <w:keepLines/>
        <w:spacing w:before="300" w:after="100" w:line="280" w:lineRule="exact"/>
        <w:outlineLvl w:val="3"/>
        <w:rPr>
          <w:rFonts w:ascii="宋体" w:hAnsi="宋体" w:eastAsia="宋体" w:cs="宋体"/>
          <w:b/>
          <w:bCs/>
          <w:szCs w:val="21"/>
        </w:rPr>
      </w:pPr>
      <w:bookmarkStart w:id="317" w:name="_Toc989206"/>
      <w:r>
        <w:rPr>
          <w:rFonts w:ascii="宋体" w:hAnsi="宋体" w:eastAsia="宋体" w:cs="宋体"/>
          <w:b/>
          <w:bCs/>
          <w:szCs w:val="21"/>
        </w:rPr>
        <w:t>（3） 设定提存计划列示</w:t>
      </w:r>
      <w:bookmarkEnd w:id="317"/>
    </w:p>
    <w:p w14:paraId="054EA7F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76ED4C2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8F073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14002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569CBA">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AC76D20">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B2517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2FF733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8E637C">
            <w:pPr>
              <w:spacing w:before="40" w:after="40" w:line="240" w:lineRule="exact"/>
              <w:rPr>
                <w:rFonts w:ascii="宋体" w:hAnsi="宋体" w:eastAsia="宋体" w:cs="宋体"/>
                <w:sz w:val="18"/>
                <w:szCs w:val="18"/>
              </w:rPr>
            </w:pPr>
            <w:r>
              <w:rPr>
                <w:rFonts w:ascii="宋体" w:hAnsi="宋体" w:eastAsia="宋体" w:cs="宋体"/>
                <w:sz w:val="18"/>
                <w:szCs w:val="18"/>
              </w:rPr>
              <w:t>1、基本养老保险</w:t>
            </w:r>
          </w:p>
        </w:tc>
        <w:tc>
          <w:tcPr>
            <w:tcW w:w="1928" w:type="dxa"/>
            <w:tcBorders>
              <w:top w:val="single" w:color="auto" w:sz="2" w:space="0"/>
              <w:left w:val="single" w:color="auto" w:sz="2" w:space="0"/>
              <w:bottom w:val="single" w:color="auto" w:sz="2" w:space="0"/>
              <w:right w:val="single" w:color="auto" w:sz="2" w:space="0"/>
            </w:tcBorders>
            <w:vAlign w:val="center"/>
          </w:tcPr>
          <w:p w14:paraId="598B4943">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F86788A">
            <w:pPr>
              <w:spacing w:line="240" w:lineRule="exact"/>
              <w:jc w:val="right"/>
              <w:rPr>
                <w:rFonts w:ascii="宋体" w:hAnsi="宋体" w:eastAsia="宋体" w:cs="宋体"/>
                <w:sz w:val="18"/>
                <w:szCs w:val="18"/>
              </w:rPr>
            </w:pPr>
            <w:r>
              <w:rPr>
                <w:rFonts w:ascii="宋体" w:hAnsi="宋体" w:eastAsia="宋体" w:cs="宋体"/>
                <w:sz w:val="18"/>
                <w:szCs w:val="18"/>
              </w:rPr>
              <w:t>2,078,365.86</w:t>
            </w:r>
          </w:p>
        </w:tc>
        <w:tc>
          <w:tcPr>
            <w:tcW w:w="1928" w:type="dxa"/>
            <w:tcBorders>
              <w:top w:val="single" w:color="auto" w:sz="2" w:space="0"/>
              <w:left w:val="single" w:color="auto" w:sz="2" w:space="0"/>
              <w:bottom w:val="single" w:color="auto" w:sz="2" w:space="0"/>
              <w:right w:val="single" w:color="auto" w:sz="2" w:space="0"/>
            </w:tcBorders>
            <w:vAlign w:val="center"/>
          </w:tcPr>
          <w:p w14:paraId="74CB20DE">
            <w:pPr>
              <w:spacing w:line="240" w:lineRule="exact"/>
              <w:jc w:val="right"/>
              <w:rPr>
                <w:rFonts w:ascii="宋体" w:hAnsi="宋体" w:eastAsia="宋体" w:cs="宋体"/>
                <w:sz w:val="18"/>
                <w:szCs w:val="18"/>
              </w:rPr>
            </w:pPr>
            <w:r>
              <w:rPr>
                <w:rFonts w:ascii="宋体" w:hAnsi="宋体" w:eastAsia="宋体" w:cs="宋体"/>
                <w:sz w:val="18"/>
                <w:szCs w:val="18"/>
              </w:rPr>
              <w:t>2,078,365.86</w:t>
            </w:r>
          </w:p>
        </w:tc>
        <w:tc>
          <w:tcPr>
            <w:tcW w:w="1928" w:type="dxa"/>
            <w:tcBorders>
              <w:top w:val="single" w:color="auto" w:sz="2" w:space="0"/>
              <w:left w:val="single" w:color="auto" w:sz="2" w:space="0"/>
              <w:bottom w:val="single" w:color="auto" w:sz="2" w:space="0"/>
              <w:right w:val="single" w:color="auto" w:sz="2" w:space="0"/>
            </w:tcBorders>
            <w:vAlign w:val="center"/>
          </w:tcPr>
          <w:p w14:paraId="2FB8E394">
            <w:pPr>
              <w:spacing w:line="240" w:lineRule="exact"/>
              <w:jc w:val="right"/>
              <w:rPr>
                <w:rFonts w:ascii="宋体" w:hAnsi="宋体" w:eastAsia="宋体" w:cs="宋体"/>
                <w:sz w:val="18"/>
                <w:szCs w:val="18"/>
              </w:rPr>
            </w:pPr>
          </w:p>
        </w:tc>
      </w:tr>
      <w:tr w14:paraId="27258E2F">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F3E5A2">
            <w:pPr>
              <w:spacing w:before="40" w:after="40" w:line="240" w:lineRule="exact"/>
              <w:rPr>
                <w:rFonts w:ascii="宋体" w:hAnsi="宋体" w:eastAsia="宋体" w:cs="宋体"/>
                <w:sz w:val="18"/>
                <w:szCs w:val="18"/>
              </w:rPr>
            </w:pPr>
            <w:r>
              <w:rPr>
                <w:rFonts w:ascii="宋体" w:hAnsi="宋体" w:eastAsia="宋体" w:cs="宋体"/>
                <w:sz w:val="18"/>
                <w:szCs w:val="18"/>
              </w:rPr>
              <w:t>2、失业保险费</w:t>
            </w:r>
          </w:p>
        </w:tc>
        <w:tc>
          <w:tcPr>
            <w:tcW w:w="1928" w:type="dxa"/>
            <w:tcBorders>
              <w:top w:val="single" w:color="auto" w:sz="2" w:space="0"/>
              <w:left w:val="single" w:color="auto" w:sz="2" w:space="0"/>
              <w:bottom w:val="single" w:color="auto" w:sz="2" w:space="0"/>
              <w:right w:val="single" w:color="auto" w:sz="2" w:space="0"/>
            </w:tcBorders>
            <w:vAlign w:val="center"/>
          </w:tcPr>
          <w:p w14:paraId="33BD8431">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8852DE3">
            <w:pPr>
              <w:spacing w:line="240" w:lineRule="exact"/>
              <w:jc w:val="right"/>
              <w:rPr>
                <w:rFonts w:ascii="宋体" w:hAnsi="宋体" w:eastAsia="宋体" w:cs="宋体"/>
                <w:sz w:val="18"/>
                <w:szCs w:val="18"/>
              </w:rPr>
            </w:pPr>
            <w:r>
              <w:rPr>
                <w:rFonts w:ascii="宋体" w:hAnsi="宋体" w:eastAsia="宋体" w:cs="宋体"/>
                <w:sz w:val="18"/>
                <w:szCs w:val="18"/>
              </w:rPr>
              <w:t>65,795.63</w:t>
            </w:r>
          </w:p>
        </w:tc>
        <w:tc>
          <w:tcPr>
            <w:tcW w:w="1928" w:type="dxa"/>
            <w:tcBorders>
              <w:top w:val="single" w:color="auto" w:sz="2" w:space="0"/>
              <w:left w:val="single" w:color="auto" w:sz="2" w:space="0"/>
              <w:bottom w:val="single" w:color="auto" w:sz="2" w:space="0"/>
              <w:right w:val="single" w:color="auto" w:sz="2" w:space="0"/>
            </w:tcBorders>
            <w:vAlign w:val="center"/>
          </w:tcPr>
          <w:p w14:paraId="783E0805">
            <w:pPr>
              <w:spacing w:line="240" w:lineRule="exact"/>
              <w:jc w:val="right"/>
              <w:rPr>
                <w:rFonts w:ascii="宋体" w:hAnsi="宋体" w:eastAsia="宋体" w:cs="宋体"/>
                <w:sz w:val="18"/>
                <w:szCs w:val="18"/>
              </w:rPr>
            </w:pPr>
            <w:r>
              <w:rPr>
                <w:rFonts w:ascii="宋体" w:hAnsi="宋体" w:eastAsia="宋体" w:cs="宋体"/>
                <w:sz w:val="18"/>
                <w:szCs w:val="18"/>
              </w:rPr>
              <w:t>65,795.63</w:t>
            </w:r>
          </w:p>
        </w:tc>
        <w:tc>
          <w:tcPr>
            <w:tcW w:w="1928" w:type="dxa"/>
            <w:tcBorders>
              <w:top w:val="single" w:color="auto" w:sz="2" w:space="0"/>
              <w:left w:val="single" w:color="auto" w:sz="2" w:space="0"/>
              <w:bottom w:val="single" w:color="auto" w:sz="2" w:space="0"/>
              <w:right w:val="single" w:color="auto" w:sz="2" w:space="0"/>
            </w:tcBorders>
            <w:vAlign w:val="center"/>
          </w:tcPr>
          <w:p w14:paraId="7EC6AE9C">
            <w:pPr>
              <w:spacing w:line="240" w:lineRule="exact"/>
              <w:jc w:val="right"/>
              <w:rPr>
                <w:rFonts w:ascii="宋体" w:hAnsi="宋体" w:eastAsia="宋体" w:cs="宋体"/>
                <w:sz w:val="18"/>
                <w:szCs w:val="18"/>
              </w:rPr>
            </w:pPr>
          </w:p>
        </w:tc>
      </w:tr>
      <w:tr w14:paraId="6E73F51C">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CC701F">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4BF6474D">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21A4058">
            <w:pPr>
              <w:spacing w:line="240" w:lineRule="exact"/>
              <w:jc w:val="right"/>
              <w:rPr>
                <w:rFonts w:ascii="宋体" w:hAnsi="宋体" w:eastAsia="宋体" w:cs="宋体"/>
                <w:sz w:val="18"/>
                <w:szCs w:val="18"/>
              </w:rPr>
            </w:pPr>
            <w:r>
              <w:rPr>
                <w:rFonts w:ascii="宋体" w:hAnsi="宋体" w:eastAsia="宋体" w:cs="宋体"/>
                <w:sz w:val="18"/>
                <w:szCs w:val="18"/>
              </w:rPr>
              <w:t>2,144,161.49</w:t>
            </w:r>
          </w:p>
        </w:tc>
        <w:tc>
          <w:tcPr>
            <w:tcW w:w="1928" w:type="dxa"/>
            <w:tcBorders>
              <w:top w:val="single" w:color="auto" w:sz="2" w:space="0"/>
              <w:left w:val="single" w:color="auto" w:sz="2" w:space="0"/>
              <w:bottom w:val="single" w:color="auto" w:sz="2" w:space="0"/>
              <w:right w:val="single" w:color="auto" w:sz="2" w:space="0"/>
            </w:tcBorders>
            <w:vAlign w:val="center"/>
          </w:tcPr>
          <w:p w14:paraId="042354FA">
            <w:pPr>
              <w:spacing w:line="240" w:lineRule="exact"/>
              <w:jc w:val="right"/>
              <w:rPr>
                <w:rFonts w:ascii="宋体" w:hAnsi="宋体" w:eastAsia="宋体" w:cs="宋体"/>
                <w:sz w:val="18"/>
                <w:szCs w:val="18"/>
              </w:rPr>
            </w:pPr>
            <w:r>
              <w:rPr>
                <w:rFonts w:ascii="宋体" w:hAnsi="宋体" w:eastAsia="宋体" w:cs="宋体"/>
                <w:sz w:val="18"/>
                <w:szCs w:val="18"/>
              </w:rPr>
              <w:t>2,144,161.49</w:t>
            </w:r>
          </w:p>
        </w:tc>
        <w:tc>
          <w:tcPr>
            <w:tcW w:w="1928" w:type="dxa"/>
            <w:tcBorders>
              <w:top w:val="single" w:color="auto" w:sz="2" w:space="0"/>
              <w:left w:val="single" w:color="auto" w:sz="2" w:space="0"/>
              <w:bottom w:val="single" w:color="auto" w:sz="2" w:space="0"/>
              <w:right w:val="single" w:color="auto" w:sz="2" w:space="0"/>
            </w:tcBorders>
            <w:vAlign w:val="center"/>
          </w:tcPr>
          <w:p w14:paraId="5A7FA89A">
            <w:pPr>
              <w:spacing w:line="240" w:lineRule="exact"/>
              <w:jc w:val="right"/>
              <w:rPr>
                <w:rFonts w:ascii="宋体" w:hAnsi="宋体" w:eastAsia="宋体" w:cs="宋体"/>
                <w:sz w:val="18"/>
                <w:szCs w:val="18"/>
              </w:rPr>
            </w:pPr>
          </w:p>
        </w:tc>
      </w:tr>
    </w:tbl>
    <w:p w14:paraId="33A6785E">
      <w:pPr>
        <w:spacing w:before="100" w:after="100" w:line="240" w:lineRule="exact"/>
      </w:pPr>
      <w:r>
        <w:rPr>
          <w:rFonts w:ascii="宋体" w:hAnsi="宋体" w:eastAsia="宋体" w:cs="宋体"/>
          <w:sz w:val="18"/>
          <w:szCs w:val="18"/>
        </w:rPr>
        <w:t>其他说明</w:t>
      </w:r>
    </w:p>
    <w:p w14:paraId="79751EA5">
      <w:pPr>
        <w:pStyle w:val="3"/>
        <w:spacing w:after="100" w:line="280" w:lineRule="exact"/>
        <w:jc w:val="left"/>
        <w:rPr>
          <w:rFonts w:ascii="宋体" w:hAnsi="宋体" w:cs="宋体"/>
          <w:b/>
          <w:bCs/>
        </w:rPr>
      </w:pPr>
      <w:bookmarkStart w:id="318" w:name="_Toc989207"/>
      <w:r>
        <w:rPr>
          <w:rFonts w:ascii="宋体" w:hAnsi="宋体" w:cs="宋体"/>
          <w:b/>
          <w:bCs/>
        </w:rPr>
        <w:t>41、应交税费</w:t>
      </w:r>
      <w:bookmarkEnd w:id="318"/>
    </w:p>
    <w:p w14:paraId="1D258E3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71DE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CE7C0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78BF0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4663D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93C93E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79EC9F">
            <w:pPr>
              <w:spacing w:before="40" w:after="40" w:line="240" w:lineRule="exact"/>
              <w:rPr>
                <w:rFonts w:ascii="宋体" w:hAnsi="宋体" w:eastAsia="宋体" w:cs="宋体"/>
                <w:sz w:val="18"/>
                <w:szCs w:val="18"/>
              </w:rPr>
            </w:pPr>
            <w:r>
              <w:rPr>
                <w:rFonts w:ascii="宋体" w:hAnsi="宋体" w:eastAsia="宋体" w:cs="宋体"/>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5D775704">
            <w:pPr>
              <w:spacing w:line="240" w:lineRule="exact"/>
              <w:jc w:val="right"/>
              <w:rPr>
                <w:rFonts w:ascii="宋体" w:hAnsi="宋体" w:eastAsia="宋体" w:cs="宋体"/>
                <w:sz w:val="18"/>
                <w:szCs w:val="18"/>
              </w:rPr>
            </w:pPr>
            <w:r>
              <w:rPr>
                <w:rFonts w:ascii="宋体" w:hAnsi="宋体" w:eastAsia="宋体" w:cs="宋体"/>
                <w:sz w:val="18"/>
                <w:szCs w:val="18"/>
              </w:rPr>
              <w:t>3,519,966.45</w:t>
            </w:r>
          </w:p>
        </w:tc>
        <w:tc>
          <w:tcPr>
            <w:tcW w:w="3213" w:type="dxa"/>
            <w:tcBorders>
              <w:top w:val="single" w:color="auto" w:sz="2" w:space="0"/>
              <w:left w:val="single" w:color="auto" w:sz="2" w:space="0"/>
              <w:bottom w:val="single" w:color="auto" w:sz="2" w:space="0"/>
              <w:right w:val="single" w:color="auto" w:sz="2" w:space="0"/>
            </w:tcBorders>
            <w:vAlign w:val="center"/>
          </w:tcPr>
          <w:p w14:paraId="46522AB1">
            <w:pPr>
              <w:spacing w:line="240" w:lineRule="exact"/>
              <w:jc w:val="right"/>
              <w:rPr>
                <w:rFonts w:ascii="宋体" w:hAnsi="宋体" w:eastAsia="宋体" w:cs="宋体"/>
                <w:sz w:val="18"/>
                <w:szCs w:val="18"/>
              </w:rPr>
            </w:pPr>
            <w:r>
              <w:rPr>
                <w:rFonts w:ascii="宋体" w:hAnsi="宋体" w:eastAsia="宋体" w:cs="宋体"/>
                <w:sz w:val="18"/>
                <w:szCs w:val="18"/>
              </w:rPr>
              <w:t>509,892.67</w:t>
            </w:r>
          </w:p>
        </w:tc>
      </w:tr>
      <w:tr w14:paraId="2B31522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02E953">
            <w:pPr>
              <w:spacing w:before="40" w:after="40" w:line="240" w:lineRule="exact"/>
              <w:rPr>
                <w:rFonts w:ascii="宋体" w:hAnsi="宋体" w:eastAsia="宋体" w:cs="宋体"/>
                <w:sz w:val="18"/>
                <w:szCs w:val="18"/>
              </w:rPr>
            </w:pPr>
            <w:r>
              <w:rPr>
                <w:rFonts w:ascii="宋体" w:hAnsi="宋体" w:eastAsia="宋体" w:cs="宋体"/>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7EBDD7E9">
            <w:pPr>
              <w:spacing w:line="240" w:lineRule="exact"/>
              <w:jc w:val="right"/>
              <w:rPr>
                <w:rFonts w:ascii="宋体" w:hAnsi="宋体" w:eastAsia="宋体" w:cs="宋体"/>
                <w:sz w:val="18"/>
                <w:szCs w:val="18"/>
              </w:rPr>
            </w:pPr>
            <w:r>
              <w:rPr>
                <w:rFonts w:ascii="宋体" w:hAnsi="宋体" w:eastAsia="宋体" w:cs="宋体"/>
                <w:sz w:val="18"/>
                <w:szCs w:val="18"/>
              </w:rPr>
              <w:t>3,099,574.66</w:t>
            </w:r>
          </w:p>
        </w:tc>
        <w:tc>
          <w:tcPr>
            <w:tcW w:w="3213" w:type="dxa"/>
            <w:tcBorders>
              <w:top w:val="single" w:color="auto" w:sz="2" w:space="0"/>
              <w:left w:val="single" w:color="auto" w:sz="2" w:space="0"/>
              <w:bottom w:val="single" w:color="auto" w:sz="2" w:space="0"/>
              <w:right w:val="single" w:color="auto" w:sz="2" w:space="0"/>
            </w:tcBorders>
            <w:vAlign w:val="center"/>
          </w:tcPr>
          <w:p w14:paraId="5410FFC7">
            <w:pPr>
              <w:spacing w:line="240" w:lineRule="exact"/>
              <w:jc w:val="right"/>
              <w:rPr>
                <w:rFonts w:ascii="宋体" w:hAnsi="宋体" w:eastAsia="宋体" w:cs="宋体"/>
                <w:sz w:val="18"/>
                <w:szCs w:val="18"/>
              </w:rPr>
            </w:pPr>
            <w:r>
              <w:rPr>
                <w:rFonts w:ascii="宋体" w:hAnsi="宋体" w:eastAsia="宋体" w:cs="宋体"/>
                <w:sz w:val="18"/>
                <w:szCs w:val="18"/>
              </w:rPr>
              <w:t>2,179,088.15</w:t>
            </w:r>
          </w:p>
        </w:tc>
      </w:tr>
      <w:tr w14:paraId="68CE3E3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897DA">
            <w:pPr>
              <w:spacing w:before="40" w:after="40" w:line="240" w:lineRule="exact"/>
              <w:rPr>
                <w:rFonts w:ascii="宋体" w:hAnsi="宋体" w:eastAsia="宋体" w:cs="宋体"/>
                <w:sz w:val="18"/>
                <w:szCs w:val="18"/>
              </w:rPr>
            </w:pPr>
            <w:r>
              <w:rPr>
                <w:rFonts w:ascii="宋体" w:hAnsi="宋体" w:eastAsia="宋体" w:cs="宋体"/>
                <w:sz w:val="18"/>
                <w:szCs w:val="18"/>
              </w:rPr>
              <w:t>个人所得税</w:t>
            </w:r>
          </w:p>
        </w:tc>
        <w:tc>
          <w:tcPr>
            <w:tcW w:w="3213" w:type="dxa"/>
            <w:tcBorders>
              <w:top w:val="single" w:color="auto" w:sz="2" w:space="0"/>
              <w:left w:val="single" w:color="auto" w:sz="2" w:space="0"/>
              <w:bottom w:val="single" w:color="auto" w:sz="2" w:space="0"/>
              <w:right w:val="single" w:color="auto" w:sz="2" w:space="0"/>
            </w:tcBorders>
            <w:vAlign w:val="center"/>
          </w:tcPr>
          <w:p w14:paraId="16565433">
            <w:pPr>
              <w:spacing w:line="240" w:lineRule="exact"/>
              <w:jc w:val="right"/>
              <w:rPr>
                <w:rFonts w:ascii="宋体" w:hAnsi="宋体" w:eastAsia="宋体" w:cs="宋体"/>
                <w:sz w:val="18"/>
                <w:szCs w:val="18"/>
              </w:rPr>
            </w:pPr>
            <w:r>
              <w:rPr>
                <w:rFonts w:ascii="宋体" w:hAnsi="宋体" w:eastAsia="宋体" w:cs="宋体"/>
                <w:sz w:val="18"/>
                <w:szCs w:val="18"/>
              </w:rPr>
              <w:t>3,406,675.90</w:t>
            </w:r>
          </w:p>
        </w:tc>
        <w:tc>
          <w:tcPr>
            <w:tcW w:w="3213" w:type="dxa"/>
            <w:tcBorders>
              <w:top w:val="single" w:color="auto" w:sz="2" w:space="0"/>
              <w:left w:val="single" w:color="auto" w:sz="2" w:space="0"/>
              <w:bottom w:val="single" w:color="auto" w:sz="2" w:space="0"/>
              <w:right w:val="single" w:color="auto" w:sz="2" w:space="0"/>
            </w:tcBorders>
            <w:vAlign w:val="center"/>
          </w:tcPr>
          <w:p w14:paraId="08E8DF61">
            <w:pPr>
              <w:spacing w:line="240" w:lineRule="exact"/>
              <w:jc w:val="right"/>
              <w:rPr>
                <w:rFonts w:ascii="宋体" w:hAnsi="宋体" w:eastAsia="宋体" w:cs="宋体"/>
                <w:sz w:val="18"/>
                <w:szCs w:val="18"/>
              </w:rPr>
            </w:pPr>
            <w:r>
              <w:rPr>
                <w:rFonts w:ascii="宋体" w:hAnsi="宋体" w:eastAsia="宋体" w:cs="宋体"/>
                <w:sz w:val="18"/>
                <w:szCs w:val="18"/>
              </w:rPr>
              <w:t>3,390,897.61</w:t>
            </w:r>
          </w:p>
        </w:tc>
      </w:tr>
      <w:tr w14:paraId="222820B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35A3BD">
            <w:pPr>
              <w:spacing w:before="40" w:after="40" w:line="240" w:lineRule="exact"/>
              <w:rPr>
                <w:rFonts w:ascii="宋体" w:hAnsi="宋体" w:eastAsia="宋体" w:cs="宋体"/>
                <w:sz w:val="18"/>
                <w:szCs w:val="18"/>
              </w:rPr>
            </w:pPr>
            <w:r>
              <w:rPr>
                <w:rFonts w:ascii="宋体" w:hAnsi="宋体" w:eastAsia="宋体" w:cs="宋体"/>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63D768BE">
            <w:pPr>
              <w:spacing w:line="240" w:lineRule="exact"/>
              <w:jc w:val="right"/>
              <w:rPr>
                <w:rFonts w:ascii="宋体" w:hAnsi="宋体" w:eastAsia="宋体" w:cs="宋体"/>
                <w:sz w:val="18"/>
                <w:szCs w:val="18"/>
              </w:rPr>
            </w:pPr>
            <w:r>
              <w:rPr>
                <w:rFonts w:ascii="宋体" w:hAnsi="宋体" w:eastAsia="宋体" w:cs="宋体"/>
                <w:sz w:val="18"/>
                <w:szCs w:val="18"/>
              </w:rPr>
              <w:t>246,397.66</w:t>
            </w:r>
          </w:p>
        </w:tc>
        <w:tc>
          <w:tcPr>
            <w:tcW w:w="3213" w:type="dxa"/>
            <w:tcBorders>
              <w:top w:val="single" w:color="auto" w:sz="2" w:space="0"/>
              <w:left w:val="single" w:color="auto" w:sz="2" w:space="0"/>
              <w:bottom w:val="single" w:color="auto" w:sz="2" w:space="0"/>
              <w:right w:val="single" w:color="auto" w:sz="2" w:space="0"/>
            </w:tcBorders>
            <w:vAlign w:val="center"/>
          </w:tcPr>
          <w:p w14:paraId="59DA2E1E">
            <w:pPr>
              <w:spacing w:line="240" w:lineRule="exact"/>
              <w:jc w:val="right"/>
              <w:rPr>
                <w:rFonts w:ascii="宋体" w:hAnsi="宋体" w:eastAsia="宋体" w:cs="宋体"/>
                <w:sz w:val="18"/>
                <w:szCs w:val="18"/>
              </w:rPr>
            </w:pPr>
            <w:r>
              <w:rPr>
                <w:rFonts w:ascii="宋体" w:hAnsi="宋体" w:eastAsia="宋体" w:cs="宋体"/>
                <w:sz w:val="18"/>
                <w:szCs w:val="18"/>
              </w:rPr>
              <w:t>35,692.49</w:t>
            </w:r>
          </w:p>
        </w:tc>
      </w:tr>
      <w:tr w14:paraId="45E32A6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87C1B4A">
            <w:pPr>
              <w:spacing w:line="240" w:lineRule="exact"/>
              <w:rPr>
                <w:rFonts w:ascii="宋体" w:hAnsi="宋体" w:eastAsia="宋体" w:cs="宋体"/>
                <w:sz w:val="18"/>
                <w:szCs w:val="18"/>
              </w:rPr>
            </w:pPr>
            <w:r>
              <w:rPr>
                <w:rFonts w:ascii="宋体" w:hAnsi="宋体" w:eastAsia="宋体" w:cs="宋体"/>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4C2FEE07">
            <w:pPr>
              <w:spacing w:line="240" w:lineRule="exact"/>
              <w:jc w:val="right"/>
              <w:rPr>
                <w:rFonts w:ascii="宋体" w:hAnsi="宋体" w:eastAsia="宋体" w:cs="宋体"/>
                <w:sz w:val="18"/>
                <w:szCs w:val="18"/>
              </w:rPr>
            </w:pPr>
            <w:r>
              <w:rPr>
                <w:rFonts w:ascii="宋体" w:hAnsi="宋体" w:eastAsia="宋体" w:cs="宋体"/>
                <w:sz w:val="18"/>
                <w:szCs w:val="18"/>
              </w:rPr>
              <w:t>105,599.00</w:t>
            </w:r>
          </w:p>
        </w:tc>
        <w:tc>
          <w:tcPr>
            <w:tcW w:w="3213" w:type="dxa"/>
            <w:tcBorders>
              <w:top w:val="single" w:color="auto" w:sz="2" w:space="0"/>
              <w:left w:val="single" w:color="auto" w:sz="2" w:space="0"/>
              <w:bottom w:val="single" w:color="auto" w:sz="2" w:space="0"/>
              <w:right w:val="single" w:color="auto" w:sz="2" w:space="0"/>
            </w:tcBorders>
            <w:vAlign w:val="center"/>
          </w:tcPr>
          <w:p w14:paraId="65CB5E07">
            <w:pPr>
              <w:spacing w:line="240" w:lineRule="exact"/>
              <w:jc w:val="right"/>
              <w:rPr>
                <w:rFonts w:ascii="宋体" w:hAnsi="宋体" w:eastAsia="宋体" w:cs="宋体"/>
                <w:sz w:val="18"/>
                <w:szCs w:val="18"/>
              </w:rPr>
            </w:pPr>
            <w:r>
              <w:rPr>
                <w:rFonts w:ascii="宋体" w:hAnsi="宋体" w:eastAsia="宋体" w:cs="宋体"/>
                <w:sz w:val="18"/>
                <w:szCs w:val="18"/>
              </w:rPr>
              <w:t>15,296.78</w:t>
            </w:r>
          </w:p>
        </w:tc>
      </w:tr>
      <w:tr w14:paraId="57DE33AC">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6DF896A">
            <w:pPr>
              <w:spacing w:line="240" w:lineRule="exact"/>
              <w:rPr>
                <w:rFonts w:ascii="宋体" w:hAnsi="宋体" w:eastAsia="宋体" w:cs="宋体"/>
                <w:sz w:val="18"/>
                <w:szCs w:val="18"/>
              </w:rPr>
            </w:pPr>
            <w:r>
              <w:rPr>
                <w:rFonts w:ascii="宋体" w:hAnsi="宋体" w:eastAsia="宋体" w:cs="宋体"/>
                <w:sz w:val="18"/>
                <w:szCs w:val="18"/>
              </w:rPr>
              <w:t>地方教育附加</w:t>
            </w:r>
          </w:p>
        </w:tc>
        <w:tc>
          <w:tcPr>
            <w:tcW w:w="3213" w:type="dxa"/>
            <w:tcBorders>
              <w:top w:val="single" w:color="auto" w:sz="2" w:space="0"/>
              <w:left w:val="single" w:color="auto" w:sz="2" w:space="0"/>
              <w:bottom w:val="single" w:color="auto" w:sz="2" w:space="0"/>
              <w:right w:val="single" w:color="auto" w:sz="2" w:space="0"/>
            </w:tcBorders>
            <w:vAlign w:val="center"/>
          </w:tcPr>
          <w:p w14:paraId="38A77DFA">
            <w:pPr>
              <w:spacing w:line="240" w:lineRule="exact"/>
              <w:jc w:val="right"/>
              <w:rPr>
                <w:rFonts w:ascii="宋体" w:hAnsi="宋体" w:eastAsia="宋体" w:cs="宋体"/>
                <w:sz w:val="18"/>
                <w:szCs w:val="18"/>
              </w:rPr>
            </w:pPr>
            <w:r>
              <w:rPr>
                <w:rFonts w:ascii="宋体" w:hAnsi="宋体" w:eastAsia="宋体" w:cs="宋体"/>
                <w:sz w:val="18"/>
                <w:szCs w:val="18"/>
              </w:rPr>
              <w:t>70,399.33</w:t>
            </w:r>
          </w:p>
        </w:tc>
        <w:tc>
          <w:tcPr>
            <w:tcW w:w="3213" w:type="dxa"/>
            <w:tcBorders>
              <w:top w:val="single" w:color="auto" w:sz="2" w:space="0"/>
              <w:left w:val="single" w:color="auto" w:sz="2" w:space="0"/>
              <w:bottom w:val="single" w:color="auto" w:sz="2" w:space="0"/>
              <w:right w:val="single" w:color="auto" w:sz="2" w:space="0"/>
            </w:tcBorders>
            <w:vAlign w:val="center"/>
          </w:tcPr>
          <w:p w14:paraId="0C98AAD4">
            <w:pPr>
              <w:spacing w:line="240" w:lineRule="exact"/>
              <w:jc w:val="right"/>
              <w:rPr>
                <w:rFonts w:ascii="宋体" w:hAnsi="宋体" w:eastAsia="宋体" w:cs="宋体"/>
                <w:sz w:val="18"/>
                <w:szCs w:val="18"/>
              </w:rPr>
            </w:pPr>
            <w:r>
              <w:rPr>
                <w:rFonts w:ascii="宋体" w:hAnsi="宋体" w:eastAsia="宋体" w:cs="宋体"/>
                <w:sz w:val="18"/>
                <w:szCs w:val="18"/>
              </w:rPr>
              <w:t>10,197.85</w:t>
            </w:r>
          </w:p>
        </w:tc>
      </w:tr>
      <w:tr w14:paraId="49DE49F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2713138">
            <w:pPr>
              <w:spacing w:line="240" w:lineRule="exact"/>
              <w:rPr>
                <w:rFonts w:ascii="宋体" w:hAnsi="宋体" w:eastAsia="宋体" w:cs="宋体"/>
                <w:sz w:val="18"/>
                <w:szCs w:val="18"/>
              </w:rPr>
            </w:pPr>
            <w:r>
              <w:rPr>
                <w:rFonts w:ascii="宋体" w:hAnsi="宋体" w:eastAsia="宋体" w:cs="宋体"/>
                <w:sz w:val="18"/>
                <w:szCs w:val="18"/>
              </w:rPr>
              <w:t>残疾人就业保证金</w:t>
            </w:r>
          </w:p>
        </w:tc>
        <w:tc>
          <w:tcPr>
            <w:tcW w:w="3213" w:type="dxa"/>
            <w:tcBorders>
              <w:top w:val="single" w:color="auto" w:sz="2" w:space="0"/>
              <w:left w:val="single" w:color="auto" w:sz="2" w:space="0"/>
              <w:bottom w:val="single" w:color="auto" w:sz="2" w:space="0"/>
              <w:right w:val="single" w:color="auto" w:sz="2" w:space="0"/>
            </w:tcBorders>
            <w:vAlign w:val="center"/>
          </w:tcPr>
          <w:p w14:paraId="4B79DBC1">
            <w:pPr>
              <w:spacing w:line="240" w:lineRule="exact"/>
              <w:jc w:val="right"/>
              <w:rPr>
                <w:rFonts w:ascii="宋体" w:hAnsi="宋体" w:eastAsia="宋体" w:cs="宋体"/>
                <w:sz w:val="18"/>
                <w:szCs w:val="18"/>
              </w:rPr>
            </w:pPr>
            <w:r>
              <w:rPr>
                <w:rFonts w:ascii="宋体" w:hAnsi="宋体" w:eastAsia="宋体" w:cs="宋体"/>
                <w:sz w:val="18"/>
                <w:szCs w:val="18"/>
              </w:rPr>
              <w:t>222,939.68</w:t>
            </w:r>
          </w:p>
        </w:tc>
        <w:tc>
          <w:tcPr>
            <w:tcW w:w="3213" w:type="dxa"/>
            <w:tcBorders>
              <w:top w:val="single" w:color="auto" w:sz="2" w:space="0"/>
              <w:left w:val="single" w:color="auto" w:sz="2" w:space="0"/>
              <w:bottom w:val="single" w:color="auto" w:sz="2" w:space="0"/>
              <w:right w:val="single" w:color="auto" w:sz="2" w:space="0"/>
            </w:tcBorders>
            <w:vAlign w:val="center"/>
          </w:tcPr>
          <w:p w14:paraId="1CF04D9D">
            <w:pPr>
              <w:spacing w:line="240" w:lineRule="exact"/>
              <w:jc w:val="right"/>
              <w:rPr>
                <w:rFonts w:ascii="宋体" w:hAnsi="宋体" w:eastAsia="宋体" w:cs="宋体"/>
                <w:sz w:val="18"/>
                <w:szCs w:val="18"/>
              </w:rPr>
            </w:pPr>
            <w:r>
              <w:rPr>
                <w:rFonts w:ascii="宋体" w:hAnsi="宋体" w:eastAsia="宋体" w:cs="宋体"/>
                <w:sz w:val="18"/>
                <w:szCs w:val="18"/>
              </w:rPr>
              <w:t>195,067.60</w:t>
            </w:r>
          </w:p>
        </w:tc>
      </w:tr>
      <w:tr w14:paraId="13D55438">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FC95376">
            <w:pPr>
              <w:spacing w:line="240" w:lineRule="exact"/>
              <w:rPr>
                <w:rFonts w:ascii="宋体" w:hAnsi="宋体" w:eastAsia="宋体" w:cs="宋体"/>
                <w:sz w:val="18"/>
                <w:szCs w:val="18"/>
              </w:rPr>
            </w:pPr>
            <w:r>
              <w:rPr>
                <w:rFonts w:ascii="宋体" w:hAnsi="宋体" w:eastAsia="宋体" w:cs="宋体"/>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1993CCEE">
            <w:pPr>
              <w:spacing w:line="240" w:lineRule="exact"/>
              <w:jc w:val="right"/>
              <w:rPr>
                <w:rFonts w:ascii="宋体" w:hAnsi="宋体" w:eastAsia="宋体" w:cs="宋体"/>
                <w:sz w:val="18"/>
                <w:szCs w:val="18"/>
              </w:rPr>
            </w:pPr>
            <w:r>
              <w:rPr>
                <w:rFonts w:ascii="宋体" w:hAnsi="宋体" w:eastAsia="宋体" w:cs="宋体"/>
                <w:sz w:val="18"/>
                <w:szCs w:val="18"/>
              </w:rPr>
              <w:t>203.55</w:t>
            </w:r>
          </w:p>
        </w:tc>
        <w:tc>
          <w:tcPr>
            <w:tcW w:w="3213" w:type="dxa"/>
            <w:tcBorders>
              <w:top w:val="single" w:color="auto" w:sz="2" w:space="0"/>
              <w:left w:val="single" w:color="auto" w:sz="2" w:space="0"/>
              <w:bottom w:val="single" w:color="auto" w:sz="2" w:space="0"/>
              <w:right w:val="single" w:color="auto" w:sz="2" w:space="0"/>
            </w:tcBorders>
            <w:vAlign w:val="center"/>
          </w:tcPr>
          <w:p w14:paraId="56299210">
            <w:pPr>
              <w:spacing w:line="240" w:lineRule="exact"/>
              <w:jc w:val="right"/>
              <w:rPr>
                <w:rFonts w:ascii="宋体" w:hAnsi="宋体" w:eastAsia="宋体" w:cs="宋体"/>
                <w:sz w:val="18"/>
                <w:szCs w:val="18"/>
              </w:rPr>
            </w:pPr>
            <w:r>
              <w:rPr>
                <w:rFonts w:ascii="宋体" w:hAnsi="宋体" w:eastAsia="宋体" w:cs="宋体"/>
                <w:sz w:val="18"/>
                <w:szCs w:val="18"/>
              </w:rPr>
              <w:t>39.98</w:t>
            </w:r>
          </w:p>
        </w:tc>
      </w:tr>
      <w:tr w14:paraId="7913FFC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A0CAB1A">
            <w:pPr>
              <w:spacing w:line="240" w:lineRule="exact"/>
              <w:rPr>
                <w:rFonts w:ascii="宋体" w:hAnsi="宋体" w:eastAsia="宋体" w:cs="宋体"/>
                <w:sz w:val="18"/>
                <w:szCs w:val="18"/>
              </w:rPr>
            </w:pPr>
            <w:r>
              <w:rPr>
                <w:rFonts w:ascii="宋体" w:hAnsi="宋体" w:eastAsia="宋体" w:cs="宋体"/>
                <w:sz w:val="18"/>
                <w:szCs w:val="18"/>
              </w:rPr>
              <w:t>环境保护税</w:t>
            </w:r>
          </w:p>
        </w:tc>
        <w:tc>
          <w:tcPr>
            <w:tcW w:w="3213" w:type="dxa"/>
            <w:tcBorders>
              <w:top w:val="single" w:color="auto" w:sz="2" w:space="0"/>
              <w:left w:val="single" w:color="auto" w:sz="2" w:space="0"/>
              <w:bottom w:val="single" w:color="auto" w:sz="2" w:space="0"/>
              <w:right w:val="single" w:color="auto" w:sz="2" w:space="0"/>
            </w:tcBorders>
            <w:vAlign w:val="center"/>
          </w:tcPr>
          <w:p w14:paraId="530CFE94">
            <w:pPr>
              <w:spacing w:line="240" w:lineRule="exact"/>
              <w:jc w:val="right"/>
              <w:rPr>
                <w:rFonts w:ascii="宋体" w:hAnsi="宋体" w:eastAsia="宋体" w:cs="宋体"/>
                <w:sz w:val="18"/>
                <w:szCs w:val="18"/>
              </w:rPr>
            </w:pPr>
            <w:r>
              <w:rPr>
                <w:rFonts w:ascii="宋体" w:hAnsi="宋体" w:eastAsia="宋体" w:cs="宋体"/>
                <w:sz w:val="18"/>
                <w:szCs w:val="18"/>
              </w:rPr>
              <w:t>2,656.36</w:t>
            </w:r>
          </w:p>
        </w:tc>
        <w:tc>
          <w:tcPr>
            <w:tcW w:w="3213" w:type="dxa"/>
            <w:tcBorders>
              <w:top w:val="single" w:color="auto" w:sz="2" w:space="0"/>
              <w:left w:val="single" w:color="auto" w:sz="2" w:space="0"/>
              <w:bottom w:val="single" w:color="auto" w:sz="2" w:space="0"/>
              <w:right w:val="single" w:color="auto" w:sz="2" w:space="0"/>
            </w:tcBorders>
            <w:vAlign w:val="center"/>
          </w:tcPr>
          <w:p w14:paraId="348F509A">
            <w:pPr>
              <w:spacing w:line="240" w:lineRule="exact"/>
              <w:jc w:val="right"/>
              <w:rPr>
                <w:rFonts w:ascii="宋体" w:hAnsi="宋体" w:eastAsia="宋体" w:cs="宋体"/>
                <w:sz w:val="18"/>
                <w:szCs w:val="18"/>
              </w:rPr>
            </w:pPr>
            <w:r>
              <w:rPr>
                <w:rFonts w:ascii="宋体" w:hAnsi="宋体" w:eastAsia="宋体" w:cs="宋体"/>
                <w:sz w:val="18"/>
                <w:szCs w:val="18"/>
              </w:rPr>
              <w:t>1,068.58</w:t>
            </w:r>
          </w:p>
        </w:tc>
      </w:tr>
      <w:tr w14:paraId="1B9F7FA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97634">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0485FD1">
            <w:pPr>
              <w:spacing w:line="240" w:lineRule="exact"/>
              <w:jc w:val="right"/>
              <w:rPr>
                <w:rFonts w:ascii="宋体" w:hAnsi="宋体" w:eastAsia="宋体" w:cs="宋体"/>
                <w:sz w:val="18"/>
                <w:szCs w:val="18"/>
              </w:rPr>
            </w:pPr>
            <w:r>
              <w:rPr>
                <w:rFonts w:ascii="宋体" w:hAnsi="宋体" w:eastAsia="宋体" w:cs="宋体"/>
                <w:sz w:val="18"/>
                <w:szCs w:val="18"/>
              </w:rPr>
              <w:t>10,674,412.59</w:t>
            </w:r>
          </w:p>
        </w:tc>
        <w:tc>
          <w:tcPr>
            <w:tcW w:w="3213" w:type="dxa"/>
            <w:tcBorders>
              <w:top w:val="single" w:color="auto" w:sz="2" w:space="0"/>
              <w:left w:val="single" w:color="auto" w:sz="2" w:space="0"/>
              <w:bottom w:val="single" w:color="auto" w:sz="2" w:space="0"/>
              <w:right w:val="single" w:color="auto" w:sz="2" w:space="0"/>
            </w:tcBorders>
            <w:vAlign w:val="center"/>
          </w:tcPr>
          <w:p w14:paraId="43908DDF">
            <w:pPr>
              <w:spacing w:line="240" w:lineRule="exact"/>
              <w:jc w:val="right"/>
              <w:rPr>
                <w:rFonts w:ascii="宋体" w:hAnsi="宋体" w:eastAsia="宋体" w:cs="宋体"/>
                <w:sz w:val="18"/>
                <w:szCs w:val="18"/>
              </w:rPr>
            </w:pPr>
            <w:r>
              <w:rPr>
                <w:rFonts w:ascii="宋体" w:hAnsi="宋体" w:eastAsia="宋体" w:cs="宋体"/>
                <w:sz w:val="18"/>
                <w:szCs w:val="18"/>
              </w:rPr>
              <w:t>6,337,241.71</w:t>
            </w:r>
          </w:p>
        </w:tc>
      </w:tr>
    </w:tbl>
    <w:p w14:paraId="11CADF1F">
      <w:pPr>
        <w:spacing w:before="100" w:after="100" w:line="240" w:lineRule="exact"/>
      </w:pPr>
      <w:r>
        <w:rPr>
          <w:rFonts w:ascii="宋体" w:hAnsi="宋体" w:eastAsia="宋体" w:cs="宋体"/>
          <w:sz w:val="18"/>
          <w:szCs w:val="18"/>
        </w:rPr>
        <w:t>其他说明</w:t>
      </w:r>
    </w:p>
    <w:p w14:paraId="3C7285BA">
      <w:pPr>
        <w:pStyle w:val="3"/>
        <w:spacing w:after="100" w:line="280" w:lineRule="exact"/>
        <w:jc w:val="left"/>
        <w:rPr>
          <w:rFonts w:ascii="宋体" w:hAnsi="宋体" w:cs="宋体"/>
          <w:b/>
          <w:bCs/>
        </w:rPr>
      </w:pPr>
      <w:bookmarkStart w:id="319" w:name="_Toc989208"/>
      <w:r>
        <w:rPr>
          <w:rFonts w:ascii="宋体" w:hAnsi="宋体" w:cs="宋体"/>
          <w:b/>
          <w:bCs/>
        </w:rPr>
        <w:t>42、持有待售负债</w:t>
      </w:r>
      <w:bookmarkEnd w:id="319"/>
    </w:p>
    <w:p w14:paraId="1080F48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F0865A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31D59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DB763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53FC7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E117C74">
      <w:pPr>
        <w:spacing w:before="100" w:after="100" w:line="240" w:lineRule="exact"/>
      </w:pPr>
      <w:r>
        <w:rPr>
          <w:rFonts w:ascii="宋体" w:hAnsi="宋体" w:eastAsia="宋体" w:cs="宋体"/>
          <w:sz w:val="18"/>
          <w:szCs w:val="18"/>
        </w:rPr>
        <w:t>其他说明</w:t>
      </w:r>
    </w:p>
    <w:p w14:paraId="6E5B3178">
      <w:pPr>
        <w:pStyle w:val="3"/>
        <w:spacing w:after="100" w:line="280" w:lineRule="exact"/>
        <w:jc w:val="left"/>
        <w:rPr>
          <w:rFonts w:ascii="宋体" w:hAnsi="宋体" w:cs="宋体"/>
          <w:b/>
          <w:bCs/>
        </w:rPr>
      </w:pPr>
      <w:bookmarkStart w:id="320" w:name="_Toc989209"/>
      <w:r>
        <w:rPr>
          <w:rFonts w:ascii="宋体" w:hAnsi="宋体" w:cs="宋体"/>
          <w:b/>
          <w:bCs/>
        </w:rPr>
        <w:t>43、一年内到期的非流动负债</w:t>
      </w:r>
      <w:bookmarkEnd w:id="320"/>
    </w:p>
    <w:p w14:paraId="3B85CB7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DC1EAB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DC873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3B94F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CF38C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582563E">
      <w:pPr>
        <w:spacing w:before="100" w:after="100" w:line="240" w:lineRule="exact"/>
      </w:pPr>
      <w:r>
        <w:rPr>
          <w:rFonts w:ascii="宋体" w:hAnsi="宋体" w:eastAsia="宋体" w:cs="宋体"/>
          <w:sz w:val="18"/>
          <w:szCs w:val="18"/>
        </w:rPr>
        <w:t>其他说明：</w:t>
      </w:r>
    </w:p>
    <w:p w14:paraId="2029AB87">
      <w:pPr>
        <w:pStyle w:val="3"/>
        <w:spacing w:after="100" w:line="280" w:lineRule="exact"/>
        <w:jc w:val="left"/>
        <w:rPr>
          <w:rFonts w:ascii="宋体" w:hAnsi="宋体" w:cs="宋体"/>
          <w:b/>
          <w:bCs/>
        </w:rPr>
      </w:pPr>
      <w:bookmarkStart w:id="321" w:name="_Toc989210"/>
      <w:r>
        <w:rPr>
          <w:rFonts w:ascii="宋体" w:hAnsi="宋体" w:cs="宋体"/>
          <w:b/>
          <w:bCs/>
        </w:rPr>
        <w:t>44、其他流动负债</w:t>
      </w:r>
      <w:bookmarkEnd w:id="321"/>
    </w:p>
    <w:p w14:paraId="79A62A5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1A30A2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B4273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509B4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61E53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6EFEFAA">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6CA5E14">
            <w:pPr>
              <w:spacing w:line="240" w:lineRule="exact"/>
              <w:rPr>
                <w:rFonts w:ascii="宋体" w:hAnsi="宋体" w:eastAsia="宋体" w:cs="宋体"/>
                <w:sz w:val="18"/>
                <w:szCs w:val="18"/>
              </w:rPr>
            </w:pPr>
            <w:r>
              <w:rPr>
                <w:rFonts w:ascii="宋体" w:hAnsi="宋体" w:eastAsia="宋体" w:cs="宋体"/>
                <w:sz w:val="18"/>
                <w:szCs w:val="18"/>
              </w:rPr>
              <w:t>应交税费-待转销项税额</w:t>
            </w:r>
          </w:p>
        </w:tc>
        <w:tc>
          <w:tcPr>
            <w:tcW w:w="3213" w:type="dxa"/>
            <w:tcBorders>
              <w:top w:val="single" w:color="auto" w:sz="2" w:space="0"/>
              <w:left w:val="single" w:color="auto" w:sz="2" w:space="0"/>
              <w:bottom w:val="single" w:color="auto" w:sz="2" w:space="0"/>
              <w:right w:val="single" w:color="auto" w:sz="2" w:space="0"/>
            </w:tcBorders>
            <w:vAlign w:val="center"/>
          </w:tcPr>
          <w:p w14:paraId="0C87F72A">
            <w:pPr>
              <w:spacing w:line="240" w:lineRule="exact"/>
              <w:jc w:val="right"/>
              <w:rPr>
                <w:rFonts w:ascii="宋体" w:hAnsi="宋体" w:eastAsia="宋体" w:cs="宋体"/>
                <w:sz w:val="18"/>
                <w:szCs w:val="18"/>
              </w:rPr>
            </w:pPr>
            <w:r>
              <w:rPr>
                <w:rFonts w:ascii="宋体" w:hAnsi="宋体" w:eastAsia="宋体" w:cs="宋体"/>
                <w:sz w:val="18"/>
                <w:szCs w:val="18"/>
              </w:rPr>
              <w:t>84,899.77</w:t>
            </w:r>
          </w:p>
        </w:tc>
        <w:tc>
          <w:tcPr>
            <w:tcW w:w="3213" w:type="dxa"/>
            <w:tcBorders>
              <w:top w:val="single" w:color="auto" w:sz="2" w:space="0"/>
              <w:left w:val="single" w:color="auto" w:sz="2" w:space="0"/>
              <w:bottom w:val="single" w:color="auto" w:sz="2" w:space="0"/>
              <w:right w:val="single" w:color="auto" w:sz="2" w:space="0"/>
            </w:tcBorders>
            <w:vAlign w:val="center"/>
          </w:tcPr>
          <w:p w14:paraId="5721CE30">
            <w:pPr>
              <w:spacing w:line="240" w:lineRule="exact"/>
              <w:jc w:val="right"/>
              <w:rPr>
                <w:rFonts w:ascii="宋体" w:hAnsi="宋体" w:eastAsia="宋体" w:cs="宋体"/>
                <w:sz w:val="18"/>
                <w:szCs w:val="18"/>
              </w:rPr>
            </w:pPr>
            <w:r>
              <w:rPr>
                <w:rFonts w:ascii="宋体" w:hAnsi="宋体" w:eastAsia="宋体" w:cs="宋体"/>
                <w:sz w:val="18"/>
                <w:szCs w:val="18"/>
              </w:rPr>
              <w:t>85,165.54</w:t>
            </w:r>
          </w:p>
        </w:tc>
      </w:tr>
      <w:tr w14:paraId="7AD3316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CA19A1">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D4643A0">
            <w:pPr>
              <w:spacing w:line="240" w:lineRule="exact"/>
              <w:jc w:val="right"/>
              <w:rPr>
                <w:rFonts w:ascii="宋体" w:hAnsi="宋体" w:eastAsia="宋体" w:cs="宋体"/>
                <w:sz w:val="18"/>
                <w:szCs w:val="18"/>
              </w:rPr>
            </w:pPr>
            <w:r>
              <w:rPr>
                <w:rFonts w:ascii="宋体" w:hAnsi="宋体" w:eastAsia="宋体" w:cs="宋体"/>
                <w:sz w:val="18"/>
                <w:szCs w:val="18"/>
              </w:rPr>
              <w:t>84,899.77</w:t>
            </w:r>
          </w:p>
        </w:tc>
        <w:tc>
          <w:tcPr>
            <w:tcW w:w="3213" w:type="dxa"/>
            <w:tcBorders>
              <w:top w:val="single" w:color="auto" w:sz="2" w:space="0"/>
              <w:left w:val="single" w:color="auto" w:sz="2" w:space="0"/>
              <w:bottom w:val="single" w:color="auto" w:sz="2" w:space="0"/>
              <w:right w:val="single" w:color="auto" w:sz="2" w:space="0"/>
            </w:tcBorders>
            <w:vAlign w:val="center"/>
          </w:tcPr>
          <w:p w14:paraId="1B9D40FF">
            <w:pPr>
              <w:spacing w:line="240" w:lineRule="exact"/>
              <w:jc w:val="right"/>
              <w:rPr>
                <w:rFonts w:ascii="宋体" w:hAnsi="宋体" w:eastAsia="宋体" w:cs="宋体"/>
                <w:sz w:val="18"/>
                <w:szCs w:val="18"/>
              </w:rPr>
            </w:pPr>
            <w:r>
              <w:rPr>
                <w:rFonts w:ascii="宋体" w:hAnsi="宋体" w:eastAsia="宋体" w:cs="宋体"/>
                <w:sz w:val="18"/>
                <w:szCs w:val="18"/>
              </w:rPr>
              <w:t>85,165.54</w:t>
            </w:r>
          </w:p>
        </w:tc>
      </w:tr>
    </w:tbl>
    <w:p w14:paraId="131A3FAA">
      <w:pPr>
        <w:spacing w:before="100" w:after="100" w:line="240" w:lineRule="exact"/>
        <w:rPr>
          <w:rFonts w:ascii="宋体" w:hAnsi="宋体" w:eastAsia="宋体" w:cs="宋体"/>
          <w:sz w:val="18"/>
          <w:szCs w:val="18"/>
        </w:rPr>
      </w:pPr>
      <w:r>
        <w:rPr>
          <w:rFonts w:ascii="宋体" w:hAnsi="宋体" w:eastAsia="宋体" w:cs="宋体"/>
          <w:sz w:val="18"/>
          <w:szCs w:val="18"/>
        </w:rPr>
        <w:t>短期应付债券的增减变动：</w:t>
      </w:r>
    </w:p>
    <w:p w14:paraId="7109261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8"/>
        <w:gridCol w:w="688"/>
        <w:gridCol w:w="688"/>
        <w:gridCol w:w="688"/>
        <w:gridCol w:w="688"/>
        <w:gridCol w:w="688"/>
        <w:gridCol w:w="688"/>
      </w:tblGrid>
      <w:tr w14:paraId="265161A3">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707F9B6">
            <w:pPr>
              <w:spacing w:before="40" w:after="40" w:line="240" w:lineRule="exact"/>
              <w:jc w:val="center"/>
              <w:rPr>
                <w:rFonts w:ascii="宋体" w:hAnsi="宋体" w:eastAsia="宋体" w:cs="宋体"/>
                <w:sz w:val="18"/>
                <w:szCs w:val="18"/>
              </w:rPr>
            </w:pPr>
            <w:r>
              <w:rPr>
                <w:rFonts w:ascii="宋体" w:hAnsi="宋体" w:eastAsia="宋体" w:cs="宋体"/>
                <w:sz w:val="18"/>
                <w:szCs w:val="18"/>
              </w:rPr>
              <w:t>债券名称</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8036035">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48EA7B9">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FC52F36">
            <w:pPr>
              <w:spacing w:before="40" w:after="40" w:line="240" w:lineRule="exact"/>
              <w:jc w:val="center"/>
              <w:rPr>
                <w:rFonts w:ascii="宋体" w:hAnsi="宋体" w:eastAsia="宋体" w:cs="宋体"/>
                <w:sz w:val="18"/>
                <w:szCs w:val="18"/>
              </w:rPr>
            </w:pPr>
            <w:r>
              <w:rPr>
                <w:rFonts w:ascii="宋体" w:hAnsi="宋体" w:eastAsia="宋体" w:cs="宋体"/>
                <w:sz w:val="18"/>
                <w:szCs w:val="18"/>
              </w:rPr>
              <w:t>发行日期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AB0FDA4">
            <w:pPr>
              <w:spacing w:before="40" w:after="40" w:line="240" w:lineRule="exact"/>
              <w:jc w:val="center"/>
              <w:rPr>
                <w:rFonts w:ascii="宋体" w:hAnsi="宋体" w:eastAsia="宋体" w:cs="宋体"/>
                <w:sz w:val="18"/>
                <w:szCs w:val="18"/>
              </w:rPr>
            </w:pPr>
            <w:r>
              <w:rPr>
                <w:rFonts w:ascii="宋体" w:hAnsi="宋体" w:eastAsia="宋体" w:cs="宋体"/>
                <w:sz w:val="18"/>
                <w:szCs w:val="18"/>
              </w:rPr>
              <w:t>债券期限</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2FF39F2">
            <w:pPr>
              <w:spacing w:before="40" w:after="40" w:line="240" w:lineRule="exact"/>
              <w:jc w:val="center"/>
              <w:rPr>
                <w:rFonts w:ascii="宋体" w:hAnsi="宋体" w:eastAsia="宋体" w:cs="宋体"/>
                <w:sz w:val="18"/>
                <w:szCs w:val="18"/>
              </w:rPr>
            </w:pPr>
            <w:r>
              <w:rPr>
                <w:rFonts w:ascii="宋体" w:hAnsi="宋体" w:eastAsia="宋体" w:cs="宋体"/>
                <w:sz w:val="18"/>
                <w:szCs w:val="18"/>
              </w:rPr>
              <w:t>发行金额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45EC9B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36C376F">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本期发行</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99776A3">
            <w:pPr>
              <w:spacing w:before="40" w:after="40" w:line="240" w:lineRule="exact"/>
              <w:jc w:val="center"/>
              <w:rPr>
                <w:rFonts w:ascii="宋体" w:hAnsi="宋体" w:eastAsia="宋体" w:cs="宋体"/>
                <w:sz w:val="18"/>
                <w:szCs w:val="18"/>
              </w:rPr>
            </w:pPr>
            <w:r>
              <w:rPr>
                <w:rFonts w:ascii="宋体" w:hAnsi="宋体" w:eastAsia="宋体" w:cs="宋体"/>
                <w:sz w:val="18"/>
                <w:szCs w:val="18"/>
              </w:rPr>
              <w:t>按面值计提利息</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2AF38D6">
            <w:pPr>
              <w:spacing w:before="40" w:after="40" w:line="240" w:lineRule="exact"/>
              <w:jc w:val="center"/>
              <w:rPr>
                <w:rFonts w:ascii="宋体" w:hAnsi="宋体" w:eastAsia="宋体" w:cs="宋体"/>
                <w:sz w:val="18"/>
                <w:szCs w:val="18"/>
              </w:rPr>
            </w:pPr>
            <w:r>
              <w:rPr>
                <w:rFonts w:ascii="宋体" w:hAnsi="宋体" w:eastAsia="宋体" w:cs="宋体"/>
                <w:sz w:val="18"/>
                <w:szCs w:val="18"/>
              </w:rPr>
              <w:t>溢折价摊销</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72439B1">
            <w:pPr>
              <w:spacing w:before="40" w:after="40" w:line="240" w:lineRule="exact"/>
              <w:jc w:val="center"/>
              <w:rPr>
                <w:rFonts w:ascii="宋体" w:hAnsi="宋体" w:eastAsia="宋体" w:cs="宋体"/>
                <w:sz w:val="18"/>
                <w:szCs w:val="18"/>
              </w:rPr>
            </w:pPr>
            <w:r>
              <w:rPr>
                <w:rFonts w:ascii="宋体" w:hAnsi="宋体" w:eastAsia="宋体" w:cs="宋体"/>
                <w:sz w:val="18"/>
                <w:szCs w:val="18"/>
              </w:rPr>
              <w:t>本期偿还</w:t>
            </w:r>
          </w:p>
        </w:tc>
        <w:tc>
          <w:tcPr>
            <w:tcW w:w="689" w:type="dxa"/>
            <w:tcBorders>
              <w:top w:val="single" w:color="auto" w:sz="2" w:space="0"/>
              <w:left w:val="single" w:color="auto" w:sz="2" w:space="0"/>
              <w:bottom w:val="single" w:color="auto" w:sz="2" w:space="0"/>
              <w:right w:val="single" w:color="auto" w:sz="2" w:space="0"/>
            </w:tcBorders>
            <w:vAlign w:val="center"/>
          </w:tcPr>
          <w:p w14:paraId="23C60DE0">
            <w:pPr>
              <w:spacing w:line="240" w:lineRule="exact"/>
              <w:jc w:val="center"/>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00F044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B249ABE">
            <w:pPr>
              <w:spacing w:before="40" w:after="40" w:line="240" w:lineRule="exact"/>
              <w:jc w:val="center"/>
              <w:rPr>
                <w:rFonts w:ascii="宋体" w:hAnsi="宋体" w:eastAsia="宋体" w:cs="宋体"/>
                <w:sz w:val="18"/>
                <w:szCs w:val="18"/>
              </w:rPr>
            </w:pPr>
            <w:r>
              <w:rPr>
                <w:rFonts w:ascii="宋体" w:hAnsi="宋体" w:eastAsia="宋体" w:cs="宋体"/>
                <w:sz w:val="18"/>
                <w:szCs w:val="18"/>
              </w:rPr>
              <w:t>是否违约</w:t>
            </w:r>
          </w:p>
        </w:tc>
      </w:tr>
      <w:tr w14:paraId="01FB80E9">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1B1B7FEF">
            <w:pPr>
              <w:spacing w:line="240" w:lineRule="exac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907C5E0">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A3ED1E2">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70684B9">
            <w:pPr>
              <w:spacing w:line="240" w:lineRule="exac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01E7AD5">
            <w:pPr>
              <w:spacing w:line="240" w:lineRule="exac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C5B1E1C">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E9F051D">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5942DEF">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0B3022B">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E66E504">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C6CA98A">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FB0D9DE">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EA2DF1A">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955F742">
            <w:pPr>
              <w:spacing w:line="240" w:lineRule="exact"/>
              <w:rPr>
                <w:rFonts w:ascii="宋体" w:hAnsi="宋体" w:eastAsia="宋体" w:cs="宋体"/>
                <w:sz w:val="18"/>
                <w:szCs w:val="18"/>
              </w:rPr>
            </w:pPr>
          </w:p>
        </w:tc>
      </w:tr>
      <w:tr w14:paraId="4DD1A18F">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88D2DA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B1C622A"/>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AEECC96"/>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62B5C79"/>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88780D2"/>
        </w:tc>
        <w:tc>
          <w:tcPr>
            <w:tcW w:w="689" w:type="dxa"/>
            <w:tcBorders>
              <w:top w:val="single" w:color="auto" w:sz="2" w:space="0"/>
              <w:left w:val="single" w:color="auto" w:sz="2" w:space="0"/>
              <w:bottom w:val="single" w:color="auto" w:sz="2" w:space="0"/>
              <w:right w:val="single" w:color="auto" w:sz="2" w:space="0"/>
            </w:tcBorders>
            <w:vAlign w:val="center"/>
          </w:tcPr>
          <w:p w14:paraId="6165E396">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CD8CF88">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49E464F">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6FC1D7E">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104279E">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7709EC1">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6874174">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DE6FC32">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165EA12"/>
        </w:tc>
      </w:tr>
    </w:tbl>
    <w:p w14:paraId="2EB13EC4">
      <w:pPr>
        <w:spacing w:before="100" w:after="100" w:line="240" w:lineRule="exact"/>
      </w:pPr>
      <w:r>
        <w:rPr>
          <w:rFonts w:ascii="宋体" w:hAnsi="宋体" w:eastAsia="宋体" w:cs="宋体"/>
          <w:sz w:val="18"/>
          <w:szCs w:val="18"/>
        </w:rPr>
        <w:t>其他说明：</w:t>
      </w:r>
    </w:p>
    <w:p w14:paraId="44C3FF7A">
      <w:pPr>
        <w:pStyle w:val="3"/>
        <w:spacing w:after="100" w:line="280" w:lineRule="exact"/>
        <w:jc w:val="left"/>
        <w:rPr>
          <w:rFonts w:ascii="宋体" w:hAnsi="宋体" w:cs="宋体"/>
          <w:b/>
          <w:bCs/>
        </w:rPr>
      </w:pPr>
      <w:bookmarkStart w:id="322" w:name="_Toc989211"/>
      <w:r>
        <w:rPr>
          <w:rFonts w:ascii="宋体" w:hAnsi="宋体" w:cs="宋体"/>
          <w:b/>
          <w:bCs/>
        </w:rPr>
        <w:t>45、长期借款</w:t>
      </w:r>
      <w:bookmarkEnd w:id="322"/>
    </w:p>
    <w:p w14:paraId="2E2CD139">
      <w:pPr>
        <w:keepNext/>
        <w:keepLines/>
        <w:spacing w:before="300" w:after="100" w:line="280" w:lineRule="exact"/>
        <w:outlineLvl w:val="3"/>
        <w:rPr>
          <w:rFonts w:ascii="宋体" w:hAnsi="宋体" w:eastAsia="宋体" w:cs="宋体"/>
          <w:b/>
          <w:bCs/>
          <w:sz w:val="18"/>
          <w:szCs w:val="18"/>
        </w:rPr>
      </w:pPr>
      <w:bookmarkStart w:id="323" w:name="_Toc989212"/>
      <w:r>
        <w:rPr>
          <w:rFonts w:ascii="宋体" w:hAnsi="宋体" w:eastAsia="宋体" w:cs="宋体"/>
          <w:b/>
          <w:bCs/>
          <w:sz w:val="18"/>
          <w:szCs w:val="18"/>
        </w:rPr>
        <w:t>（1） 长期借款分类</w:t>
      </w:r>
      <w:bookmarkEnd w:id="323"/>
    </w:p>
    <w:p w14:paraId="086352C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0C6ABE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6A377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DE8E0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FC369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1565E0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BD721F">
            <w:pPr>
              <w:spacing w:before="40" w:after="40" w:line="240" w:lineRule="exact"/>
              <w:rPr>
                <w:rFonts w:ascii="宋体" w:hAnsi="宋体" w:eastAsia="宋体" w:cs="宋体"/>
                <w:sz w:val="18"/>
                <w:szCs w:val="18"/>
              </w:rPr>
            </w:pPr>
            <w:r>
              <w:rPr>
                <w:rFonts w:ascii="宋体" w:hAnsi="宋体" w:eastAsia="宋体" w:cs="宋体"/>
                <w:sz w:val="18"/>
                <w:szCs w:val="18"/>
              </w:rPr>
              <w:t>信用借款</w:t>
            </w:r>
          </w:p>
        </w:tc>
        <w:tc>
          <w:tcPr>
            <w:tcW w:w="3213" w:type="dxa"/>
            <w:tcBorders>
              <w:top w:val="single" w:color="auto" w:sz="2" w:space="0"/>
              <w:left w:val="single" w:color="auto" w:sz="2" w:space="0"/>
              <w:bottom w:val="single" w:color="auto" w:sz="2" w:space="0"/>
              <w:right w:val="single" w:color="auto" w:sz="2" w:space="0"/>
            </w:tcBorders>
            <w:vAlign w:val="center"/>
          </w:tcPr>
          <w:p w14:paraId="4ECFC18A">
            <w:pPr>
              <w:spacing w:line="240" w:lineRule="exact"/>
              <w:jc w:val="right"/>
              <w:rPr>
                <w:rFonts w:ascii="宋体" w:hAnsi="宋体" w:eastAsia="宋体" w:cs="宋体"/>
                <w:sz w:val="18"/>
                <w:szCs w:val="18"/>
              </w:rPr>
            </w:pPr>
            <w:r>
              <w:rPr>
                <w:rFonts w:ascii="宋体" w:hAnsi="宋体" w:eastAsia="宋体" w:cs="宋体"/>
                <w:sz w:val="18"/>
                <w:szCs w:val="18"/>
              </w:rPr>
              <w:t>4,300,000.00</w:t>
            </w:r>
          </w:p>
        </w:tc>
        <w:tc>
          <w:tcPr>
            <w:tcW w:w="3213" w:type="dxa"/>
            <w:tcBorders>
              <w:top w:val="single" w:color="auto" w:sz="2" w:space="0"/>
              <w:left w:val="single" w:color="auto" w:sz="2" w:space="0"/>
              <w:bottom w:val="single" w:color="auto" w:sz="2" w:space="0"/>
              <w:right w:val="single" w:color="auto" w:sz="2" w:space="0"/>
            </w:tcBorders>
            <w:vAlign w:val="center"/>
          </w:tcPr>
          <w:p w14:paraId="1340A067">
            <w:pPr>
              <w:spacing w:line="240" w:lineRule="exact"/>
              <w:jc w:val="right"/>
              <w:rPr>
                <w:rFonts w:ascii="宋体" w:hAnsi="宋体" w:eastAsia="宋体" w:cs="宋体"/>
                <w:sz w:val="18"/>
                <w:szCs w:val="18"/>
              </w:rPr>
            </w:pPr>
            <w:r>
              <w:rPr>
                <w:rFonts w:ascii="宋体" w:hAnsi="宋体" w:eastAsia="宋体" w:cs="宋体"/>
                <w:sz w:val="18"/>
                <w:szCs w:val="18"/>
              </w:rPr>
              <w:t>4,300,000.00</w:t>
            </w:r>
          </w:p>
        </w:tc>
      </w:tr>
      <w:tr w14:paraId="433B9A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61AE0C">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35EE019">
            <w:pPr>
              <w:spacing w:line="240" w:lineRule="exact"/>
              <w:jc w:val="right"/>
              <w:rPr>
                <w:rFonts w:ascii="宋体" w:hAnsi="宋体" w:eastAsia="宋体" w:cs="宋体"/>
                <w:sz w:val="18"/>
                <w:szCs w:val="18"/>
              </w:rPr>
            </w:pPr>
            <w:r>
              <w:rPr>
                <w:rFonts w:ascii="宋体" w:hAnsi="宋体" w:eastAsia="宋体" w:cs="宋体"/>
                <w:sz w:val="18"/>
                <w:szCs w:val="18"/>
              </w:rPr>
              <w:t>4,300,000.00</w:t>
            </w:r>
          </w:p>
        </w:tc>
        <w:tc>
          <w:tcPr>
            <w:tcW w:w="3213" w:type="dxa"/>
            <w:tcBorders>
              <w:top w:val="single" w:color="auto" w:sz="2" w:space="0"/>
              <w:left w:val="single" w:color="auto" w:sz="2" w:space="0"/>
              <w:bottom w:val="single" w:color="auto" w:sz="2" w:space="0"/>
              <w:right w:val="single" w:color="auto" w:sz="2" w:space="0"/>
            </w:tcBorders>
            <w:vAlign w:val="center"/>
          </w:tcPr>
          <w:p w14:paraId="39C7DB7A">
            <w:pPr>
              <w:spacing w:line="240" w:lineRule="exact"/>
              <w:jc w:val="right"/>
              <w:rPr>
                <w:rFonts w:ascii="宋体" w:hAnsi="宋体" w:eastAsia="宋体" w:cs="宋体"/>
                <w:sz w:val="18"/>
                <w:szCs w:val="18"/>
              </w:rPr>
            </w:pPr>
            <w:r>
              <w:rPr>
                <w:rFonts w:ascii="宋体" w:hAnsi="宋体" w:eastAsia="宋体" w:cs="宋体"/>
                <w:sz w:val="18"/>
                <w:szCs w:val="18"/>
              </w:rPr>
              <w:t>4,300,000.00</w:t>
            </w:r>
          </w:p>
        </w:tc>
      </w:tr>
    </w:tbl>
    <w:p w14:paraId="4A7D34AD">
      <w:pPr>
        <w:spacing w:before="100" w:after="100" w:line="240" w:lineRule="exact"/>
      </w:pPr>
      <w:r>
        <w:rPr>
          <w:rFonts w:ascii="宋体" w:hAnsi="宋体" w:eastAsia="宋体" w:cs="宋体"/>
          <w:sz w:val="18"/>
          <w:szCs w:val="18"/>
        </w:rPr>
        <w:t>长期借款分类的说明：</w:t>
      </w:r>
    </w:p>
    <w:p w14:paraId="0DE5BF6A">
      <w:pPr>
        <w:spacing w:before="100" w:after="100" w:line="240" w:lineRule="exact"/>
      </w:pPr>
      <w:r>
        <w:rPr>
          <w:rFonts w:ascii="宋体" w:hAnsi="宋体" w:eastAsia="宋体" w:cs="宋体"/>
          <w:sz w:val="18"/>
          <w:szCs w:val="18"/>
        </w:rPr>
        <w:t>其他说明，包括利率区间：</w:t>
      </w:r>
    </w:p>
    <w:p w14:paraId="3A5B1A97">
      <w:pPr>
        <w:pStyle w:val="3"/>
        <w:spacing w:after="100" w:line="280" w:lineRule="exact"/>
        <w:jc w:val="left"/>
        <w:rPr>
          <w:rFonts w:ascii="宋体" w:hAnsi="宋体" w:cs="宋体"/>
          <w:b/>
          <w:bCs/>
        </w:rPr>
      </w:pPr>
      <w:bookmarkStart w:id="324" w:name="_Toc989213"/>
      <w:r>
        <w:rPr>
          <w:rFonts w:ascii="宋体" w:hAnsi="宋体" w:cs="宋体"/>
          <w:b/>
          <w:bCs/>
        </w:rPr>
        <w:t>46、应付债券</w:t>
      </w:r>
      <w:bookmarkEnd w:id="324"/>
    </w:p>
    <w:p w14:paraId="5417F5FC">
      <w:pPr>
        <w:keepNext/>
        <w:keepLines/>
        <w:spacing w:before="300" w:after="100" w:line="280" w:lineRule="exact"/>
        <w:outlineLvl w:val="3"/>
        <w:rPr>
          <w:rFonts w:ascii="宋体" w:hAnsi="宋体" w:eastAsia="宋体" w:cs="宋体"/>
          <w:b/>
          <w:bCs/>
          <w:szCs w:val="21"/>
        </w:rPr>
      </w:pPr>
      <w:bookmarkStart w:id="325" w:name="_Toc989214"/>
      <w:r>
        <w:rPr>
          <w:rFonts w:ascii="宋体" w:hAnsi="宋体" w:eastAsia="宋体" w:cs="宋体"/>
          <w:b/>
          <w:bCs/>
          <w:szCs w:val="21"/>
        </w:rPr>
        <w:t>（1） 应付债券</w:t>
      </w:r>
      <w:bookmarkEnd w:id="325"/>
    </w:p>
    <w:p w14:paraId="3644AA4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DD94D3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46191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3CC43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407BC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44735114">
      <w:pPr>
        <w:keepNext/>
        <w:keepLines/>
        <w:spacing w:before="300" w:after="100" w:line="280" w:lineRule="exact"/>
        <w:outlineLvl w:val="3"/>
        <w:rPr>
          <w:rFonts w:ascii="宋体" w:hAnsi="宋体" w:eastAsia="宋体" w:cs="宋体"/>
          <w:b/>
          <w:bCs/>
          <w:szCs w:val="21"/>
        </w:rPr>
      </w:pPr>
      <w:bookmarkStart w:id="326" w:name="_Toc989215"/>
      <w:r>
        <w:rPr>
          <w:rFonts w:ascii="宋体" w:hAnsi="宋体" w:eastAsia="宋体" w:cs="宋体"/>
          <w:b/>
          <w:bCs/>
          <w:szCs w:val="21"/>
        </w:rPr>
        <w:t>（2） 应付债券的增减变动（不包括划分为金融负债的优先股、永续债等其他金融工具）</w:t>
      </w:r>
      <w:bookmarkEnd w:id="326"/>
    </w:p>
    <w:p w14:paraId="16FA44E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8"/>
        <w:gridCol w:w="688"/>
        <w:gridCol w:w="688"/>
        <w:gridCol w:w="688"/>
        <w:gridCol w:w="688"/>
        <w:gridCol w:w="688"/>
        <w:gridCol w:w="688"/>
      </w:tblGrid>
      <w:tr w14:paraId="0302FE1A">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A324D8D">
            <w:pPr>
              <w:spacing w:before="40" w:after="40" w:line="240" w:lineRule="exact"/>
              <w:jc w:val="center"/>
              <w:rPr>
                <w:rFonts w:ascii="宋体" w:hAnsi="宋体" w:eastAsia="宋体" w:cs="宋体"/>
                <w:sz w:val="18"/>
                <w:szCs w:val="18"/>
              </w:rPr>
            </w:pPr>
            <w:r>
              <w:rPr>
                <w:rFonts w:ascii="宋体" w:hAnsi="宋体" w:eastAsia="宋体" w:cs="宋体"/>
                <w:sz w:val="18"/>
                <w:szCs w:val="18"/>
              </w:rPr>
              <w:t>债券名称</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6D5E8D3">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751AEE3">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3AEF1D7">
            <w:pPr>
              <w:spacing w:before="40" w:after="40" w:line="240" w:lineRule="exact"/>
              <w:jc w:val="center"/>
              <w:rPr>
                <w:rFonts w:ascii="宋体" w:hAnsi="宋体" w:eastAsia="宋体" w:cs="宋体"/>
                <w:sz w:val="18"/>
                <w:szCs w:val="18"/>
              </w:rPr>
            </w:pPr>
            <w:r>
              <w:rPr>
                <w:rFonts w:ascii="宋体" w:hAnsi="宋体" w:eastAsia="宋体" w:cs="宋体"/>
                <w:sz w:val="18"/>
                <w:szCs w:val="18"/>
              </w:rPr>
              <w:t>发行日期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980817F">
            <w:pPr>
              <w:spacing w:before="40" w:after="40" w:line="240" w:lineRule="exact"/>
              <w:jc w:val="center"/>
              <w:rPr>
                <w:rFonts w:ascii="宋体" w:hAnsi="宋体" w:eastAsia="宋体" w:cs="宋体"/>
                <w:sz w:val="18"/>
                <w:szCs w:val="18"/>
              </w:rPr>
            </w:pPr>
            <w:r>
              <w:rPr>
                <w:rFonts w:ascii="宋体" w:hAnsi="宋体" w:eastAsia="宋体" w:cs="宋体"/>
                <w:sz w:val="18"/>
                <w:szCs w:val="18"/>
              </w:rPr>
              <w:t>债券期限</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1F4CE6A">
            <w:pPr>
              <w:spacing w:before="40" w:after="40" w:line="240" w:lineRule="exact"/>
              <w:jc w:val="center"/>
              <w:rPr>
                <w:rFonts w:ascii="宋体" w:hAnsi="宋体" w:eastAsia="宋体" w:cs="宋体"/>
                <w:sz w:val="18"/>
                <w:szCs w:val="18"/>
              </w:rPr>
            </w:pPr>
            <w:r>
              <w:rPr>
                <w:rFonts w:ascii="宋体" w:hAnsi="宋体" w:eastAsia="宋体" w:cs="宋体"/>
                <w:sz w:val="18"/>
                <w:szCs w:val="18"/>
              </w:rPr>
              <w:t>发行金额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79F73D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B2C46A5">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本期发行</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C9EE741">
            <w:pPr>
              <w:spacing w:before="40" w:after="40" w:line="240" w:lineRule="exact"/>
              <w:jc w:val="center"/>
              <w:rPr>
                <w:rFonts w:ascii="宋体" w:hAnsi="宋体" w:eastAsia="宋体" w:cs="宋体"/>
                <w:sz w:val="18"/>
                <w:szCs w:val="18"/>
              </w:rPr>
            </w:pPr>
            <w:r>
              <w:rPr>
                <w:rFonts w:ascii="宋体" w:hAnsi="宋体" w:eastAsia="宋体" w:cs="宋体"/>
                <w:sz w:val="18"/>
                <w:szCs w:val="18"/>
              </w:rPr>
              <w:t>按面值计提利息</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71A951C">
            <w:pPr>
              <w:spacing w:before="40" w:after="40" w:line="240" w:lineRule="exact"/>
              <w:jc w:val="center"/>
              <w:rPr>
                <w:rFonts w:ascii="宋体" w:hAnsi="宋体" w:eastAsia="宋体" w:cs="宋体"/>
                <w:sz w:val="18"/>
                <w:szCs w:val="18"/>
              </w:rPr>
            </w:pPr>
            <w:r>
              <w:rPr>
                <w:rFonts w:ascii="宋体" w:hAnsi="宋体" w:eastAsia="宋体" w:cs="宋体"/>
                <w:sz w:val="18"/>
                <w:szCs w:val="18"/>
              </w:rPr>
              <w:t>溢折价摊销</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1D72D9D">
            <w:pPr>
              <w:spacing w:before="40" w:after="40" w:line="240" w:lineRule="exact"/>
              <w:jc w:val="center"/>
              <w:rPr>
                <w:rFonts w:ascii="宋体" w:hAnsi="宋体" w:eastAsia="宋体" w:cs="宋体"/>
                <w:sz w:val="18"/>
                <w:szCs w:val="18"/>
              </w:rPr>
            </w:pPr>
            <w:r>
              <w:rPr>
                <w:rFonts w:ascii="宋体" w:hAnsi="宋体" w:eastAsia="宋体" w:cs="宋体"/>
                <w:sz w:val="18"/>
                <w:szCs w:val="18"/>
              </w:rPr>
              <w:t>本期偿还</w:t>
            </w:r>
          </w:p>
        </w:tc>
        <w:tc>
          <w:tcPr>
            <w:tcW w:w="689" w:type="dxa"/>
            <w:tcBorders>
              <w:top w:val="single" w:color="auto" w:sz="2" w:space="0"/>
              <w:left w:val="single" w:color="auto" w:sz="2" w:space="0"/>
              <w:bottom w:val="single" w:color="auto" w:sz="2" w:space="0"/>
              <w:right w:val="single" w:color="auto" w:sz="2" w:space="0"/>
            </w:tcBorders>
            <w:vAlign w:val="center"/>
          </w:tcPr>
          <w:p w14:paraId="26FD9CBB">
            <w:pPr>
              <w:spacing w:line="240" w:lineRule="exact"/>
              <w:jc w:val="center"/>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A726A5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266F648">
            <w:pPr>
              <w:spacing w:before="40" w:after="40" w:line="240" w:lineRule="exact"/>
              <w:jc w:val="center"/>
              <w:rPr>
                <w:rFonts w:ascii="宋体" w:hAnsi="宋体" w:eastAsia="宋体" w:cs="宋体"/>
                <w:sz w:val="18"/>
                <w:szCs w:val="18"/>
              </w:rPr>
            </w:pPr>
            <w:r>
              <w:rPr>
                <w:rFonts w:ascii="宋体" w:hAnsi="宋体" w:eastAsia="宋体" w:cs="宋体"/>
                <w:sz w:val="18"/>
                <w:szCs w:val="18"/>
              </w:rPr>
              <w:t>是否违约</w:t>
            </w:r>
          </w:p>
        </w:tc>
      </w:tr>
      <w:tr w14:paraId="1D85D901">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24DAEC09">
            <w:pPr>
              <w:spacing w:line="240" w:lineRule="exac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D9DDEC6">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C784A0B">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DBD4211">
            <w:pPr>
              <w:spacing w:line="240" w:lineRule="exac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09C5741">
            <w:pPr>
              <w:spacing w:line="240" w:lineRule="exac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8CBFA43">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44C7ED0">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5A99F75">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7571BF0">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3D7B2D6">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4F47DC1">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2892FED">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40076A2">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0D3EF08">
            <w:pPr>
              <w:spacing w:line="240" w:lineRule="exact"/>
              <w:rPr>
                <w:rFonts w:ascii="宋体" w:hAnsi="宋体" w:eastAsia="宋体" w:cs="宋体"/>
                <w:sz w:val="18"/>
                <w:szCs w:val="18"/>
              </w:rPr>
            </w:pPr>
          </w:p>
        </w:tc>
      </w:tr>
      <w:tr w14:paraId="0CBF0DA9">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2E2BFB3">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FE102AE"/>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630A015"/>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27A1B6D"/>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17AD740"/>
        </w:tc>
        <w:tc>
          <w:tcPr>
            <w:tcW w:w="689" w:type="dxa"/>
            <w:tcBorders>
              <w:top w:val="single" w:color="auto" w:sz="2" w:space="0"/>
              <w:left w:val="single" w:color="auto" w:sz="2" w:space="0"/>
              <w:bottom w:val="single" w:color="auto" w:sz="2" w:space="0"/>
              <w:right w:val="single" w:color="auto" w:sz="2" w:space="0"/>
            </w:tcBorders>
            <w:vAlign w:val="center"/>
          </w:tcPr>
          <w:p w14:paraId="00A08401">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8F4C500">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136520A">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BF62216">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C867D10">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E7884D5">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08CDE29">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7338B42">
            <w:pPr>
              <w:spacing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F723DF0"/>
        </w:tc>
      </w:tr>
    </w:tbl>
    <w:p w14:paraId="1B997B5F">
      <w:pPr>
        <w:keepNext/>
        <w:keepLines/>
        <w:spacing w:before="300" w:after="100" w:line="280" w:lineRule="exact"/>
        <w:outlineLvl w:val="3"/>
      </w:pPr>
      <w:bookmarkStart w:id="327" w:name="_Toc989216"/>
      <w:r>
        <w:rPr>
          <w:rFonts w:ascii="宋体" w:hAnsi="宋体" w:eastAsia="宋体" w:cs="宋体"/>
          <w:b/>
          <w:bCs/>
          <w:szCs w:val="21"/>
        </w:rPr>
        <w:t>（3） 可转换公司债券的说明</w:t>
      </w:r>
      <w:bookmarkEnd w:id="327"/>
    </w:p>
    <w:p w14:paraId="7F6314C0">
      <w:pPr>
        <w:keepNext/>
        <w:keepLines/>
        <w:spacing w:before="300" w:after="100" w:line="280" w:lineRule="exact"/>
        <w:outlineLvl w:val="3"/>
        <w:rPr>
          <w:rFonts w:ascii="宋体" w:hAnsi="宋体" w:eastAsia="宋体" w:cs="宋体"/>
          <w:b/>
          <w:bCs/>
          <w:szCs w:val="21"/>
        </w:rPr>
      </w:pPr>
      <w:bookmarkStart w:id="328" w:name="_Toc989217"/>
      <w:r>
        <w:rPr>
          <w:rFonts w:ascii="宋体" w:hAnsi="宋体" w:eastAsia="宋体" w:cs="宋体"/>
          <w:b/>
          <w:bCs/>
          <w:szCs w:val="21"/>
        </w:rPr>
        <w:t>（4） 划分为金融负债的其他金融工具说明</w:t>
      </w:r>
      <w:bookmarkEnd w:id="328"/>
    </w:p>
    <w:p w14:paraId="1E052B09">
      <w:pPr>
        <w:spacing w:before="100" w:after="100" w:line="240" w:lineRule="exact"/>
      </w:pPr>
      <w:r>
        <w:rPr>
          <w:rFonts w:ascii="宋体" w:hAnsi="宋体" w:eastAsia="宋体" w:cs="宋体"/>
          <w:sz w:val="18"/>
          <w:szCs w:val="18"/>
        </w:rPr>
        <w:t>期末发行在外的优先股、永续债等其他金融工具基本情况</w:t>
      </w:r>
    </w:p>
    <w:p w14:paraId="4EEACE0B">
      <w:pPr>
        <w:spacing w:before="100" w:after="100" w:line="240" w:lineRule="exact"/>
        <w:rPr>
          <w:rFonts w:ascii="宋体" w:hAnsi="宋体" w:eastAsia="宋体" w:cs="宋体"/>
          <w:sz w:val="18"/>
          <w:szCs w:val="18"/>
        </w:rPr>
      </w:pPr>
      <w:r>
        <w:rPr>
          <w:rFonts w:ascii="宋体" w:hAnsi="宋体" w:eastAsia="宋体" w:cs="宋体"/>
          <w:sz w:val="18"/>
          <w:szCs w:val="18"/>
        </w:rPr>
        <w:t>期末发行在外的优先股、永续债等金融工具变动情况表</w:t>
      </w:r>
    </w:p>
    <w:p w14:paraId="20EF66C5">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7DFCC0D4">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466730">
            <w:pPr>
              <w:spacing w:before="40" w:after="40" w:line="240" w:lineRule="exact"/>
              <w:jc w:val="center"/>
              <w:rPr>
                <w:rFonts w:ascii="宋体" w:hAnsi="宋体" w:eastAsia="宋体" w:cs="宋体"/>
                <w:sz w:val="18"/>
                <w:szCs w:val="18"/>
              </w:rPr>
            </w:pPr>
            <w:r>
              <w:rPr>
                <w:rFonts w:ascii="宋体" w:hAnsi="宋体" w:eastAsia="宋体" w:cs="宋体"/>
                <w:sz w:val="18"/>
                <w:szCs w:val="18"/>
              </w:rPr>
              <w:t>发行在外的金融工具</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6F16B2F">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6A9E69B">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F009DF3">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5B864B8">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r>
      <w:tr w14:paraId="438321A0">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vAlign w:val="center"/>
          </w:tcPr>
          <w:p w14:paraId="647E8AF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A6DD0E">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D7B576C">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FD5B54F">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49960D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2489A5">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3C1569C">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246614">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E6CEB13">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7A84071F">
      <w:pPr>
        <w:spacing w:before="100" w:after="100" w:line="240" w:lineRule="exact"/>
      </w:pPr>
      <w:r>
        <w:rPr>
          <w:rFonts w:ascii="宋体" w:hAnsi="宋体" w:eastAsia="宋体" w:cs="宋体"/>
          <w:sz w:val="18"/>
          <w:szCs w:val="18"/>
        </w:rPr>
        <w:t>其他金融工具划分为金融负债的依据说明</w:t>
      </w:r>
    </w:p>
    <w:p w14:paraId="290B753A">
      <w:pPr>
        <w:spacing w:before="100" w:after="100" w:line="240" w:lineRule="exact"/>
      </w:pPr>
      <w:r>
        <w:rPr>
          <w:rFonts w:ascii="宋体" w:hAnsi="宋体" w:eastAsia="宋体" w:cs="宋体"/>
          <w:sz w:val="18"/>
          <w:szCs w:val="18"/>
        </w:rPr>
        <w:t>其他说明</w:t>
      </w:r>
    </w:p>
    <w:p w14:paraId="608E5211">
      <w:pPr>
        <w:pStyle w:val="3"/>
        <w:spacing w:after="100" w:line="280" w:lineRule="exact"/>
        <w:jc w:val="left"/>
        <w:rPr>
          <w:rFonts w:ascii="宋体" w:hAnsi="宋体" w:cs="宋体"/>
          <w:b/>
          <w:bCs/>
        </w:rPr>
      </w:pPr>
      <w:bookmarkStart w:id="329" w:name="_Toc989218"/>
      <w:r>
        <w:rPr>
          <w:rFonts w:ascii="宋体" w:hAnsi="宋体" w:cs="宋体"/>
          <w:b/>
          <w:bCs/>
        </w:rPr>
        <w:t>47、租赁负债</w:t>
      </w:r>
      <w:bookmarkEnd w:id="329"/>
    </w:p>
    <w:p w14:paraId="4EEF448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892A11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2577B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6D8A0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56233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267FE5A0">
      <w:pPr>
        <w:spacing w:before="100" w:after="100" w:line="240" w:lineRule="exact"/>
      </w:pPr>
      <w:r>
        <w:rPr>
          <w:rFonts w:ascii="宋体" w:hAnsi="宋体" w:eastAsia="宋体" w:cs="宋体"/>
          <w:sz w:val="18"/>
          <w:szCs w:val="18"/>
        </w:rPr>
        <w:t>其他说明：</w:t>
      </w:r>
    </w:p>
    <w:p w14:paraId="20276EAB">
      <w:pPr>
        <w:pStyle w:val="3"/>
        <w:spacing w:after="100" w:line="280" w:lineRule="exact"/>
        <w:jc w:val="left"/>
        <w:rPr>
          <w:rFonts w:ascii="宋体" w:hAnsi="宋体" w:cs="宋体"/>
          <w:b/>
          <w:bCs/>
        </w:rPr>
      </w:pPr>
      <w:bookmarkStart w:id="330" w:name="_Toc989219"/>
      <w:r>
        <w:rPr>
          <w:rFonts w:ascii="宋体" w:hAnsi="宋体" w:cs="宋体"/>
          <w:b/>
          <w:bCs/>
        </w:rPr>
        <w:t>48、长期应付款</w:t>
      </w:r>
      <w:bookmarkEnd w:id="330"/>
    </w:p>
    <w:p w14:paraId="23CD4B8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77FD33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800E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A70C2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8A58D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DD63F37">
      <w:pPr>
        <w:keepNext/>
        <w:keepLines/>
        <w:spacing w:before="300" w:after="100" w:line="280" w:lineRule="exact"/>
        <w:outlineLvl w:val="3"/>
        <w:rPr>
          <w:rFonts w:ascii="宋体" w:hAnsi="宋体" w:eastAsia="宋体" w:cs="宋体"/>
          <w:b/>
          <w:bCs/>
          <w:sz w:val="18"/>
          <w:szCs w:val="18"/>
        </w:rPr>
      </w:pPr>
      <w:bookmarkStart w:id="331" w:name="_Toc989220"/>
      <w:r>
        <w:rPr>
          <w:rFonts w:ascii="宋体" w:hAnsi="宋体" w:eastAsia="宋体" w:cs="宋体"/>
          <w:b/>
          <w:bCs/>
          <w:sz w:val="18"/>
          <w:szCs w:val="18"/>
        </w:rPr>
        <w:t>（1） 按款项性质列示长期应付款</w:t>
      </w:r>
      <w:bookmarkEnd w:id="331"/>
    </w:p>
    <w:p w14:paraId="1F440C35">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90E0FF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94FE09">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25C43">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FA4AA3">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6BB7276">
      <w:pPr>
        <w:spacing w:before="100" w:after="100" w:line="240" w:lineRule="exact"/>
      </w:pPr>
      <w:r>
        <w:rPr>
          <w:rFonts w:ascii="宋体" w:hAnsi="宋体" w:eastAsia="宋体" w:cs="宋体"/>
          <w:sz w:val="18"/>
          <w:szCs w:val="18"/>
        </w:rPr>
        <w:t>其他说明：</w:t>
      </w:r>
    </w:p>
    <w:p w14:paraId="7136E4D1">
      <w:pPr>
        <w:keepNext/>
        <w:keepLines/>
        <w:spacing w:before="300" w:after="100" w:line="280" w:lineRule="exact"/>
        <w:outlineLvl w:val="3"/>
        <w:rPr>
          <w:rFonts w:ascii="宋体" w:hAnsi="宋体" w:eastAsia="宋体" w:cs="宋体"/>
          <w:b/>
          <w:bCs/>
          <w:sz w:val="18"/>
          <w:szCs w:val="18"/>
        </w:rPr>
      </w:pPr>
      <w:bookmarkStart w:id="332" w:name="_Toc989221"/>
      <w:r>
        <w:rPr>
          <w:rFonts w:ascii="宋体" w:hAnsi="宋体" w:eastAsia="宋体" w:cs="宋体"/>
          <w:b/>
          <w:bCs/>
          <w:sz w:val="18"/>
          <w:szCs w:val="18"/>
        </w:rPr>
        <w:t>（2） 专项应付款</w:t>
      </w:r>
      <w:bookmarkEnd w:id="332"/>
    </w:p>
    <w:p w14:paraId="61F50A8E">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77DCA990">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A2C155">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EDF81E4">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F86E184">
            <w:pPr>
              <w:spacing w:before="40" w:after="10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4866F0E">
            <w:pPr>
              <w:spacing w:before="40" w:after="10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5F275A">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759B88">
            <w:pPr>
              <w:spacing w:before="40" w:after="100" w:line="240" w:lineRule="exact"/>
              <w:jc w:val="center"/>
              <w:rPr>
                <w:rFonts w:ascii="宋体" w:hAnsi="宋体" w:eastAsia="宋体" w:cs="宋体"/>
                <w:sz w:val="18"/>
                <w:szCs w:val="18"/>
              </w:rPr>
            </w:pPr>
            <w:r>
              <w:rPr>
                <w:rFonts w:ascii="宋体" w:hAnsi="宋体" w:eastAsia="宋体" w:cs="宋体"/>
                <w:sz w:val="18"/>
                <w:szCs w:val="18"/>
              </w:rPr>
              <w:t>形成原因</w:t>
            </w:r>
          </w:p>
        </w:tc>
      </w:tr>
    </w:tbl>
    <w:p w14:paraId="253E10C3">
      <w:pPr>
        <w:spacing w:before="100" w:after="100" w:line="240" w:lineRule="exact"/>
      </w:pPr>
      <w:r>
        <w:rPr>
          <w:rFonts w:ascii="宋体" w:hAnsi="宋体" w:eastAsia="宋体" w:cs="宋体"/>
          <w:sz w:val="18"/>
          <w:szCs w:val="18"/>
        </w:rPr>
        <w:t>其他说明：</w:t>
      </w:r>
    </w:p>
    <w:p w14:paraId="42051B96">
      <w:pPr>
        <w:pStyle w:val="3"/>
        <w:spacing w:after="100" w:line="280" w:lineRule="exact"/>
        <w:jc w:val="left"/>
        <w:rPr>
          <w:rFonts w:ascii="宋体" w:hAnsi="宋体" w:cs="宋体"/>
          <w:b/>
          <w:bCs/>
        </w:rPr>
      </w:pPr>
      <w:bookmarkStart w:id="333" w:name="_Toc989222"/>
      <w:r>
        <w:rPr>
          <w:rFonts w:ascii="宋体" w:hAnsi="宋体" w:cs="宋体"/>
          <w:b/>
          <w:bCs/>
        </w:rPr>
        <w:t>49、长期应付职工薪酬</w:t>
      </w:r>
      <w:bookmarkEnd w:id="333"/>
    </w:p>
    <w:p w14:paraId="59002D5F">
      <w:pPr>
        <w:keepNext/>
        <w:keepLines/>
        <w:spacing w:before="300" w:after="100" w:line="280" w:lineRule="exact"/>
        <w:outlineLvl w:val="3"/>
        <w:rPr>
          <w:rFonts w:ascii="宋体" w:hAnsi="宋体" w:eastAsia="宋体" w:cs="宋体"/>
          <w:b/>
          <w:bCs/>
          <w:sz w:val="18"/>
          <w:szCs w:val="18"/>
        </w:rPr>
      </w:pPr>
      <w:bookmarkStart w:id="334" w:name="_Toc989223"/>
      <w:r>
        <w:rPr>
          <w:rFonts w:ascii="宋体" w:hAnsi="宋体" w:eastAsia="宋体" w:cs="宋体"/>
          <w:b/>
          <w:bCs/>
          <w:sz w:val="18"/>
          <w:szCs w:val="18"/>
        </w:rPr>
        <w:t>（1） 长期应付职工薪酬表</w:t>
      </w:r>
      <w:bookmarkEnd w:id="334"/>
    </w:p>
    <w:p w14:paraId="76D97438">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902860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C78F7">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C94F83">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FBF568">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0DD7073">
      <w:pPr>
        <w:keepNext/>
        <w:keepLines/>
        <w:spacing w:before="300" w:after="100" w:line="280" w:lineRule="exact"/>
        <w:outlineLvl w:val="3"/>
        <w:rPr>
          <w:rFonts w:ascii="宋体" w:hAnsi="宋体" w:eastAsia="宋体" w:cs="宋体"/>
          <w:b/>
          <w:bCs/>
          <w:sz w:val="18"/>
          <w:szCs w:val="18"/>
        </w:rPr>
      </w:pPr>
      <w:bookmarkStart w:id="335" w:name="_Toc989224"/>
      <w:r>
        <w:rPr>
          <w:rFonts w:ascii="宋体" w:hAnsi="宋体" w:eastAsia="宋体" w:cs="宋体"/>
          <w:b/>
          <w:bCs/>
          <w:sz w:val="18"/>
          <w:szCs w:val="18"/>
        </w:rPr>
        <w:t>（2） 设定受益计划变动情况</w:t>
      </w:r>
      <w:bookmarkEnd w:id="335"/>
    </w:p>
    <w:p w14:paraId="4A2FA971">
      <w:pPr>
        <w:spacing w:before="120" w:after="100" w:line="240" w:lineRule="exact"/>
        <w:rPr>
          <w:rFonts w:ascii="宋体" w:hAnsi="宋体" w:eastAsia="宋体" w:cs="宋体"/>
          <w:sz w:val="18"/>
          <w:szCs w:val="18"/>
        </w:rPr>
      </w:pPr>
      <w:r>
        <w:rPr>
          <w:rFonts w:ascii="宋体" w:hAnsi="宋体" w:eastAsia="宋体" w:cs="宋体"/>
          <w:sz w:val="18"/>
          <w:szCs w:val="18"/>
        </w:rPr>
        <w:t>设定受益计划义务现值：</w:t>
      </w:r>
    </w:p>
    <w:p w14:paraId="218440B3">
      <w:pPr>
        <w:spacing w:before="12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2839A7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B2E080">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5B87AA">
            <w:pPr>
              <w:spacing w:before="40" w:after="10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702D38">
            <w:pPr>
              <w:spacing w:before="40" w:after="10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7DCA320D">
      <w:pPr>
        <w:spacing w:before="100" w:after="100" w:line="240" w:lineRule="exact"/>
        <w:rPr>
          <w:rFonts w:ascii="宋体" w:hAnsi="宋体" w:eastAsia="宋体" w:cs="宋体"/>
          <w:sz w:val="18"/>
          <w:szCs w:val="18"/>
        </w:rPr>
      </w:pPr>
      <w:r>
        <w:rPr>
          <w:rFonts w:ascii="宋体" w:hAnsi="宋体" w:eastAsia="宋体" w:cs="宋体"/>
          <w:sz w:val="18"/>
          <w:szCs w:val="18"/>
        </w:rPr>
        <w:t>计划资产：</w:t>
      </w:r>
    </w:p>
    <w:p w14:paraId="50EF26F7">
      <w:pPr>
        <w:spacing w:before="12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FCB69D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B6B085">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9E892D">
            <w:pPr>
              <w:spacing w:before="40" w:after="10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01594B">
            <w:pPr>
              <w:spacing w:before="40" w:after="10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29A81D8C">
      <w:pPr>
        <w:spacing w:before="100" w:after="100" w:line="240" w:lineRule="exact"/>
        <w:rPr>
          <w:rFonts w:ascii="宋体" w:hAnsi="宋体" w:eastAsia="宋体" w:cs="宋体"/>
          <w:sz w:val="18"/>
          <w:szCs w:val="18"/>
        </w:rPr>
      </w:pPr>
      <w:r>
        <w:rPr>
          <w:rFonts w:ascii="宋体" w:hAnsi="宋体" w:eastAsia="宋体" w:cs="宋体"/>
          <w:sz w:val="18"/>
          <w:szCs w:val="18"/>
        </w:rPr>
        <w:t>设定受益计划净负债（净资产）</w:t>
      </w:r>
    </w:p>
    <w:p w14:paraId="31823F6E">
      <w:pPr>
        <w:spacing w:before="12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184D1A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C821F2">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B2997">
            <w:pPr>
              <w:spacing w:before="40" w:after="10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075642">
            <w:pPr>
              <w:spacing w:before="40" w:after="10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3B5A15FC">
      <w:pPr>
        <w:spacing w:before="100" w:after="100" w:line="240" w:lineRule="exact"/>
      </w:pPr>
      <w:r>
        <w:rPr>
          <w:rFonts w:ascii="宋体" w:hAnsi="宋体" w:eastAsia="宋体" w:cs="宋体"/>
          <w:sz w:val="18"/>
          <w:szCs w:val="18"/>
        </w:rPr>
        <w:t>设定受益计划的内容及与之相关风险、对公司未来现金流量、时间和不确定性的影响说明：</w:t>
      </w:r>
    </w:p>
    <w:p w14:paraId="71666628">
      <w:pPr>
        <w:spacing w:before="100" w:after="100" w:line="240" w:lineRule="exact"/>
      </w:pPr>
      <w:r>
        <w:rPr>
          <w:rFonts w:ascii="宋体" w:hAnsi="宋体" w:eastAsia="宋体" w:cs="宋体"/>
          <w:sz w:val="18"/>
          <w:szCs w:val="18"/>
        </w:rPr>
        <w:t>设定受益计划重大精算假设及敏感性分析结果说明：</w:t>
      </w:r>
    </w:p>
    <w:p w14:paraId="4E6BFC63">
      <w:pPr>
        <w:spacing w:before="100" w:after="100" w:line="240" w:lineRule="exact"/>
      </w:pPr>
      <w:r>
        <w:rPr>
          <w:rFonts w:ascii="宋体" w:hAnsi="宋体" w:eastAsia="宋体" w:cs="宋体"/>
          <w:sz w:val="18"/>
          <w:szCs w:val="18"/>
        </w:rPr>
        <w:t>其他说明：</w:t>
      </w:r>
    </w:p>
    <w:p w14:paraId="319508D8">
      <w:pPr>
        <w:pStyle w:val="3"/>
        <w:spacing w:after="100" w:line="280" w:lineRule="exact"/>
        <w:jc w:val="left"/>
        <w:rPr>
          <w:rFonts w:ascii="宋体" w:hAnsi="宋体" w:cs="宋体"/>
          <w:b/>
          <w:bCs/>
        </w:rPr>
      </w:pPr>
      <w:bookmarkStart w:id="336" w:name="_Toc989225"/>
      <w:r>
        <w:rPr>
          <w:rFonts w:ascii="宋体" w:hAnsi="宋体" w:cs="宋体"/>
          <w:b/>
          <w:bCs/>
        </w:rPr>
        <w:t>50、预计负债</w:t>
      </w:r>
      <w:bookmarkEnd w:id="336"/>
    </w:p>
    <w:p w14:paraId="3D811AC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8C38B11">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EC91F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AA7A1F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BFE662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A136E3">
            <w:pPr>
              <w:spacing w:before="40" w:after="40" w:line="240" w:lineRule="exact"/>
              <w:jc w:val="center"/>
              <w:rPr>
                <w:rFonts w:ascii="宋体" w:hAnsi="宋体" w:eastAsia="宋体" w:cs="宋体"/>
                <w:sz w:val="18"/>
                <w:szCs w:val="18"/>
              </w:rPr>
            </w:pPr>
            <w:r>
              <w:rPr>
                <w:rFonts w:ascii="宋体" w:hAnsi="宋体" w:eastAsia="宋体" w:cs="宋体"/>
                <w:sz w:val="18"/>
                <w:szCs w:val="18"/>
              </w:rPr>
              <w:t>形成原因</w:t>
            </w:r>
          </w:p>
        </w:tc>
      </w:tr>
      <w:tr w14:paraId="7B54CDC8">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0BAD488">
            <w:pPr>
              <w:spacing w:before="40" w:after="40" w:line="240" w:lineRule="exact"/>
              <w:rPr>
                <w:rFonts w:ascii="宋体" w:hAnsi="宋体" w:eastAsia="宋体" w:cs="宋体"/>
                <w:sz w:val="18"/>
                <w:szCs w:val="18"/>
              </w:rPr>
            </w:pPr>
            <w:r>
              <w:rPr>
                <w:rFonts w:ascii="宋体" w:hAnsi="宋体" w:eastAsia="宋体" w:cs="宋体"/>
                <w:sz w:val="18"/>
                <w:szCs w:val="18"/>
              </w:rPr>
              <w:t>未决诉讼</w:t>
            </w:r>
          </w:p>
        </w:tc>
        <w:tc>
          <w:tcPr>
            <w:tcW w:w="2410" w:type="dxa"/>
            <w:tcBorders>
              <w:top w:val="single" w:color="auto" w:sz="2" w:space="0"/>
              <w:left w:val="single" w:color="auto" w:sz="2" w:space="0"/>
              <w:bottom w:val="single" w:color="auto" w:sz="2" w:space="0"/>
              <w:right w:val="single" w:color="auto" w:sz="2" w:space="0"/>
            </w:tcBorders>
            <w:vAlign w:val="center"/>
          </w:tcPr>
          <w:p w14:paraId="5A783893">
            <w:pPr>
              <w:spacing w:line="240" w:lineRule="exact"/>
              <w:jc w:val="right"/>
              <w:rPr>
                <w:rFonts w:ascii="宋体" w:hAnsi="宋体" w:eastAsia="宋体" w:cs="宋体"/>
                <w:sz w:val="18"/>
                <w:szCs w:val="18"/>
              </w:rPr>
            </w:pPr>
            <w:r>
              <w:rPr>
                <w:rFonts w:ascii="宋体" w:hAnsi="宋体" w:eastAsia="宋体" w:cs="宋体"/>
                <w:sz w:val="18"/>
                <w:szCs w:val="18"/>
              </w:rPr>
              <w:t>25,122,712.00</w:t>
            </w:r>
          </w:p>
        </w:tc>
        <w:tc>
          <w:tcPr>
            <w:tcW w:w="2410" w:type="dxa"/>
            <w:tcBorders>
              <w:top w:val="single" w:color="auto" w:sz="2" w:space="0"/>
              <w:left w:val="single" w:color="auto" w:sz="2" w:space="0"/>
              <w:bottom w:val="single" w:color="auto" w:sz="2" w:space="0"/>
              <w:right w:val="single" w:color="auto" w:sz="2" w:space="0"/>
            </w:tcBorders>
            <w:vAlign w:val="center"/>
          </w:tcPr>
          <w:p w14:paraId="511F5111">
            <w:pPr>
              <w:spacing w:line="240" w:lineRule="exact"/>
              <w:jc w:val="right"/>
              <w:rPr>
                <w:rFonts w:ascii="宋体" w:hAnsi="宋体" w:eastAsia="宋体" w:cs="宋体"/>
                <w:sz w:val="18"/>
                <w:szCs w:val="18"/>
              </w:rPr>
            </w:pPr>
            <w:r>
              <w:rPr>
                <w:rFonts w:ascii="宋体" w:hAnsi="宋体" w:eastAsia="宋体" w:cs="宋体"/>
                <w:sz w:val="18"/>
                <w:szCs w:val="18"/>
              </w:rPr>
              <w:t>25,122,712.00</w:t>
            </w:r>
          </w:p>
        </w:tc>
        <w:tc>
          <w:tcPr>
            <w:tcW w:w="2410" w:type="dxa"/>
            <w:tcBorders>
              <w:top w:val="single" w:color="auto" w:sz="2" w:space="0"/>
              <w:left w:val="single" w:color="auto" w:sz="2" w:space="0"/>
              <w:bottom w:val="single" w:color="auto" w:sz="2" w:space="0"/>
              <w:right w:val="single" w:color="auto" w:sz="2" w:space="0"/>
            </w:tcBorders>
            <w:vAlign w:val="center"/>
          </w:tcPr>
          <w:p w14:paraId="3975E812">
            <w:pPr>
              <w:spacing w:line="240" w:lineRule="exact"/>
              <w:rPr>
                <w:rFonts w:ascii="宋体" w:hAnsi="宋体" w:eastAsia="宋体" w:cs="宋体"/>
                <w:sz w:val="18"/>
                <w:szCs w:val="18"/>
              </w:rPr>
            </w:pPr>
            <w:r>
              <w:rPr>
                <w:rFonts w:ascii="宋体" w:hAnsi="宋体" w:eastAsia="宋体" w:cs="宋体"/>
                <w:sz w:val="18"/>
                <w:szCs w:val="18"/>
              </w:rPr>
              <w:t>详见本报告第十节、十六、2、或有事项</w:t>
            </w:r>
          </w:p>
        </w:tc>
      </w:tr>
      <w:tr w14:paraId="6381D97C">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F676A4A">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3D6583CE">
            <w:pPr>
              <w:spacing w:line="240" w:lineRule="exact"/>
              <w:jc w:val="right"/>
              <w:rPr>
                <w:rFonts w:ascii="宋体" w:hAnsi="宋体" w:eastAsia="宋体" w:cs="宋体"/>
                <w:sz w:val="18"/>
                <w:szCs w:val="18"/>
              </w:rPr>
            </w:pPr>
            <w:r>
              <w:rPr>
                <w:rFonts w:ascii="宋体" w:hAnsi="宋体" w:eastAsia="宋体" w:cs="宋体"/>
                <w:sz w:val="18"/>
                <w:szCs w:val="18"/>
              </w:rPr>
              <w:t>25,122,712.00</w:t>
            </w:r>
          </w:p>
        </w:tc>
        <w:tc>
          <w:tcPr>
            <w:tcW w:w="2410" w:type="dxa"/>
            <w:tcBorders>
              <w:top w:val="single" w:color="auto" w:sz="2" w:space="0"/>
              <w:left w:val="single" w:color="auto" w:sz="2" w:space="0"/>
              <w:bottom w:val="single" w:color="auto" w:sz="2" w:space="0"/>
              <w:right w:val="single" w:color="auto" w:sz="2" w:space="0"/>
            </w:tcBorders>
            <w:vAlign w:val="center"/>
          </w:tcPr>
          <w:p w14:paraId="7A7E5777">
            <w:pPr>
              <w:spacing w:line="240" w:lineRule="exact"/>
              <w:jc w:val="right"/>
              <w:rPr>
                <w:rFonts w:ascii="宋体" w:hAnsi="宋体" w:eastAsia="宋体" w:cs="宋体"/>
                <w:sz w:val="18"/>
                <w:szCs w:val="18"/>
              </w:rPr>
            </w:pPr>
            <w:r>
              <w:rPr>
                <w:rFonts w:ascii="宋体" w:hAnsi="宋体" w:eastAsia="宋体" w:cs="宋体"/>
                <w:sz w:val="18"/>
                <w:szCs w:val="18"/>
              </w:rPr>
              <w:t>25,122,712.00</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EE6411"/>
        </w:tc>
      </w:tr>
    </w:tbl>
    <w:p w14:paraId="3AD802C4">
      <w:pPr>
        <w:spacing w:before="100" w:after="100" w:line="240" w:lineRule="exact"/>
      </w:pPr>
      <w:r>
        <w:rPr>
          <w:rFonts w:ascii="宋体" w:hAnsi="宋体" w:eastAsia="宋体" w:cs="宋体"/>
          <w:sz w:val="18"/>
          <w:szCs w:val="18"/>
        </w:rPr>
        <w:t>其他说明，包括重要预计负债的相关重要假设、估计说明：</w:t>
      </w:r>
    </w:p>
    <w:p w14:paraId="0B8892D8">
      <w:pPr>
        <w:pStyle w:val="3"/>
        <w:spacing w:after="100" w:line="280" w:lineRule="exact"/>
        <w:jc w:val="left"/>
        <w:rPr>
          <w:rFonts w:ascii="宋体" w:hAnsi="宋体" w:cs="宋体"/>
          <w:b/>
          <w:bCs/>
        </w:rPr>
      </w:pPr>
      <w:bookmarkStart w:id="337" w:name="_Toc989226"/>
      <w:r>
        <w:rPr>
          <w:rFonts w:ascii="宋体" w:hAnsi="宋体" w:cs="宋体"/>
          <w:b/>
          <w:bCs/>
        </w:rPr>
        <w:t>51、递延收益</w:t>
      </w:r>
      <w:bookmarkEnd w:id="337"/>
    </w:p>
    <w:p w14:paraId="11761EF2">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375402B4">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8DDF69">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CC0B383">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B35F83">
            <w:pPr>
              <w:spacing w:before="40" w:after="10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6403E7">
            <w:pPr>
              <w:spacing w:before="40" w:after="10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F66A30">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54B942">
            <w:pPr>
              <w:spacing w:before="40" w:after="100" w:line="240" w:lineRule="exact"/>
              <w:jc w:val="center"/>
              <w:rPr>
                <w:rFonts w:ascii="宋体" w:hAnsi="宋体" w:eastAsia="宋体" w:cs="宋体"/>
                <w:sz w:val="18"/>
                <w:szCs w:val="18"/>
              </w:rPr>
            </w:pPr>
            <w:r>
              <w:rPr>
                <w:rFonts w:ascii="宋体" w:hAnsi="宋体" w:eastAsia="宋体" w:cs="宋体"/>
                <w:sz w:val="18"/>
                <w:szCs w:val="18"/>
              </w:rPr>
              <w:t>形成原因</w:t>
            </w:r>
          </w:p>
        </w:tc>
      </w:tr>
      <w:tr w14:paraId="51546B46">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CF87242">
            <w:pPr>
              <w:spacing w:before="40" w:after="100" w:line="240" w:lineRule="exact"/>
              <w:rPr>
                <w:rFonts w:ascii="宋体" w:hAnsi="宋体" w:eastAsia="宋体" w:cs="宋体"/>
                <w:sz w:val="18"/>
                <w:szCs w:val="18"/>
              </w:rPr>
            </w:pPr>
            <w:r>
              <w:rPr>
                <w:rFonts w:ascii="宋体" w:hAnsi="宋体" w:eastAsia="宋体" w:cs="宋体"/>
                <w:sz w:val="18"/>
                <w:szCs w:val="18"/>
              </w:rPr>
              <w:t>政府补助</w:t>
            </w:r>
          </w:p>
        </w:tc>
        <w:tc>
          <w:tcPr>
            <w:tcW w:w="1606" w:type="dxa"/>
            <w:tcBorders>
              <w:top w:val="single" w:color="auto" w:sz="2" w:space="0"/>
              <w:left w:val="single" w:color="auto" w:sz="2" w:space="0"/>
              <w:bottom w:val="single" w:color="auto" w:sz="2" w:space="0"/>
              <w:right w:val="single" w:color="auto" w:sz="2" w:space="0"/>
            </w:tcBorders>
            <w:vAlign w:val="center"/>
          </w:tcPr>
          <w:p w14:paraId="524410A9">
            <w:pPr>
              <w:spacing w:after="100" w:line="240" w:lineRule="exact"/>
              <w:jc w:val="right"/>
              <w:rPr>
                <w:rFonts w:ascii="宋体" w:hAnsi="宋体" w:eastAsia="宋体" w:cs="宋体"/>
                <w:sz w:val="18"/>
                <w:szCs w:val="18"/>
              </w:rPr>
            </w:pPr>
            <w:r>
              <w:rPr>
                <w:rFonts w:ascii="宋体" w:hAnsi="宋体" w:eastAsia="宋体" w:cs="宋体"/>
                <w:sz w:val="18"/>
                <w:szCs w:val="18"/>
              </w:rPr>
              <w:t>789,041.41</w:t>
            </w:r>
          </w:p>
        </w:tc>
        <w:tc>
          <w:tcPr>
            <w:tcW w:w="1606" w:type="dxa"/>
            <w:tcBorders>
              <w:top w:val="single" w:color="auto" w:sz="2" w:space="0"/>
              <w:left w:val="single" w:color="auto" w:sz="2" w:space="0"/>
              <w:bottom w:val="single" w:color="auto" w:sz="2" w:space="0"/>
              <w:right w:val="single" w:color="auto" w:sz="2" w:space="0"/>
            </w:tcBorders>
            <w:vAlign w:val="center"/>
          </w:tcPr>
          <w:p w14:paraId="18401690">
            <w:pPr>
              <w:spacing w:after="10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DAE4CC1">
            <w:pPr>
              <w:spacing w:after="10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2C37C07">
            <w:pPr>
              <w:spacing w:after="100" w:line="240" w:lineRule="exact"/>
              <w:jc w:val="right"/>
              <w:rPr>
                <w:rFonts w:ascii="宋体" w:hAnsi="宋体" w:eastAsia="宋体" w:cs="宋体"/>
                <w:sz w:val="18"/>
                <w:szCs w:val="18"/>
              </w:rPr>
            </w:pPr>
            <w:r>
              <w:rPr>
                <w:rFonts w:ascii="宋体" w:hAnsi="宋体" w:eastAsia="宋体" w:cs="宋体"/>
                <w:sz w:val="18"/>
                <w:szCs w:val="18"/>
              </w:rPr>
              <w:t>789,041.41</w:t>
            </w:r>
          </w:p>
        </w:tc>
        <w:tc>
          <w:tcPr>
            <w:tcW w:w="1606" w:type="dxa"/>
            <w:tcBorders>
              <w:top w:val="single" w:color="auto" w:sz="2" w:space="0"/>
              <w:left w:val="single" w:color="auto" w:sz="2" w:space="0"/>
              <w:bottom w:val="single" w:color="auto" w:sz="2" w:space="0"/>
              <w:right w:val="single" w:color="auto" w:sz="2" w:space="0"/>
            </w:tcBorders>
            <w:vAlign w:val="center"/>
          </w:tcPr>
          <w:p w14:paraId="3079F262">
            <w:pPr>
              <w:spacing w:after="100" w:line="240" w:lineRule="exact"/>
              <w:rPr>
                <w:rFonts w:ascii="宋体" w:hAnsi="宋体" w:eastAsia="宋体" w:cs="宋体"/>
                <w:sz w:val="18"/>
                <w:szCs w:val="18"/>
              </w:rPr>
            </w:pPr>
          </w:p>
        </w:tc>
      </w:tr>
      <w:tr w14:paraId="62E67E05">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EA435D2">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6CB18783">
            <w:pPr>
              <w:spacing w:after="100" w:line="240" w:lineRule="exact"/>
              <w:jc w:val="right"/>
              <w:rPr>
                <w:rFonts w:ascii="宋体" w:hAnsi="宋体" w:eastAsia="宋体" w:cs="宋体"/>
                <w:sz w:val="18"/>
                <w:szCs w:val="18"/>
              </w:rPr>
            </w:pPr>
            <w:r>
              <w:rPr>
                <w:rFonts w:ascii="宋体" w:hAnsi="宋体" w:eastAsia="宋体" w:cs="宋体"/>
                <w:sz w:val="18"/>
                <w:szCs w:val="18"/>
              </w:rPr>
              <w:t>789,041.41</w:t>
            </w:r>
          </w:p>
        </w:tc>
        <w:tc>
          <w:tcPr>
            <w:tcW w:w="1606" w:type="dxa"/>
            <w:tcBorders>
              <w:top w:val="single" w:color="auto" w:sz="2" w:space="0"/>
              <w:left w:val="single" w:color="auto" w:sz="2" w:space="0"/>
              <w:bottom w:val="single" w:color="auto" w:sz="2" w:space="0"/>
              <w:right w:val="single" w:color="auto" w:sz="2" w:space="0"/>
            </w:tcBorders>
            <w:vAlign w:val="center"/>
          </w:tcPr>
          <w:p w14:paraId="71A89EB4">
            <w:pPr>
              <w:spacing w:after="10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CDD51CE">
            <w:pPr>
              <w:spacing w:after="10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19833C4">
            <w:pPr>
              <w:spacing w:after="100" w:line="240" w:lineRule="exact"/>
              <w:jc w:val="right"/>
              <w:rPr>
                <w:rFonts w:ascii="宋体" w:hAnsi="宋体" w:eastAsia="宋体" w:cs="宋体"/>
                <w:sz w:val="18"/>
                <w:szCs w:val="18"/>
              </w:rPr>
            </w:pPr>
            <w:r>
              <w:rPr>
                <w:rFonts w:ascii="宋体" w:hAnsi="宋体" w:eastAsia="宋体" w:cs="宋体"/>
                <w:sz w:val="18"/>
                <w:szCs w:val="18"/>
              </w:rPr>
              <w:t>789,041.41</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069748">
            <w:pPr>
              <w:spacing w:after="100"/>
            </w:pPr>
          </w:p>
        </w:tc>
      </w:tr>
    </w:tbl>
    <w:p w14:paraId="3F7D7B74">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4BF5F1B9">
      <w:pPr>
        <w:pStyle w:val="9"/>
        <w:spacing w:afterAutospacing="0"/>
        <w:ind w:firstLine="360" w:firstLineChars="200"/>
      </w:pPr>
      <w:r>
        <w:rPr>
          <w:rFonts w:hint="eastAsia"/>
          <w:sz w:val="18"/>
          <w:szCs w:val="18"/>
        </w:rPr>
        <w:t>根据藏财企指（专）字[2008]17 号文件，西藏自治区财政厅于 2008 年 5 月拨付本公司“年产 5000 吨青稞麦芽厂的建设项目”补助资金 800,000.00 元，本公司在 2008 年确认补偿费用 10,958.59 元后剩余 789,041.41 元。</w:t>
      </w:r>
    </w:p>
    <w:p w14:paraId="35472538">
      <w:pPr>
        <w:pStyle w:val="3"/>
        <w:spacing w:after="100" w:line="280" w:lineRule="exact"/>
        <w:jc w:val="left"/>
        <w:rPr>
          <w:rFonts w:ascii="宋体" w:hAnsi="宋体" w:cs="宋体"/>
          <w:b/>
          <w:bCs/>
        </w:rPr>
      </w:pPr>
      <w:bookmarkStart w:id="338" w:name="_Toc989227"/>
      <w:r>
        <w:rPr>
          <w:rFonts w:ascii="宋体" w:hAnsi="宋体" w:cs="宋体"/>
          <w:b/>
          <w:bCs/>
        </w:rPr>
        <w:t>52、其他非流动负债</w:t>
      </w:r>
      <w:bookmarkEnd w:id="338"/>
    </w:p>
    <w:p w14:paraId="056B951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7578A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441CC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0FD9D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2458F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C87542C">
      <w:pPr>
        <w:spacing w:before="100" w:after="100" w:line="240" w:lineRule="exact"/>
      </w:pPr>
      <w:r>
        <w:rPr>
          <w:rFonts w:ascii="宋体" w:hAnsi="宋体" w:eastAsia="宋体" w:cs="宋体"/>
          <w:sz w:val="18"/>
          <w:szCs w:val="18"/>
        </w:rPr>
        <w:t>其他说明：</w:t>
      </w:r>
    </w:p>
    <w:p w14:paraId="1C05FC06">
      <w:pPr>
        <w:pStyle w:val="3"/>
        <w:spacing w:after="100" w:line="280" w:lineRule="exact"/>
        <w:jc w:val="left"/>
        <w:rPr>
          <w:rFonts w:ascii="宋体" w:hAnsi="宋体" w:cs="宋体"/>
          <w:b/>
          <w:bCs/>
        </w:rPr>
      </w:pPr>
      <w:bookmarkStart w:id="339" w:name="_Toc989228"/>
      <w:r>
        <w:rPr>
          <w:rFonts w:ascii="宋体" w:hAnsi="宋体" w:cs="宋体"/>
          <w:b/>
          <w:bCs/>
        </w:rPr>
        <w:t>53、股本</w:t>
      </w:r>
      <w:bookmarkEnd w:id="339"/>
    </w:p>
    <w:p w14:paraId="2CA23757">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4"/>
        <w:gridCol w:w="1205"/>
        <w:gridCol w:w="1205"/>
        <w:gridCol w:w="1205"/>
        <w:gridCol w:w="1205"/>
        <w:gridCol w:w="1205"/>
        <w:gridCol w:w="1205"/>
        <w:gridCol w:w="1205"/>
      </w:tblGrid>
      <w:tr w14:paraId="4195DF75">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631D12E">
            <w:pPr>
              <w:spacing w:after="100"/>
            </w:pP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032C3FB">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024"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69527BC">
            <w:pPr>
              <w:spacing w:before="40" w:after="100" w:line="240" w:lineRule="exact"/>
              <w:jc w:val="center"/>
              <w:rPr>
                <w:rFonts w:ascii="宋体" w:hAnsi="宋体" w:eastAsia="宋体" w:cs="宋体"/>
                <w:sz w:val="18"/>
                <w:szCs w:val="18"/>
              </w:rPr>
            </w:pPr>
            <w:r>
              <w:rPr>
                <w:rFonts w:ascii="宋体" w:hAnsi="宋体" w:eastAsia="宋体" w:cs="宋体"/>
                <w:sz w:val="18"/>
                <w:szCs w:val="18"/>
              </w:rPr>
              <w:t>本次变动增减（+、-）</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222FF0">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1467501">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AA5A1B">
            <w:pPr>
              <w:spacing w:after="100"/>
            </w:pP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4F8609">
            <w:pPr>
              <w:spacing w:after="100"/>
            </w:pP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4D60B5E">
            <w:pPr>
              <w:spacing w:before="40" w:after="100" w:line="240" w:lineRule="exact"/>
              <w:jc w:val="center"/>
              <w:rPr>
                <w:rFonts w:ascii="宋体" w:hAnsi="宋体" w:eastAsia="宋体" w:cs="宋体"/>
                <w:sz w:val="18"/>
                <w:szCs w:val="18"/>
              </w:rPr>
            </w:pPr>
            <w:r>
              <w:rPr>
                <w:rFonts w:ascii="宋体" w:hAnsi="宋体" w:eastAsia="宋体" w:cs="宋体"/>
                <w:sz w:val="18"/>
                <w:szCs w:val="18"/>
              </w:rPr>
              <w:t>发行新股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27EF7FB">
            <w:pPr>
              <w:spacing w:before="40" w:after="100" w:line="240" w:lineRule="exact"/>
              <w:jc w:val="center"/>
              <w:rPr>
                <w:rFonts w:ascii="宋体" w:hAnsi="宋体" w:eastAsia="宋体" w:cs="宋体"/>
                <w:sz w:val="18"/>
                <w:szCs w:val="18"/>
              </w:rPr>
            </w:pPr>
            <w:r>
              <w:rPr>
                <w:rFonts w:ascii="宋体" w:hAnsi="宋体" w:eastAsia="宋体" w:cs="宋体"/>
                <w:sz w:val="18"/>
                <w:szCs w:val="18"/>
              </w:rPr>
              <w:t>送股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BFC2210">
            <w:pPr>
              <w:spacing w:before="40" w:after="100" w:line="240" w:lineRule="exact"/>
              <w:jc w:val="center"/>
              <w:rPr>
                <w:rFonts w:ascii="宋体" w:hAnsi="宋体" w:eastAsia="宋体" w:cs="宋体"/>
                <w:sz w:val="18"/>
                <w:szCs w:val="18"/>
              </w:rPr>
            </w:pPr>
            <w:r>
              <w:rPr>
                <w:rFonts w:ascii="宋体" w:hAnsi="宋体" w:eastAsia="宋体" w:cs="宋体"/>
                <w:sz w:val="18"/>
                <w:szCs w:val="18"/>
              </w:rPr>
              <w:t>公积金转股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2B39D67">
            <w:pPr>
              <w:spacing w:before="40" w:after="100" w:line="240" w:lineRule="exact"/>
              <w:jc w:val="center"/>
              <w:rPr>
                <w:rFonts w:ascii="宋体" w:hAnsi="宋体" w:eastAsia="宋体" w:cs="宋体"/>
                <w:sz w:val="18"/>
                <w:szCs w:val="18"/>
              </w:rPr>
            </w:pPr>
            <w:r>
              <w:rPr>
                <w:rFonts w:ascii="宋体" w:hAnsi="宋体" w:eastAsia="宋体" w:cs="宋体"/>
                <w:sz w:val="18"/>
                <w:szCs w:val="18"/>
              </w:rPr>
              <w:t>其他</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FAA26E0">
            <w:pPr>
              <w:spacing w:before="40" w:after="100" w:line="240" w:lineRule="exact"/>
              <w:jc w:val="center"/>
              <w:rPr>
                <w:rFonts w:ascii="宋体" w:hAnsi="宋体" w:eastAsia="宋体" w:cs="宋体"/>
                <w:sz w:val="18"/>
                <w:szCs w:val="18"/>
              </w:rPr>
            </w:pPr>
            <w:r>
              <w:rPr>
                <w:rFonts w:ascii="宋体" w:hAnsi="宋体" w:eastAsia="宋体" w:cs="宋体"/>
                <w:sz w:val="18"/>
                <w:szCs w:val="18"/>
              </w:rPr>
              <w:t>小计</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A22A87">
            <w:pPr>
              <w:spacing w:after="100"/>
            </w:pPr>
          </w:p>
        </w:tc>
      </w:tr>
      <w:tr w14:paraId="082D30DA">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70379DD">
            <w:pPr>
              <w:spacing w:before="40" w:after="100" w:line="240" w:lineRule="exact"/>
              <w:rPr>
                <w:rFonts w:ascii="宋体" w:hAnsi="宋体" w:eastAsia="宋体" w:cs="宋体"/>
                <w:sz w:val="18"/>
                <w:szCs w:val="18"/>
              </w:rPr>
            </w:pPr>
            <w:r>
              <w:rPr>
                <w:rFonts w:ascii="宋体" w:hAnsi="宋体" w:eastAsia="宋体" w:cs="宋体"/>
                <w:sz w:val="18"/>
                <w:szCs w:val="18"/>
              </w:rPr>
              <w:t>股份总数</w:t>
            </w:r>
          </w:p>
        </w:tc>
        <w:tc>
          <w:tcPr>
            <w:tcW w:w="1205" w:type="dxa"/>
            <w:tcBorders>
              <w:top w:val="single" w:color="auto" w:sz="2" w:space="0"/>
              <w:left w:val="single" w:color="auto" w:sz="2" w:space="0"/>
              <w:bottom w:val="single" w:color="auto" w:sz="2" w:space="0"/>
              <w:right w:val="single" w:color="auto" w:sz="2" w:space="0"/>
            </w:tcBorders>
            <w:vAlign w:val="center"/>
          </w:tcPr>
          <w:p w14:paraId="7B66C63C">
            <w:pPr>
              <w:spacing w:after="100" w:line="240" w:lineRule="exact"/>
              <w:jc w:val="right"/>
              <w:rPr>
                <w:rFonts w:ascii="宋体" w:hAnsi="宋体" w:eastAsia="宋体" w:cs="宋体"/>
                <w:sz w:val="18"/>
                <w:szCs w:val="18"/>
              </w:rPr>
            </w:pPr>
            <w:r>
              <w:rPr>
                <w:rFonts w:ascii="宋体" w:hAnsi="宋体" w:eastAsia="宋体" w:cs="宋体"/>
                <w:sz w:val="18"/>
                <w:szCs w:val="18"/>
              </w:rPr>
              <w:t>263,758,491.00</w:t>
            </w:r>
          </w:p>
        </w:tc>
        <w:tc>
          <w:tcPr>
            <w:tcW w:w="1205" w:type="dxa"/>
            <w:tcBorders>
              <w:top w:val="single" w:color="auto" w:sz="2" w:space="0"/>
              <w:left w:val="single" w:color="auto" w:sz="2" w:space="0"/>
              <w:bottom w:val="single" w:color="auto" w:sz="2" w:space="0"/>
              <w:right w:val="single" w:color="auto" w:sz="2" w:space="0"/>
            </w:tcBorders>
            <w:vAlign w:val="center"/>
          </w:tcPr>
          <w:p w14:paraId="30CFD96B">
            <w:pPr>
              <w:spacing w:after="10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0D4ADD2">
            <w:pPr>
              <w:spacing w:after="10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A1D23DC">
            <w:pPr>
              <w:spacing w:after="10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AF58F34">
            <w:pPr>
              <w:spacing w:after="10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983A764">
            <w:pPr>
              <w:spacing w:after="10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AB97794">
            <w:pPr>
              <w:spacing w:after="100" w:line="240" w:lineRule="exact"/>
              <w:jc w:val="right"/>
              <w:rPr>
                <w:rFonts w:ascii="宋体" w:hAnsi="宋体" w:eastAsia="宋体" w:cs="宋体"/>
                <w:sz w:val="18"/>
                <w:szCs w:val="18"/>
              </w:rPr>
            </w:pPr>
            <w:r>
              <w:rPr>
                <w:rFonts w:ascii="宋体" w:hAnsi="宋体" w:eastAsia="宋体" w:cs="宋体"/>
                <w:sz w:val="18"/>
                <w:szCs w:val="18"/>
              </w:rPr>
              <w:t>263,758,491.00</w:t>
            </w:r>
          </w:p>
        </w:tc>
      </w:tr>
    </w:tbl>
    <w:p w14:paraId="6864949B">
      <w:pPr>
        <w:spacing w:before="100" w:after="100" w:line="240" w:lineRule="exact"/>
      </w:pPr>
      <w:r>
        <w:rPr>
          <w:rFonts w:ascii="宋体" w:hAnsi="宋体" w:eastAsia="宋体" w:cs="宋体"/>
          <w:sz w:val="18"/>
          <w:szCs w:val="18"/>
        </w:rPr>
        <w:t>其他说明：</w:t>
      </w:r>
    </w:p>
    <w:p w14:paraId="77336092">
      <w:pPr>
        <w:pStyle w:val="3"/>
        <w:spacing w:after="100" w:line="280" w:lineRule="exact"/>
        <w:jc w:val="left"/>
        <w:rPr>
          <w:rFonts w:ascii="宋体" w:hAnsi="宋体" w:cs="宋体"/>
          <w:b/>
          <w:bCs/>
        </w:rPr>
      </w:pPr>
      <w:bookmarkStart w:id="340" w:name="_Toc989229"/>
      <w:r>
        <w:rPr>
          <w:rFonts w:ascii="宋体" w:hAnsi="宋体" w:cs="宋体"/>
          <w:b/>
          <w:bCs/>
        </w:rPr>
        <w:t>54、其他权益工具</w:t>
      </w:r>
      <w:bookmarkEnd w:id="340"/>
    </w:p>
    <w:p w14:paraId="0489F28D">
      <w:pPr>
        <w:keepNext/>
        <w:keepLines/>
        <w:spacing w:before="300" w:after="100" w:line="280" w:lineRule="exact"/>
        <w:outlineLvl w:val="3"/>
      </w:pPr>
      <w:bookmarkStart w:id="341" w:name="_Toc989230"/>
      <w:r>
        <w:rPr>
          <w:rFonts w:ascii="宋体" w:hAnsi="宋体" w:eastAsia="宋体" w:cs="宋体"/>
          <w:b/>
          <w:bCs/>
          <w:sz w:val="18"/>
          <w:szCs w:val="18"/>
        </w:rPr>
        <w:t>（1） 期末发行在外的优先股、永续债等其他金融工具基本情况</w:t>
      </w:r>
      <w:bookmarkEnd w:id="341"/>
    </w:p>
    <w:p w14:paraId="6AB35484">
      <w:pPr>
        <w:keepNext/>
        <w:keepLines/>
        <w:spacing w:before="300" w:after="100" w:line="280" w:lineRule="exact"/>
        <w:outlineLvl w:val="3"/>
        <w:rPr>
          <w:rFonts w:ascii="宋体" w:hAnsi="宋体" w:eastAsia="宋体" w:cs="宋体"/>
          <w:b/>
          <w:bCs/>
          <w:sz w:val="18"/>
          <w:szCs w:val="18"/>
        </w:rPr>
      </w:pPr>
      <w:bookmarkStart w:id="342" w:name="_Toc989231"/>
      <w:r>
        <w:rPr>
          <w:rFonts w:ascii="宋体" w:hAnsi="宋体" w:eastAsia="宋体" w:cs="宋体"/>
          <w:b/>
          <w:bCs/>
          <w:sz w:val="18"/>
          <w:szCs w:val="18"/>
        </w:rPr>
        <w:t>（2） 期末发行在外的优先股、永续债等金融工具变动情况表</w:t>
      </w:r>
      <w:bookmarkEnd w:id="342"/>
    </w:p>
    <w:p w14:paraId="7CBE362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0F3C4ABF">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82F523A">
            <w:pPr>
              <w:spacing w:before="40" w:after="40" w:line="240" w:lineRule="exact"/>
              <w:jc w:val="center"/>
              <w:rPr>
                <w:rFonts w:ascii="宋体" w:hAnsi="宋体" w:eastAsia="宋体" w:cs="宋体"/>
                <w:sz w:val="18"/>
                <w:szCs w:val="18"/>
              </w:rPr>
            </w:pPr>
            <w:r>
              <w:rPr>
                <w:rFonts w:ascii="宋体" w:hAnsi="宋体" w:eastAsia="宋体" w:cs="宋体"/>
                <w:sz w:val="18"/>
                <w:szCs w:val="18"/>
              </w:rPr>
              <w:t>发行在外的金融工具</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A72446D">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CB7DCC5">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49D3CDF">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F34FF8A">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r>
      <w:tr w14:paraId="398CAF83">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70C2D4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9328105">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18C7070">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3C2476F">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F3B69DA">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58CC34">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9EB20B">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2130F5">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55FDC21">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47E020AA">
      <w:pPr>
        <w:spacing w:before="100" w:after="100" w:line="240" w:lineRule="exact"/>
      </w:pPr>
      <w:r>
        <w:rPr>
          <w:rFonts w:ascii="宋体" w:hAnsi="宋体" w:eastAsia="宋体" w:cs="宋体"/>
          <w:sz w:val="18"/>
          <w:szCs w:val="18"/>
        </w:rPr>
        <w:t>其他权益工具本期增减变动情况、变动原因说明，以及相关会计处理的依据：</w:t>
      </w:r>
    </w:p>
    <w:p w14:paraId="29758C63">
      <w:pPr>
        <w:spacing w:before="100" w:after="100" w:line="240" w:lineRule="exact"/>
      </w:pPr>
      <w:r>
        <w:rPr>
          <w:rFonts w:ascii="宋体" w:hAnsi="宋体" w:eastAsia="宋体" w:cs="宋体"/>
          <w:sz w:val="18"/>
          <w:szCs w:val="18"/>
        </w:rPr>
        <w:t>其他说明：</w:t>
      </w:r>
    </w:p>
    <w:p w14:paraId="5D62D1A7">
      <w:pPr>
        <w:pStyle w:val="3"/>
        <w:spacing w:after="100" w:line="280" w:lineRule="exact"/>
        <w:jc w:val="left"/>
        <w:rPr>
          <w:rFonts w:ascii="宋体" w:hAnsi="宋体" w:cs="宋体"/>
          <w:b/>
          <w:bCs/>
        </w:rPr>
      </w:pPr>
      <w:bookmarkStart w:id="343" w:name="_Toc989232"/>
      <w:r>
        <w:rPr>
          <w:rFonts w:ascii="宋体" w:hAnsi="宋体" w:cs="宋体"/>
          <w:b/>
          <w:bCs/>
        </w:rPr>
        <w:t>55、资本公积</w:t>
      </w:r>
      <w:bookmarkEnd w:id="343"/>
    </w:p>
    <w:p w14:paraId="3311EAC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78C53655">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69B35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F119D3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C84E6C">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C75551C">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4EDEC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198DF9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C24401">
            <w:pPr>
              <w:spacing w:before="40" w:after="40" w:line="240" w:lineRule="exact"/>
              <w:rPr>
                <w:rFonts w:ascii="宋体" w:hAnsi="宋体" w:eastAsia="宋体" w:cs="宋体"/>
                <w:sz w:val="18"/>
                <w:szCs w:val="18"/>
              </w:rPr>
            </w:pPr>
            <w:r>
              <w:rPr>
                <w:rFonts w:ascii="宋体" w:hAnsi="宋体" w:eastAsia="宋体" w:cs="宋体"/>
                <w:sz w:val="18"/>
                <w:szCs w:val="18"/>
              </w:rPr>
              <w:t>其他资本公积</w:t>
            </w:r>
          </w:p>
        </w:tc>
        <w:tc>
          <w:tcPr>
            <w:tcW w:w="1928" w:type="dxa"/>
            <w:tcBorders>
              <w:top w:val="single" w:color="auto" w:sz="2" w:space="0"/>
              <w:left w:val="single" w:color="auto" w:sz="2" w:space="0"/>
              <w:bottom w:val="single" w:color="auto" w:sz="2" w:space="0"/>
              <w:right w:val="single" w:color="auto" w:sz="2" w:space="0"/>
            </w:tcBorders>
            <w:vAlign w:val="center"/>
          </w:tcPr>
          <w:p w14:paraId="77B7AE34">
            <w:pPr>
              <w:spacing w:line="240" w:lineRule="exact"/>
              <w:jc w:val="right"/>
              <w:rPr>
                <w:rFonts w:ascii="宋体" w:hAnsi="宋体" w:eastAsia="宋体" w:cs="宋体"/>
                <w:sz w:val="18"/>
                <w:szCs w:val="18"/>
              </w:rPr>
            </w:pPr>
            <w:r>
              <w:rPr>
                <w:rFonts w:ascii="宋体" w:hAnsi="宋体" w:eastAsia="宋体" w:cs="宋体"/>
                <w:sz w:val="18"/>
                <w:szCs w:val="18"/>
              </w:rPr>
              <w:t>213,840,428.27</w:t>
            </w:r>
          </w:p>
        </w:tc>
        <w:tc>
          <w:tcPr>
            <w:tcW w:w="1928" w:type="dxa"/>
            <w:tcBorders>
              <w:top w:val="single" w:color="auto" w:sz="2" w:space="0"/>
              <w:left w:val="single" w:color="auto" w:sz="2" w:space="0"/>
              <w:bottom w:val="single" w:color="auto" w:sz="2" w:space="0"/>
              <w:right w:val="single" w:color="auto" w:sz="2" w:space="0"/>
            </w:tcBorders>
            <w:vAlign w:val="center"/>
          </w:tcPr>
          <w:p w14:paraId="5CA30AE8">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5E65699">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0951023">
            <w:pPr>
              <w:spacing w:line="240" w:lineRule="exact"/>
              <w:jc w:val="right"/>
              <w:rPr>
                <w:rFonts w:ascii="宋体" w:hAnsi="宋体" w:eastAsia="宋体" w:cs="宋体"/>
                <w:sz w:val="18"/>
                <w:szCs w:val="18"/>
              </w:rPr>
            </w:pPr>
            <w:r>
              <w:rPr>
                <w:rFonts w:ascii="宋体" w:hAnsi="宋体" w:eastAsia="宋体" w:cs="宋体"/>
                <w:sz w:val="18"/>
                <w:szCs w:val="18"/>
              </w:rPr>
              <w:t>213,840,428.27</w:t>
            </w:r>
          </w:p>
        </w:tc>
      </w:tr>
      <w:tr w14:paraId="68C3EB7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C570C7">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2184577D">
            <w:pPr>
              <w:spacing w:line="240" w:lineRule="exact"/>
              <w:jc w:val="right"/>
              <w:rPr>
                <w:rFonts w:ascii="宋体" w:hAnsi="宋体" w:eastAsia="宋体" w:cs="宋体"/>
                <w:sz w:val="18"/>
                <w:szCs w:val="18"/>
              </w:rPr>
            </w:pPr>
            <w:r>
              <w:rPr>
                <w:rFonts w:ascii="宋体" w:hAnsi="宋体" w:eastAsia="宋体" w:cs="宋体"/>
                <w:sz w:val="18"/>
                <w:szCs w:val="18"/>
              </w:rPr>
              <w:t>213,840,428.27</w:t>
            </w:r>
          </w:p>
        </w:tc>
        <w:tc>
          <w:tcPr>
            <w:tcW w:w="1928" w:type="dxa"/>
            <w:tcBorders>
              <w:top w:val="single" w:color="auto" w:sz="2" w:space="0"/>
              <w:left w:val="single" w:color="auto" w:sz="2" w:space="0"/>
              <w:bottom w:val="single" w:color="auto" w:sz="2" w:space="0"/>
              <w:right w:val="single" w:color="auto" w:sz="2" w:space="0"/>
            </w:tcBorders>
            <w:vAlign w:val="center"/>
          </w:tcPr>
          <w:p w14:paraId="6D1D1E0A">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116585A">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1482BC5">
            <w:pPr>
              <w:spacing w:line="240" w:lineRule="exact"/>
              <w:jc w:val="right"/>
              <w:rPr>
                <w:rFonts w:ascii="宋体" w:hAnsi="宋体" w:eastAsia="宋体" w:cs="宋体"/>
                <w:sz w:val="18"/>
                <w:szCs w:val="18"/>
              </w:rPr>
            </w:pPr>
            <w:r>
              <w:rPr>
                <w:rFonts w:ascii="宋体" w:hAnsi="宋体" w:eastAsia="宋体" w:cs="宋体"/>
                <w:sz w:val="18"/>
                <w:szCs w:val="18"/>
              </w:rPr>
              <w:t>213,840,428.27</w:t>
            </w:r>
          </w:p>
        </w:tc>
      </w:tr>
    </w:tbl>
    <w:p w14:paraId="3627D1AD">
      <w:pPr>
        <w:spacing w:before="100" w:after="100" w:line="240" w:lineRule="exact"/>
      </w:pPr>
      <w:r>
        <w:rPr>
          <w:rFonts w:ascii="宋体" w:hAnsi="宋体" w:eastAsia="宋体" w:cs="宋体"/>
          <w:sz w:val="18"/>
          <w:szCs w:val="18"/>
        </w:rPr>
        <w:t>其他说明，包括本期增减变动情况、变动原因说明：</w:t>
      </w:r>
    </w:p>
    <w:p w14:paraId="4E0F3055">
      <w:pPr>
        <w:pStyle w:val="3"/>
        <w:spacing w:after="100" w:line="280" w:lineRule="exact"/>
        <w:jc w:val="left"/>
        <w:rPr>
          <w:rFonts w:ascii="宋体" w:hAnsi="宋体" w:cs="宋体"/>
          <w:b/>
          <w:bCs/>
        </w:rPr>
      </w:pPr>
      <w:bookmarkStart w:id="344" w:name="_Toc989233"/>
      <w:r>
        <w:rPr>
          <w:rFonts w:ascii="宋体" w:hAnsi="宋体" w:cs="宋体"/>
          <w:b/>
          <w:bCs/>
        </w:rPr>
        <w:t>56、库存股</w:t>
      </w:r>
      <w:bookmarkEnd w:id="344"/>
    </w:p>
    <w:p w14:paraId="37BE014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78464F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42BBF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31795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083E65">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4E68FB">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1E392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2C042E20">
      <w:pPr>
        <w:spacing w:before="100" w:after="100" w:line="240" w:lineRule="exact"/>
      </w:pPr>
      <w:r>
        <w:rPr>
          <w:rFonts w:ascii="宋体" w:hAnsi="宋体" w:eastAsia="宋体" w:cs="宋体"/>
          <w:sz w:val="18"/>
          <w:szCs w:val="18"/>
        </w:rPr>
        <w:t>其他说明，包括本期增减变动情况、变动原因说明：</w:t>
      </w:r>
    </w:p>
    <w:p w14:paraId="4C1F8DF7">
      <w:pPr>
        <w:pStyle w:val="3"/>
        <w:spacing w:after="100" w:line="280" w:lineRule="exact"/>
        <w:jc w:val="left"/>
        <w:rPr>
          <w:rFonts w:ascii="宋体" w:hAnsi="宋体" w:cs="宋体"/>
          <w:b/>
          <w:bCs/>
        </w:rPr>
      </w:pPr>
      <w:bookmarkStart w:id="345" w:name="_Toc989234"/>
      <w:r>
        <w:rPr>
          <w:rFonts w:ascii="宋体" w:hAnsi="宋体" w:cs="宋体"/>
          <w:b/>
          <w:bCs/>
        </w:rPr>
        <w:t>57、其他综合收益</w:t>
      </w:r>
      <w:bookmarkEnd w:id="345"/>
    </w:p>
    <w:p w14:paraId="719612A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78F11B70">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57377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DF68D5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426"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169931A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E128E7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41C391B">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4B68335"/>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8D47B4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89D8F1">
            <w:pPr>
              <w:spacing w:before="40" w:after="40" w:line="240" w:lineRule="exact"/>
              <w:jc w:val="center"/>
              <w:rPr>
                <w:rFonts w:ascii="宋体" w:hAnsi="宋体" w:eastAsia="宋体" w:cs="宋体"/>
                <w:sz w:val="18"/>
                <w:szCs w:val="18"/>
              </w:rPr>
            </w:pPr>
            <w:r>
              <w:rPr>
                <w:rFonts w:ascii="宋体" w:hAnsi="宋体" w:eastAsia="宋体" w:cs="宋体"/>
                <w:sz w:val="18"/>
                <w:szCs w:val="18"/>
              </w:rPr>
              <w:t>本期所得税前发生额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544521">
            <w:pPr>
              <w:spacing w:before="40" w:after="40" w:line="240" w:lineRule="exact"/>
              <w:jc w:val="center"/>
              <w:rPr>
                <w:rFonts w:ascii="宋体" w:hAnsi="宋体" w:eastAsia="宋体" w:cs="宋体"/>
                <w:sz w:val="18"/>
                <w:szCs w:val="18"/>
              </w:rPr>
            </w:pPr>
            <w:r>
              <w:rPr>
                <w:rFonts w:ascii="宋体" w:hAnsi="宋体" w:eastAsia="宋体" w:cs="宋体"/>
                <w:sz w:val="18"/>
                <w:szCs w:val="18"/>
              </w:rPr>
              <w:t>减：前期计入其他综合收益当期转入损益</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CECE9F0">
            <w:pPr>
              <w:spacing w:before="40" w:after="40" w:line="240" w:lineRule="exact"/>
              <w:jc w:val="center"/>
              <w:rPr>
                <w:rFonts w:ascii="宋体" w:hAnsi="宋体" w:eastAsia="宋体" w:cs="宋体"/>
                <w:sz w:val="18"/>
                <w:szCs w:val="18"/>
              </w:rPr>
            </w:pPr>
            <w:r>
              <w:rPr>
                <w:rFonts w:ascii="宋体" w:hAnsi="宋体" w:eastAsia="宋体" w:cs="宋体"/>
                <w:sz w:val="18"/>
                <w:szCs w:val="18"/>
              </w:rPr>
              <w:t>减：前期计入其他综合收益当期转入留存收益</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D78C0E">
            <w:pPr>
              <w:spacing w:before="40" w:after="40" w:line="240" w:lineRule="exact"/>
              <w:jc w:val="center"/>
              <w:rPr>
                <w:rFonts w:ascii="宋体" w:hAnsi="宋体" w:eastAsia="宋体" w:cs="宋体"/>
                <w:sz w:val="18"/>
                <w:szCs w:val="18"/>
              </w:rPr>
            </w:pPr>
            <w:r>
              <w:rPr>
                <w:rFonts w:ascii="宋体" w:hAnsi="宋体" w:eastAsia="宋体" w:cs="宋体"/>
                <w:sz w:val="18"/>
                <w:szCs w:val="18"/>
              </w:rPr>
              <w:t>减：所得税费用</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24D646">
            <w:pPr>
              <w:spacing w:before="40" w:after="40" w:line="240" w:lineRule="exact"/>
              <w:jc w:val="center"/>
              <w:rPr>
                <w:rFonts w:ascii="宋体" w:hAnsi="宋体" w:eastAsia="宋体" w:cs="宋体"/>
                <w:sz w:val="18"/>
                <w:szCs w:val="18"/>
              </w:rPr>
            </w:pPr>
            <w:r>
              <w:rPr>
                <w:rFonts w:ascii="宋体" w:hAnsi="宋体" w:eastAsia="宋体" w:cs="宋体"/>
                <w:sz w:val="18"/>
                <w:szCs w:val="18"/>
              </w:rPr>
              <w:t>税后归属于母公司</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73CDF19">
            <w:pPr>
              <w:spacing w:before="40" w:after="40" w:line="240" w:lineRule="exact"/>
              <w:jc w:val="center"/>
              <w:rPr>
                <w:rFonts w:ascii="宋体" w:hAnsi="宋体" w:eastAsia="宋体" w:cs="宋体"/>
                <w:sz w:val="18"/>
                <w:szCs w:val="18"/>
              </w:rPr>
            </w:pPr>
            <w:r>
              <w:rPr>
                <w:rFonts w:ascii="宋体" w:hAnsi="宋体" w:eastAsia="宋体" w:cs="宋体"/>
                <w:sz w:val="18"/>
                <w:szCs w:val="18"/>
              </w:rPr>
              <w:t>税后归属于少数股东</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547873F"/>
        </w:tc>
      </w:tr>
    </w:tbl>
    <w:p w14:paraId="372C28BA">
      <w:pPr>
        <w:spacing w:before="100" w:after="100" w:line="240" w:lineRule="exact"/>
      </w:pPr>
      <w:r>
        <w:rPr>
          <w:rFonts w:ascii="宋体" w:hAnsi="宋体" w:eastAsia="宋体" w:cs="宋体"/>
          <w:sz w:val="18"/>
          <w:szCs w:val="18"/>
        </w:rPr>
        <w:t>其他说明，包括对现金流量套期损益的有效部分转为被套期项目初始确认金额调整：</w:t>
      </w:r>
    </w:p>
    <w:p w14:paraId="52228AC7">
      <w:pPr>
        <w:pStyle w:val="3"/>
        <w:spacing w:after="100" w:line="280" w:lineRule="exact"/>
        <w:jc w:val="left"/>
        <w:rPr>
          <w:rFonts w:ascii="宋体" w:hAnsi="宋体" w:cs="宋体"/>
          <w:b/>
          <w:bCs/>
        </w:rPr>
      </w:pPr>
      <w:bookmarkStart w:id="346" w:name="_Toc989235"/>
      <w:r>
        <w:rPr>
          <w:rFonts w:ascii="宋体" w:hAnsi="宋体" w:cs="宋体"/>
          <w:b/>
          <w:bCs/>
        </w:rPr>
        <w:t>58、专项储备</w:t>
      </w:r>
      <w:bookmarkEnd w:id="346"/>
    </w:p>
    <w:p w14:paraId="1232C29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F7331C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6013F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E9CC6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53930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3CB7A1">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5D82E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27B4082D">
      <w:pPr>
        <w:spacing w:before="100" w:after="100" w:line="240" w:lineRule="exact"/>
      </w:pPr>
      <w:r>
        <w:rPr>
          <w:rFonts w:ascii="宋体" w:hAnsi="宋体" w:eastAsia="宋体" w:cs="宋体"/>
          <w:sz w:val="18"/>
          <w:szCs w:val="18"/>
        </w:rPr>
        <w:t>其他说明，包括本期增减变动情况、变动原因说明：</w:t>
      </w:r>
    </w:p>
    <w:p w14:paraId="300E2A11">
      <w:pPr>
        <w:pStyle w:val="3"/>
        <w:spacing w:after="100" w:line="280" w:lineRule="exact"/>
        <w:jc w:val="left"/>
        <w:rPr>
          <w:rFonts w:ascii="宋体" w:hAnsi="宋体" w:cs="宋体"/>
          <w:b/>
          <w:bCs/>
        </w:rPr>
      </w:pPr>
      <w:bookmarkStart w:id="347" w:name="_Toc989236"/>
      <w:r>
        <w:rPr>
          <w:rFonts w:ascii="宋体" w:hAnsi="宋体" w:cs="宋体"/>
          <w:b/>
          <w:bCs/>
        </w:rPr>
        <w:t>59、盈余公积</w:t>
      </w:r>
      <w:bookmarkEnd w:id="347"/>
    </w:p>
    <w:p w14:paraId="2A7091D6">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36C82EC">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979968">
            <w:pPr>
              <w:spacing w:before="40" w:after="10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E4FC61">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B2E7AA">
            <w:pPr>
              <w:spacing w:before="40" w:after="10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6E10BD">
            <w:pPr>
              <w:spacing w:before="40" w:after="10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851466">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99EEE65">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E7407E">
            <w:pPr>
              <w:spacing w:before="40" w:after="100" w:line="240" w:lineRule="exact"/>
              <w:rPr>
                <w:rFonts w:ascii="宋体" w:hAnsi="宋体" w:eastAsia="宋体" w:cs="宋体"/>
                <w:sz w:val="18"/>
                <w:szCs w:val="18"/>
              </w:rPr>
            </w:pPr>
            <w:r>
              <w:rPr>
                <w:rFonts w:ascii="宋体" w:hAnsi="宋体" w:eastAsia="宋体" w:cs="宋体"/>
                <w:sz w:val="18"/>
                <w:szCs w:val="18"/>
              </w:rPr>
              <w:t>法定盈余公积</w:t>
            </w:r>
          </w:p>
        </w:tc>
        <w:tc>
          <w:tcPr>
            <w:tcW w:w="1928" w:type="dxa"/>
            <w:tcBorders>
              <w:top w:val="single" w:color="auto" w:sz="2" w:space="0"/>
              <w:left w:val="single" w:color="auto" w:sz="2" w:space="0"/>
              <w:bottom w:val="single" w:color="auto" w:sz="2" w:space="0"/>
              <w:right w:val="single" w:color="auto" w:sz="2" w:space="0"/>
            </w:tcBorders>
            <w:vAlign w:val="center"/>
          </w:tcPr>
          <w:p w14:paraId="66A21AC8">
            <w:pPr>
              <w:spacing w:after="100" w:line="240" w:lineRule="exact"/>
              <w:jc w:val="right"/>
              <w:rPr>
                <w:rFonts w:ascii="宋体" w:hAnsi="宋体" w:eastAsia="宋体" w:cs="宋体"/>
                <w:sz w:val="18"/>
                <w:szCs w:val="18"/>
              </w:rPr>
            </w:pPr>
            <w:r>
              <w:rPr>
                <w:rFonts w:ascii="宋体" w:hAnsi="宋体" w:eastAsia="宋体" w:cs="宋体"/>
                <w:sz w:val="18"/>
                <w:szCs w:val="18"/>
              </w:rPr>
              <w:t>69,225,086.27</w:t>
            </w:r>
          </w:p>
        </w:tc>
        <w:tc>
          <w:tcPr>
            <w:tcW w:w="1928" w:type="dxa"/>
            <w:tcBorders>
              <w:top w:val="single" w:color="auto" w:sz="2" w:space="0"/>
              <w:left w:val="single" w:color="auto" w:sz="2" w:space="0"/>
              <w:bottom w:val="single" w:color="auto" w:sz="2" w:space="0"/>
              <w:right w:val="single" w:color="auto" w:sz="2" w:space="0"/>
            </w:tcBorders>
            <w:vAlign w:val="center"/>
          </w:tcPr>
          <w:p w14:paraId="73EA51FB">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F57F687">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C998C0E">
            <w:pPr>
              <w:spacing w:after="100" w:line="240" w:lineRule="exact"/>
              <w:jc w:val="right"/>
              <w:rPr>
                <w:rFonts w:ascii="宋体" w:hAnsi="宋体" w:eastAsia="宋体" w:cs="宋体"/>
                <w:sz w:val="18"/>
                <w:szCs w:val="18"/>
              </w:rPr>
            </w:pPr>
            <w:r>
              <w:rPr>
                <w:rFonts w:ascii="宋体" w:hAnsi="宋体" w:eastAsia="宋体" w:cs="宋体"/>
                <w:sz w:val="18"/>
                <w:szCs w:val="18"/>
              </w:rPr>
              <w:t>69,225,086.27</w:t>
            </w:r>
          </w:p>
        </w:tc>
      </w:tr>
      <w:tr w14:paraId="0808512C">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2C7587">
            <w:pPr>
              <w:spacing w:before="40" w:after="10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61A597E7">
            <w:pPr>
              <w:spacing w:after="100" w:line="240" w:lineRule="exact"/>
              <w:jc w:val="right"/>
              <w:rPr>
                <w:rFonts w:ascii="宋体" w:hAnsi="宋体" w:eastAsia="宋体" w:cs="宋体"/>
                <w:sz w:val="18"/>
                <w:szCs w:val="18"/>
              </w:rPr>
            </w:pPr>
            <w:r>
              <w:rPr>
                <w:rFonts w:ascii="宋体" w:hAnsi="宋体" w:eastAsia="宋体" w:cs="宋体"/>
                <w:sz w:val="18"/>
                <w:szCs w:val="18"/>
              </w:rPr>
              <w:t>69,225,086.27</w:t>
            </w:r>
          </w:p>
        </w:tc>
        <w:tc>
          <w:tcPr>
            <w:tcW w:w="1928" w:type="dxa"/>
            <w:tcBorders>
              <w:top w:val="single" w:color="auto" w:sz="2" w:space="0"/>
              <w:left w:val="single" w:color="auto" w:sz="2" w:space="0"/>
              <w:bottom w:val="single" w:color="auto" w:sz="2" w:space="0"/>
              <w:right w:val="single" w:color="auto" w:sz="2" w:space="0"/>
            </w:tcBorders>
            <w:vAlign w:val="center"/>
          </w:tcPr>
          <w:p w14:paraId="28C16D49">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F8A405F">
            <w:pPr>
              <w:spacing w:after="10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5D42E7E">
            <w:pPr>
              <w:spacing w:after="100" w:line="240" w:lineRule="exact"/>
              <w:jc w:val="right"/>
              <w:rPr>
                <w:rFonts w:ascii="宋体" w:hAnsi="宋体" w:eastAsia="宋体" w:cs="宋体"/>
                <w:sz w:val="18"/>
                <w:szCs w:val="18"/>
              </w:rPr>
            </w:pPr>
            <w:r>
              <w:rPr>
                <w:rFonts w:ascii="宋体" w:hAnsi="宋体" w:eastAsia="宋体" w:cs="宋体"/>
                <w:sz w:val="18"/>
                <w:szCs w:val="18"/>
              </w:rPr>
              <w:t>69,225,086.27</w:t>
            </w:r>
          </w:p>
        </w:tc>
      </w:tr>
    </w:tbl>
    <w:p w14:paraId="1F14CA55">
      <w:pPr>
        <w:spacing w:before="100" w:after="100" w:line="240" w:lineRule="exact"/>
      </w:pPr>
      <w:r>
        <w:rPr>
          <w:rFonts w:ascii="宋体" w:hAnsi="宋体" w:eastAsia="宋体" w:cs="宋体"/>
          <w:sz w:val="18"/>
          <w:szCs w:val="18"/>
        </w:rPr>
        <w:t>盈余公积说明，包括本期增减变动情况、变动原因说明：</w:t>
      </w:r>
    </w:p>
    <w:p w14:paraId="036D73DF">
      <w:pPr>
        <w:pStyle w:val="3"/>
        <w:spacing w:after="100" w:line="280" w:lineRule="exact"/>
        <w:jc w:val="left"/>
        <w:rPr>
          <w:rFonts w:ascii="宋体" w:hAnsi="宋体" w:cs="宋体"/>
          <w:b/>
          <w:bCs/>
        </w:rPr>
      </w:pPr>
      <w:bookmarkStart w:id="348" w:name="_Toc989237"/>
      <w:r>
        <w:rPr>
          <w:rFonts w:ascii="宋体" w:hAnsi="宋体" w:cs="宋体"/>
          <w:b/>
          <w:bCs/>
        </w:rPr>
        <w:t>60、未分配利润</w:t>
      </w:r>
      <w:bookmarkEnd w:id="348"/>
    </w:p>
    <w:p w14:paraId="1902F41A">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60" w:type="dxa"/>
        <w:tblInd w:w="113" w:type="dxa"/>
        <w:tblLayout w:type="autofit"/>
        <w:tblCellMar>
          <w:top w:w="0" w:type="dxa"/>
          <w:left w:w="108" w:type="dxa"/>
          <w:bottom w:w="0" w:type="dxa"/>
          <w:right w:w="108" w:type="dxa"/>
        </w:tblCellMar>
      </w:tblPr>
      <w:tblGrid>
        <w:gridCol w:w="5140"/>
        <w:gridCol w:w="2260"/>
        <w:gridCol w:w="2260"/>
      </w:tblGrid>
      <w:tr w14:paraId="077CB345">
        <w:trPr>
          <w:trHeight w:val="285" w:hRule="atLeast"/>
        </w:trPr>
        <w:tc>
          <w:tcPr>
            <w:tcW w:w="5140" w:type="dxa"/>
            <w:tcBorders>
              <w:top w:val="single" w:color="auto" w:sz="4" w:space="0"/>
              <w:left w:val="single" w:color="auto" w:sz="4" w:space="0"/>
              <w:bottom w:val="single" w:color="auto" w:sz="4" w:space="0"/>
              <w:right w:val="single" w:color="auto" w:sz="4" w:space="0"/>
            </w:tcBorders>
            <w:shd w:val="clear" w:color="000000" w:fill="D3D3D3"/>
            <w:vAlign w:val="center"/>
          </w:tcPr>
          <w:p w14:paraId="27D92661">
            <w:pPr>
              <w:widowControl/>
              <w:jc w:val="center"/>
              <w:rPr>
                <w:rFonts w:ascii="宋体" w:hAnsi="宋体" w:eastAsia="宋体" w:cs="宋体"/>
                <w:kern w:val="0"/>
                <w:sz w:val="18"/>
                <w:szCs w:val="18"/>
              </w:rPr>
            </w:pPr>
            <w:r>
              <w:rPr>
                <w:rFonts w:hint="eastAsia" w:ascii="宋体" w:hAnsi="宋体" w:eastAsia="宋体" w:cs="宋体"/>
                <w:kern w:val="0"/>
                <w:sz w:val="18"/>
                <w:szCs w:val="18"/>
              </w:rPr>
              <w:t>项目</w:t>
            </w:r>
          </w:p>
        </w:tc>
        <w:tc>
          <w:tcPr>
            <w:tcW w:w="2260" w:type="dxa"/>
            <w:tcBorders>
              <w:top w:val="single" w:color="auto" w:sz="4" w:space="0"/>
              <w:left w:val="nil"/>
              <w:bottom w:val="single" w:color="auto" w:sz="4" w:space="0"/>
              <w:right w:val="single" w:color="auto" w:sz="4" w:space="0"/>
            </w:tcBorders>
            <w:shd w:val="clear" w:color="000000" w:fill="D3D3D3"/>
            <w:vAlign w:val="center"/>
          </w:tcPr>
          <w:p w14:paraId="50A215E1">
            <w:pPr>
              <w:widowControl/>
              <w:jc w:val="center"/>
              <w:rPr>
                <w:rFonts w:ascii="宋体" w:hAnsi="宋体" w:eastAsia="宋体" w:cs="宋体"/>
                <w:kern w:val="0"/>
                <w:sz w:val="18"/>
                <w:szCs w:val="18"/>
              </w:rPr>
            </w:pPr>
            <w:r>
              <w:rPr>
                <w:rFonts w:hint="eastAsia" w:ascii="宋体" w:hAnsi="宋体" w:eastAsia="宋体" w:cs="宋体"/>
                <w:kern w:val="0"/>
                <w:sz w:val="18"/>
                <w:szCs w:val="18"/>
              </w:rPr>
              <w:t>本期</w:t>
            </w:r>
          </w:p>
        </w:tc>
        <w:tc>
          <w:tcPr>
            <w:tcW w:w="2260" w:type="dxa"/>
            <w:tcBorders>
              <w:top w:val="single" w:color="auto" w:sz="4" w:space="0"/>
              <w:left w:val="nil"/>
              <w:bottom w:val="single" w:color="auto" w:sz="4" w:space="0"/>
              <w:right w:val="single" w:color="auto" w:sz="4" w:space="0"/>
            </w:tcBorders>
            <w:shd w:val="clear" w:color="000000" w:fill="D3D3D3"/>
            <w:vAlign w:val="center"/>
          </w:tcPr>
          <w:p w14:paraId="752E2CE1">
            <w:pPr>
              <w:widowControl/>
              <w:jc w:val="center"/>
              <w:rPr>
                <w:rFonts w:ascii="宋体" w:hAnsi="宋体" w:eastAsia="宋体" w:cs="宋体"/>
                <w:kern w:val="0"/>
                <w:sz w:val="18"/>
                <w:szCs w:val="18"/>
              </w:rPr>
            </w:pPr>
            <w:r>
              <w:rPr>
                <w:rFonts w:hint="eastAsia" w:ascii="宋体" w:hAnsi="宋体" w:eastAsia="宋体" w:cs="宋体"/>
                <w:kern w:val="0"/>
                <w:sz w:val="18"/>
                <w:szCs w:val="18"/>
              </w:rPr>
              <w:t>上期</w:t>
            </w:r>
          </w:p>
        </w:tc>
      </w:tr>
      <w:tr w14:paraId="431A3B89">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55F61789">
            <w:pPr>
              <w:widowControl/>
              <w:rPr>
                <w:rFonts w:ascii="宋体" w:hAnsi="宋体" w:eastAsia="宋体" w:cs="宋体"/>
                <w:kern w:val="0"/>
                <w:sz w:val="18"/>
                <w:szCs w:val="18"/>
              </w:rPr>
            </w:pPr>
            <w:r>
              <w:rPr>
                <w:rFonts w:hint="eastAsia" w:ascii="宋体" w:hAnsi="宋体" w:eastAsia="宋体" w:cs="宋体"/>
                <w:kern w:val="0"/>
                <w:sz w:val="18"/>
                <w:szCs w:val="18"/>
              </w:rPr>
              <w:t>调整前上期末未分配利润</w:t>
            </w:r>
          </w:p>
        </w:tc>
        <w:tc>
          <w:tcPr>
            <w:tcW w:w="2260" w:type="dxa"/>
            <w:tcBorders>
              <w:top w:val="nil"/>
              <w:left w:val="nil"/>
              <w:bottom w:val="single" w:color="auto" w:sz="4" w:space="0"/>
              <w:right w:val="single" w:color="auto" w:sz="4" w:space="0"/>
            </w:tcBorders>
            <w:shd w:val="clear" w:color="auto" w:fill="auto"/>
            <w:vAlign w:val="center"/>
          </w:tcPr>
          <w:p w14:paraId="5CF1C8D2">
            <w:pPr>
              <w:widowControl/>
              <w:jc w:val="right"/>
              <w:rPr>
                <w:rFonts w:ascii="宋体" w:hAnsi="宋体" w:eastAsia="宋体" w:cs="宋体"/>
                <w:kern w:val="0"/>
                <w:sz w:val="18"/>
                <w:szCs w:val="18"/>
              </w:rPr>
            </w:pPr>
            <w:r>
              <w:rPr>
                <w:rFonts w:hint="eastAsia" w:ascii="宋体" w:hAnsi="宋体" w:eastAsia="宋体" w:cs="宋体"/>
                <w:kern w:val="0"/>
                <w:sz w:val="18"/>
                <w:szCs w:val="18"/>
              </w:rPr>
              <w:t>-435,210,845.71</w:t>
            </w:r>
          </w:p>
        </w:tc>
        <w:tc>
          <w:tcPr>
            <w:tcW w:w="2260" w:type="dxa"/>
            <w:tcBorders>
              <w:top w:val="nil"/>
              <w:left w:val="nil"/>
              <w:bottom w:val="single" w:color="auto" w:sz="4" w:space="0"/>
              <w:right w:val="single" w:color="auto" w:sz="4" w:space="0"/>
            </w:tcBorders>
            <w:shd w:val="clear" w:color="auto" w:fill="auto"/>
            <w:vAlign w:val="center"/>
          </w:tcPr>
          <w:p w14:paraId="42B20944">
            <w:pPr>
              <w:widowControl/>
              <w:jc w:val="right"/>
              <w:rPr>
                <w:rFonts w:ascii="宋体" w:hAnsi="宋体" w:eastAsia="宋体" w:cs="宋体"/>
                <w:kern w:val="0"/>
                <w:sz w:val="18"/>
                <w:szCs w:val="18"/>
              </w:rPr>
            </w:pPr>
            <w:r>
              <w:rPr>
                <w:rFonts w:hint="eastAsia" w:ascii="宋体" w:hAnsi="宋体" w:eastAsia="宋体" w:cs="宋体"/>
                <w:kern w:val="0"/>
                <w:sz w:val="18"/>
                <w:szCs w:val="18"/>
              </w:rPr>
              <w:t>-387,825,095.69</w:t>
            </w:r>
          </w:p>
        </w:tc>
      </w:tr>
      <w:tr w14:paraId="53EF8CBB">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606ADBB2">
            <w:pPr>
              <w:widowControl/>
              <w:rPr>
                <w:rFonts w:ascii="宋体" w:hAnsi="宋体" w:eastAsia="宋体" w:cs="宋体"/>
                <w:kern w:val="0"/>
                <w:sz w:val="18"/>
                <w:szCs w:val="18"/>
              </w:rPr>
            </w:pPr>
            <w:r>
              <w:rPr>
                <w:rFonts w:hint="eastAsia" w:ascii="宋体" w:hAnsi="宋体" w:eastAsia="宋体" w:cs="宋体"/>
                <w:kern w:val="0"/>
                <w:sz w:val="18"/>
                <w:szCs w:val="18"/>
              </w:rPr>
              <w:t>调整期初未分配利润合计数（调增+，调减-）</w:t>
            </w:r>
          </w:p>
        </w:tc>
        <w:tc>
          <w:tcPr>
            <w:tcW w:w="2260" w:type="dxa"/>
            <w:tcBorders>
              <w:top w:val="nil"/>
              <w:left w:val="nil"/>
              <w:bottom w:val="single" w:color="auto" w:sz="4" w:space="0"/>
              <w:right w:val="single" w:color="auto" w:sz="4" w:space="0"/>
            </w:tcBorders>
            <w:shd w:val="clear" w:color="auto" w:fill="auto"/>
            <w:vAlign w:val="center"/>
          </w:tcPr>
          <w:p w14:paraId="7E7B2F33">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c>
          <w:tcPr>
            <w:tcW w:w="2260" w:type="dxa"/>
            <w:tcBorders>
              <w:top w:val="nil"/>
              <w:left w:val="nil"/>
              <w:bottom w:val="single" w:color="auto" w:sz="4" w:space="0"/>
              <w:right w:val="single" w:color="auto" w:sz="4" w:space="0"/>
            </w:tcBorders>
            <w:shd w:val="clear" w:color="auto" w:fill="auto"/>
            <w:vAlign w:val="center"/>
          </w:tcPr>
          <w:p w14:paraId="56CEBB2D">
            <w:pPr>
              <w:widowControl/>
              <w:jc w:val="right"/>
              <w:rPr>
                <w:rFonts w:ascii="宋体" w:hAnsi="宋体" w:eastAsia="宋体" w:cs="宋体"/>
                <w:kern w:val="0"/>
                <w:sz w:val="18"/>
                <w:szCs w:val="18"/>
              </w:rPr>
            </w:pPr>
            <w:r>
              <w:rPr>
                <w:rFonts w:hint="eastAsia" w:ascii="宋体" w:hAnsi="宋体" w:eastAsia="宋体" w:cs="宋体"/>
                <w:kern w:val="0"/>
                <w:sz w:val="18"/>
                <w:szCs w:val="18"/>
              </w:rPr>
              <w:t>-21,612,500.00</w:t>
            </w:r>
          </w:p>
        </w:tc>
      </w:tr>
      <w:tr w14:paraId="6EC43E30">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27F6C48B">
            <w:pPr>
              <w:widowControl/>
              <w:rPr>
                <w:rFonts w:ascii="宋体" w:hAnsi="宋体" w:eastAsia="宋体" w:cs="宋体"/>
                <w:kern w:val="0"/>
                <w:sz w:val="18"/>
                <w:szCs w:val="18"/>
              </w:rPr>
            </w:pPr>
            <w:r>
              <w:rPr>
                <w:rFonts w:hint="eastAsia" w:ascii="宋体" w:hAnsi="宋体" w:eastAsia="宋体" w:cs="宋体"/>
                <w:kern w:val="0"/>
                <w:sz w:val="18"/>
                <w:szCs w:val="18"/>
              </w:rPr>
              <w:t>调整后期初未分配利润</w:t>
            </w:r>
          </w:p>
        </w:tc>
        <w:tc>
          <w:tcPr>
            <w:tcW w:w="2260" w:type="dxa"/>
            <w:tcBorders>
              <w:top w:val="nil"/>
              <w:left w:val="nil"/>
              <w:bottom w:val="single" w:color="auto" w:sz="4" w:space="0"/>
              <w:right w:val="single" w:color="auto" w:sz="4" w:space="0"/>
            </w:tcBorders>
            <w:shd w:val="clear" w:color="000000" w:fill="98F5F8"/>
            <w:vAlign w:val="center"/>
          </w:tcPr>
          <w:p w14:paraId="40DEBD78">
            <w:pPr>
              <w:widowControl/>
              <w:jc w:val="right"/>
              <w:rPr>
                <w:rFonts w:ascii="宋体" w:hAnsi="宋体" w:eastAsia="宋体" w:cs="宋体"/>
                <w:kern w:val="0"/>
                <w:sz w:val="18"/>
                <w:szCs w:val="18"/>
              </w:rPr>
            </w:pPr>
            <w:r>
              <w:rPr>
                <w:rFonts w:hint="eastAsia" w:ascii="宋体" w:hAnsi="宋体" w:eastAsia="宋体" w:cs="宋体"/>
                <w:kern w:val="0"/>
                <w:sz w:val="18"/>
                <w:szCs w:val="18"/>
              </w:rPr>
              <w:t>-435,210,845.71</w:t>
            </w:r>
          </w:p>
        </w:tc>
        <w:tc>
          <w:tcPr>
            <w:tcW w:w="2260" w:type="dxa"/>
            <w:tcBorders>
              <w:top w:val="nil"/>
              <w:left w:val="nil"/>
              <w:bottom w:val="single" w:color="auto" w:sz="4" w:space="0"/>
              <w:right w:val="single" w:color="auto" w:sz="4" w:space="0"/>
            </w:tcBorders>
            <w:shd w:val="clear" w:color="auto" w:fill="auto"/>
            <w:vAlign w:val="center"/>
          </w:tcPr>
          <w:p w14:paraId="3C178E8B">
            <w:pPr>
              <w:widowControl/>
              <w:jc w:val="right"/>
              <w:rPr>
                <w:rFonts w:ascii="宋体" w:hAnsi="宋体" w:eastAsia="宋体" w:cs="宋体"/>
                <w:kern w:val="0"/>
                <w:sz w:val="18"/>
                <w:szCs w:val="18"/>
              </w:rPr>
            </w:pPr>
            <w:r>
              <w:rPr>
                <w:rFonts w:hint="eastAsia" w:ascii="宋体" w:hAnsi="宋体" w:eastAsia="宋体" w:cs="宋体"/>
                <w:kern w:val="0"/>
                <w:sz w:val="18"/>
                <w:szCs w:val="18"/>
              </w:rPr>
              <w:t>-409,437,595.69</w:t>
            </w:r>
          </w:p>
        </w:tc>
      </w:tr>
      <w:tr w14:paraId="2C4C9686">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7992B384">
            <w:pPr>
              <w:widowControl/>
              <w:rPr>
                <w:rFonts w:ascii="宋体" w:hAnsi="宋体" w:eastAsia="宋体" w:cs="宋体"/>
                <w:kern w:val="0"/>
                <w:sz w:val="18"/>
                <w:szCs w:val="18"/>
              </w:rPr>
            </w:pPr>
            <w:r>
              <w:rPr>
                <w:rFonts w:hint="eastAsia" w:ascii="宋体" w:hAnsi="宋体" w:eastAsia="宋体" w:cs="宋体"/>
                <w:kern w:val="0"/>
                <w:sz w:val="18"/>
                <w:szCs w:val="18"/>
              </w:rPr>
              <w:t>加：本期归属于母公司所有者的净利润</w:t>
            </w:r>
          </w:p>
        </w:tc>
        <w:tc>
          <w:tcPr>
            <w:tcW w:w="2260" w:type="dxa"/>
            <w:tcBorders>
              <w:top w:val="nil"/>
              <w:left w:val="nil"/>
              <w:bottom w:val="single" w:color="auto" w:sz="4" w:space="0"/>
              <w:right w:val="single" w:color="auto" w:sz="4" w:space="0"/>
            </w:tcBorders>
            <w:shd w:val="clear" w:color="auto" w:fill="auto"/>
            <w:vAlign w:val="center"/>
          </w:tcPr>
          <w:p w14:paraId="0BFDC75E">
            <w:pPr>
              <w:widowControl/>
              <w:jc w:val="right"/>
              <w:rPr>
                <w:rFonts w:ascii="宋体" w:hAnsi="宋体" w:eastAsia="宋体" w:cs="宋体"/>
                <w:kern w:val="0"/>
                <w:sz w:val="18"/>
                <w:szCs w:val="18"/>
              </w:rPr>
            </w:pPr>
            <w:r>
              <w:rPr>
                <w:rFonts w:hint="eastAsia" w:ascii="宋体" w:hAnsi="宋体" w:eastAsia="宋体" w:cs="宋体"/>
                <w:kern w:val="0"/>
                <w:sz w:val="18"/>
                <w:szCs w:val="18"/>
              </w:rPr>
              <w:t>10,073,853.45</w:t>
            </w:r>
          </w:p>
        </w:tc>
        <w:tc>
          <w:tcPr>
            <w:tcW w:w="2260" w:type="dxa"/>
            <w:tcBorders>
              <w:top w:val="nil"/>
              <w:left w:val="nil"/>
              <w:bottom w:val="single" w:color="auto" w:sz="4" w:space="0"/>
              <w:right w:val="single" w:color="auto" w:sz="4" w:space="0"/>
            </w:tcBorders>
            <w:shd w:val="clear" w:color="auto" w:fill="auto"/>
            <w:vAlign w:val="center"/>
          </w:tcPr>
          <w:p w14:paraId="21D610BB">
            <w:pPr>
              <w:widowControl/>
              <w:jc w:val="right"/>
              <w:rPr>
                <w:rFonts w:ascii="宋体" w:hAnsi="宋体" w:eastAsia="宋体" w:cs="宋体"/>
                <w:kern w:val="0"/>
                <w:sz w:val="18"/>
                <w:szCs w:val="18"/>
              </w:rPr>
            </w:pPr>
            <w:r>
              <w:rPr>
                <w:rFonts w:hint="eastAsia" w:ascii="宋体" w:hAnsi="宋体" w:eastAsia="宋体" w:cs="宋体"/>
                <w:kern w:val="0"/>
                <w:sz w:val="18"/>
                <w:szCs w:val="18"/>
              </w:rPr>
              <w:t>-25,773,250.02</w:t>
            </w:r>
          </w:p>
        </w:tc>
      </w:tr>
      <w:tr w14:paraId="57ACF5FE">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11375C30">
            <w:pPr>
              <w:widowControl/>
              <w:rPr>
                <w:rFonts w:ascii="宋体" w:hAnsi="宋体" w:eastAsia="宋体" w:cs="宋体"/>
                <w:kern w:val="0"/>
                <w:sz w:val="18"/>
                <w:szCs w:val="18"/>
              </w:rPr>
            </w:pPr>
            <w:r>
              <w:rPr>
                <w:rFonts w:hint="eastAsia" w:ascii="宋体" w:hAnsi="宋体" w:eastAsia="宋体" w:cs="宋体"/>
                <w:kern w:val="0"/>
                <w:sz w:val="18"/>
                <w:szCs w:val="18"/>
              </w:rPr>
              <w:t>减：提取法定盈余公积</w:t>
            </w:r>
          </w:p>
        </w:tc>
        <w:tc>
          <w:tcPr>
            <w:tcW w:w="2260" w:type="dxa"/>
            <w:tcBorders>
              <w:top w:val="nil"/>
              <w:left w:val="nil"/>
              <w:bottom w:val="single" w:color="auto" w:sz="4" w:space="0"/>
              <w:right w:val="single" w:color="auto" w:sz="4" w:space="0"/>
            </w:tcBorders>
            <w:shd w:val="clear" w:color="auto" w:fill="auto"/>
            <w:vAlign w:val="center"/>
          </w:tcPr>
          <w:p w14:paraId="13D8582F">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c>
          <w:tcPr>
            <w:tcW w:w="2260" w:type="dxa"/>
            <w:tcBorders>
              <w:top w:val="nil"/>
              <w:left w:val="nil"/>
              <w:bottom w:val="single" w:color="auto" w:sz="4" w:space="0"/>
              <w:right w:val="single" w:color="auto" w:sz="4" w:space="0"/>
            </w:tcBorders>
            <w:shd w:val="clear" w:color="auto" w:fill="auto"/>
            <w:vAlign w:val="center"/>
          </w:tcPr>
          <w:p w14:paraId="6DBBC622">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r>
      <w:tr w14:paraId="08B87E7D">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216603FE">
            <w:pPr>
              <w:widowControl/>
              <w:ind w:firstLine="360" w:firstLineChars="200"/>
              <w:rPr>
                <w:rFonts w:ascii="宋体" w:hAnsi="宋体" w:eastAsia="宋体" w:cs="宋体"/>
                <w:kern w:val="0"/>
                <w:sz w:val="18"/>
                <w:szCs w:val="18"/>
              </w:rPr>
            </w:pPr>
            <w:r>
              <w:rPr>
                <w:rFonts w:hint="eastAsia" w:ascii="宋体" w:hAnsi="宋体" w:eastAsia="宋体" w:cs="宋体"/>
                <w:kern w:val="0"/>
                <w:sz w:val="18"/>
                <w:szCs w:val="18"/>
              </w:rPr>
              <w:t>提取任意盈余公积</w:t>
            </w:r>
          </w:p>
        </w:tc>
        <w:tc>
          <w:tcPr>
            <w:tcW w:w="2260" w:type="dxa"/>
            <w:tcBorders>
              <w:top w:val="nil"/>
              <w:left w:val="nil"/>
              <w:bottom w:val="single" w:color="auto" w:sz="4" w:space="0"/>
              <w:right w:val="single" w:color="auto" w:sz="4" w:space="0"/>
            </w:tcBorders>
            <w:shd w:val="clear" w:color="auto" w:fill="auto"/>
            <w:vAlign w:val="center"/>
          </w:tcPr>
          <w:p w14:paraId="61B3DE45">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c>
          <w:tcPr>
            <w:tcW w:w="2260" w:type="dxa"/>
            <w:tcBorders>
              <w:top w:val="nil"/>
              <w:left w:val="nil"/>
              <w:bottom w:val="single" w:color="auto" w:sz="4" w:space="0"/>
              <w:right w:val="single" w:color="auto" w:sz="4" w:space="0"/>
            </w:tcBorders>
            <w:shd w:val="clear" w:color="auto" w:fill="auto"/>
            <w:vAlign w:val="center"/>
          </w:tcPr>
          <w:p w14:paraId="4C62E358">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r>
      <w:tr w14:paraId="16AEAC42">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28D93AE2">
            <w:pPr>
              <w:widowControl/>
              <w:ind w:firstLine="360" w:firstLineChars="200"/>
              <w:rPr>
                <w:rFonts w:ascii="宋体" w:hAnsi="宋体" w:eastAsia="宋体" w:cs="宋体"/>
                <w:kern w:val="0"/>
                <w:sz w:val="18"/>
                <w:szCs w:val="18"/>
              </w:rPr>
            </w:pPr>
            <w:r>
              <w:rPr>
                <w:rFonts w:hint="eastAsia" w:ascii="宋体" w:hAnsi="宋体" w:eastAsia="宋体" w:cs="宋体"/>
                <w:kern w:val="0"/>
                <w:sz w:val="18"/>
                <w:szCs w:val="18"/>
              </w:rPr>
              <w:t>提取一般风险准备</w:t>
            </w:r>
          </w:p>
        </w:tc>
        <w:tc>
          <w:tcPr>
            <w:tcW w:w="2260" w:type="dxa"/>
            <w:tcBorders>
              <w:top w:val="nil"/>
              <w:left w:val="nil"/>
              <w:bottom w:val="single" w:color="auto" w:sz="4" w:space="0"/>
              <w:right w:val="single" w:color="auto" w:sz="4" w:space="0"/>
            </w:tcBorders>
            <w:shd w:val="clear" w:color="auto" w:fill="auto"/>
            <w:vAlign w:val="center"/>
          </w:tcPr>
          <w:p w14:paraId="30B4AFCB">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c>
          <w:tcPr>
            <w:tcW w:w="2260" w:type="dxa"/>
            <w:tcBorders>
              <w:top w:val="nil"/>
              <w:left w:val="nil"/>
              <w:bottom w:val="single" w:color="auto" w:sz="4" w:space="0"/>
              <w:right w:val="single" w:color="auto" w:sz="4" w:space="0"/>
            </w:tcBorders>
            <w:shd w:val="clear" w:color="auto" w:fill="auto"/>
            <w:vAlign w:val="center"/>
          </w:tcPr>
          <w:p w14:paraId="1EC8C15C">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r>
      <w:tr w14:paraId="7C799ADF">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46131E8B">
            <w:pPr>
              <w:widowControl/>
              <w:ind w:firstLine="360" w:firstLineChars="200"/>
              <w:rPr>
                <w:rFonts w:ascii="宋体" w:hAnsi="宋体" w:eastAsia="宋体" w:cs="宋体"/>
                <w:kern w:val="0"/>
                <w:sz w:val="18"/>
                <w:szCs w:val="18"/>
              </w:rPr>
            </w:pPr>
            <w:r>
              <w:rPr>
                <w:rFonts w:hint="eastAsia" w:ascii="宋体" w:hAnsi="宋体" w:eastAsia="宋体" w:cs="宋体"/>
                <w:kern w:val="0"/>
                <w:sz w:val="18"/>
                <w:szCs w:val="18"/>
              </w:rPr>
              <w:t>应付普通股股利</w:t>
            </w:r>
          </w:p>
        </w:tc>
        <w:tc>
          <w:tcPr>
            <w:tcW w:w="2260" w:type="dxa"/>
            <w:tcBorders>
              <w:top w:val="nil"/>
              <w:left w:val="nil"/>
              <w:bottom w:val="single" w:color="auto" w:sz="4" w:space="0"/>
              <w:right w:val="single" w:color="auto" w:sz="4" w:space="0"/>
            </w:tcBorders>
            <w:shd w:val="clear" w:color="auto" w:fill="auto"/>
            <w:vAlign w:val="center"/>
          </w:tcPr>
          <w:p w14:paraId="668787AC">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c>
          <w:tcPr>
            <w:tcW w:w="2260" w:type="dxa"/>
            <w:tcBorders>
              <w:top w:val="nil"/>
              <w:left w:val="nil"/>
              <w:bottom w:val="single" w:color="auto" w:sz="4" w:space="0"/>
              <w:right w:val="single" w:color="auto" w:sz="4" w:space="0"/>
            </w:tcBorders>
            <w:shd w:val="clear" w:color="auto" w:fill="auto"/>
            <w:vAlign w:val="center"/>
          </w:tcPr>
          <w:p w14:paraId="786CAEC4">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r>
      <w:tr w14:paraId="1DD7F46F">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60375F03">
            <w:pPr>
              <w:widowControl/>
              <w:ind w:firstLine="360" w:firstLineChars="200"/>
              <w:rPr>
                <w:rFonts w:ascii="宋体" w:hAnsi="宋体" w:eastAsia="宋体" w:cs="宋体"/>
                <w:kern w:val="0"/>
                <w:sz w:val="18"/>
                <w:szCs w:val="18"/>
              </w:rPr>
            </w:pPr>
            <w:r>
              <w:rPr>
                <w:rFonts w:hint="eastAsia" w:ascii="宋体" w:hAnsi="宋体" w:eastAsia="宋体" w:cs="宋体"/>
                <w:kern w:val="0"/>
                <w:sz w:val="18"/>
                <w:szCs w:val="18"/>
              </w:rPr>
              <w:t>转作股本的普通股股利</w:t>
            </w:r>
          </w:p>
        </w:tc>
        <w:tc>
          <w:tcPr>
            <w:tcW w:w="2260" w:type="dxa"/>
            <w:tcBorders>
              <w:top w:val="nil"/>
              <w:left w:val="nil"/>
              <w:bottom w:val="single" w:color="auto" w:sz="4" w:space="0"/>
              <w:right w:val="single" w:color="auto" w:sz="4" w:space="0"/>
            </w:tcBorders>
            <w:shd w:val="clear" w:color="auto" w:fill="auto"/>
            <w:vAlign w:val="center"/>
          </w:tcPr>
          <w:p w14:paraId="4744D5A0">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c>
          <w:tcPr>
            <w:tcW w:w="2260" w:type="dxa"/>
            <w:tcBorders>
              <w:top w:val="nil"/>
              <w:left w:val="nil"/>
              <w:bottom w:val="single" w:color="auto" w:sz="4" w:space="0"/>
              <w:right w:val="single" w:color="auto" w:sz="4" w:space="0"/>
            </w:tcBorders>
            <w:shd w:val="clear" w:color="auto" w:fill="auto"/>
            <w:vAlign w:val="center"/>
          </w:tcPr>
          <w:p w14:paraId="36C4254E">
            <w:pPr>
              <w:widowControl/>
              <w:jc w:val="right"/>
              <w:rPr>
                <w:rFonts w:ascii="宋体" w:hAnsi="宋体" w:eastAsia="宋体" w:cs="宋体"/>
                <w:kern w:val="0"/>
                <w:sz w:val="18"/>
                <w:szCs w:val="18"/>
              </w:rPr>
            </w:pPr>
            <w:r>
              <w:rPr>
                <w:rFonts w:hint="eastAsia" w:ascii="宋体" w:hAnsi="宋体" w:eastAsia="宋体" w:cs="宋体"/>
                <w:kern w:val="0"/>
                <w:sz w:val="18"/>
                <w:szCs w:val="18"/>
              </w:rPr>
              <w:t>　</w:t>
            </w:r>
          </w:p>
        </w:tc>
      </w:tr>
      <w:tr w14:paraId="434BCDB1">
        <w:trPr>
          <w:trHeight w:val="285" w:hRule="atLeast"/>
        </w:trPr>
        <w:tc>
          <w:tcPr>
            <w:tcW w:w="5140" w:type="dxa"/>
            <w:tcBorders>
              <w:top w:val="nil"/>
              <w:left w:val="single" w:color="auto" w:sz="4" w:space="0"/>
              <w:bottom w:val="single" w:color="auto" w:sz="4" w:space="0"/>
              <w:right w:val="single" w:color="auto" w:sz="4" w:space="0"/>
            </w:tcBorders>
            <w:shd w:val="clear" w:color="000000" w:fill="D3D3D3"/>
            <w:vAlign w:val="center"/>
          </w:tcPr>
          <w:p w14:paraId="00C90AAA">
            <w:pPr>
              <w:widowControl/>
              <w:rPr>
                <w:rFonts w:ascii="宋体" w:hAnsi="宋体" w:eastAsia="宋体" w:cs="宋体"/>
                <w:kern w:val="0"/>
                <w:sz w:val="18"/>
                <w:szCs w:val="18"/>
              </w:rPr>
            </w:pPr>
            <w:r>
              <w:rPr>
                <w:rFonts w:hint="eastAsia" w:ascii="宋体" w:hAnsi="宋体" w:eastAsia="宋体" w:cs="宋体"/>
                <w:kern w:val="0"/>
                <w:sz w:val="18"/>
                <w:szCs w:val="18"/>
              </w:rPr>
              <w:t>期末未分配利润</w:t>
            </w:r>
          </w:p>
        </w:tc>
        <w:tc>
          <w:tcPr>
            <w:tcW w:w="2260" w:type="dxa"/>
            <w:tcBorders>
              <w:top w:val="nil"/>
              <w:left w:val="nil"/>
              <w:bottom w:val="single" w:color="auto" w:sz="4" w:space="0"/>
              <w:right w:val="single" w:color="auto" w:sz="4" w:space="0"/>
            </w:tcBorders>
            <w:shd w:val="clear" w:color="000000" w:fill="98F5F8"/>
            <w:vAlign w:val="center"/>
          </w:tcPr>
          <w:p w14:paraId="3BAAC20C">
            <w:pPr>
              <w:widowControl/>
              <w:jc w:val="right"/>
              <w:rPr>
                <w:rFonts w:ascii="宋体" w:hAnsi="宋体" w:eastAsia="宋体" w:cs="宋体"/>
                <w:kern w:val="0"/>
                <w:sz w:val="18"/>
                <w:szCs w:val="18"/>
              </w:rPr>
            </w:pPr>
            <w:r>
              <w:rPr>
                <w:rFonts w:hint="eastAsia" w:ascii="宋体" w:hAnsi="宋体" w:eastAsia="宋体" w:cs="宋体"/>
                <w:kern w:val="0"/>
                <w:sz w:val="18"/>
                <w:szCs w:val="18"/>
              </w:rPr>
              <w:t>-425,136,992.26</w:t>
            </w:r>
          </w:p>
        </w:tc>
        <w:tc>
          <w:tcPr>
            <w:tcW w:w="2260" w:type="dxa"/>
            <w:tcBorders>
              <w:top w:val="nil"/>
              <w:left w:val="nil"/>
              <w:bottom w:val="single" w:color="auto" w:sz="4" w:space="0"/>
              <w:right w:val="single" w:color="auto" w:sz="4" w:space="0"/>
            </w:tcBorders>
            <w:shd w:val="clear" w:color="auto" w:fill="auto"/>
            <w:vAlign w:val="center"/>
          </w:tcPr>
          <w:p w14:paraId="20E3193C">
            <w:pPr>
              <w:widowControl/>
              <w:jc w:val="right"/>
              <w:rPr>
                <w:rFonts w:ascii="宋体" w:hAnsi="宋体" w:eastAsia="宋体" w:cs="宋体"/>
                <w:kern w:val="0"/>
                <w:sz w:val="18"/>
                <w:szCs w:val="18"/>
              </w:rPr>
            </w:pPr>
            <w:r>
              <w:rPr>
                <w:rFonts w:hint="eastAsia" w:ascii="宋体" w:hAnsi="宋体" w:eastAsia="宋体" w:cs="宋体"/>
                <w:kern w:val="0"/>
                <w:sz w:val="18"/>
                <w:szCs w:val="18"/>
              </w:rPr>
              <w:t>-435,210,845.71</w:t>
            </w:r>
          </w:p>
        </w:tc>
      </w:tr>
    </w:tbl>
    <w:p w14:paraId="79687E14">
      <w:pPr>
        <w:spacing w:before="40" w:after="100" w:line="240" w:lineRule="exact"/>
        <w:jc w:val="right"/>
        <w:rPr>
          <w:rFonts w:ascii="宋体" w:hAnsi="宋体" w:eastAsia="宋体" w:cs="宋体"/>
          <w:sz w:val="18"/>
          <w:szCs w:val="18"/>
        </w:rPr>
      </w:pPr>
    </w:p>
    <w:p w14:paraId="7F803840">
      <w:pPr>
        <w:spacing w:before="100" w:after="100" w:line="240" w:lineRule="exact"/>
        <w:rPr>
          <w:rFonts w:ascii="宋体" w:hAnsi="宋体" w:eastAsia="宋体" w:cs="宋体"/>
          <w:sz w:val="18"/>
          <w:szCs w:val="18"/>
        </w:rPr>
      </w:pPr>
      <w:r>
        <w:rPr>
          <w:rFonts w:ascii="宋体" w:hAnsi="宋体" w:eastAsia="宋体" w:cs="宋体"/>
          <w:sz w:val="18"/>
          <w:szCs w:val="18"/>
        </w:rPr>
        <w:t>调整期初未分配利润明细：</w:t>
      </w:r>
    </w:p>
    <w:p w14:paraId="74FADA3F">
      <w:pPr>
        <w:spacing w:before="40" w:after="100" w:line="240" w:lineRule="exact"/>
        <w:rPr>
          <w:rFonts w:ascii="宋体" w:hAnsi="宋体" w:eastAsia="宋体" w:cs="宋体"/>
          <w:sz w:val="18"/>
          <w:szCs w:val="18"/>
        </w:rPr>
      </w:pPr>
      <w:r>
        <w:rPr>
          <w:rFonts w:ascii="宋体" w:hAnsi="宋体" w:eastAsia="宋体" w:cs="宋体"/>
          <w:sz w:val="18"/>
          <w:szCs w:val="18"/>
        </w:rPr>
        <w:t>1)、由于《企业会计准则》及其相关新规定进行追溯调整，影响期初未分配利润</w:t>
      </w:r>
      <w:r>
        <w:rPr>
          <w:rFonts w:hint="eastAsia" w:ascii="宋体" w:hAnsi="宋体" w:eastAsia="宋体" w:cs="宋体"/>
          <w:sz w:val="18"/>
          <w:szCs w:val="18"/>
        </w:rPr>
        <w:t xml:space="preserve"> </w:t>
      </w:r>
      <w:r>
        <w:rPr>
          <w:rFonts w:ascii="宋体" w:hAnsi="宋体" w:eastAsia="宋体" w:cs="宋体"/>
          <w:sz w:val="18"/>
          <w:szCs w:val="18"/>
        </w:rPr>
        <w:t>0.00元。</w:t>
      </w:r>
    </w:p>
    <w:p w14:paraId="56938B69">
      <w:pPr>
        <w:spacing w:before="40" w:after="100" w:line="240" w:lineRule="exact"/>
        <w:rPr>
          <w:rFonts w:ascii="宋体" w:hAnsi="宋体" w:eastAsia="宋体" w:cs="宋体"/>
          <w:sz w:val="18"/>
          <w:szCs w:val="18"/>
        </w:rPr>
      </w:pPr>
      <w:r>
        <w:rPr>
          <w:rFonts w:ascii="宋体" w:hAnsi="宋体" w:eastAsia="宋体" w:cs="宋体"/>
          <w:sz w:val="18"/>
          <w:szCs w:val="18"/>
        </w:rPr>
        <w:t>2)、由于会计政策变更，影响期初未分配利润0.00元。</w:t>
      </w:r>
    </w:p>
    <w:p w14:paraId="755823F7">
      <w:pPr>
        <w:spacing w:before="40" w:after="100" w:line="240" w:lineRule="exact"/>
        <w:rPr>
          <w:rFonts w:ascii="宋体" w:hAnsi="宋体" w:eastAsia="宋体" w:cs="宋体"/>
          <w:sz w:val="18"/>
          <w:szCs w:val="18"/>
        </w:rPr>
      </w:pPr>
      <w:r>
        <w:rPr>
          <w:rFonts w:ascii="宋体" w:hAnsi="宋体" w:eastAsia="宋体" w:cs="宋体"/>
          <w:sz w:val="18"/>
          <w:szCs w:val="18"/>
        </w:rPr>
        <w:t>3)、由于重大会计差错更正，影响期初未分配利润</w:t>
      </w:r>
      <w:r>
        <w:rPr>
          <w:rFonts w:hint="eastAsia" w:ascii="宋体" w:hAnsi="宋体" w:eastAsia="宋体" w:cs="宋体"/>
          <w:sz w:val="18"/>
          <w:szCs w:val="18"/>
        </w:rPr>
        <w:t>0</w:t>
      </w:r>
      <w:r>
        <w:rPr>
          <w:rFonts w:ascii="宋体" w:hAnsi="宋体" w:eastAsia="宋体" w:cs="宋体"/>
          <w:sz w:val="18"/>
          <w:szCs w:val="18"/>
        </w:rPr>
        <w:t>.00元。</w:t>
      </w:r>
    </w:p>
    <w:p w14:paraId="5168BF5A">
      <w:pPr>
        <w:spacing w:before="40" w:after="100" w:line="240" w:lineRule="exact"/>
        <w:rPr>
          <w:rFonts w:ascii="宋体" w:hAnsi="宋体" w:eastAsia="宋体" w:cs="宋体"/>
          <w:sz w:val="18"/>
          <w:szCs w:val="18"/>
        </w:rPr>
      </w:pPr>
      <w:r>
        <w:rPr>
          <w:rFonts w:ascii="宋体" w:hAnsi="宋体" w:eastAsia="宋体" w:cs="宋体"/>
          <w:sz w:val="18"/>
          <w:szCs w:val="18"/>
        </w:rPr>
        <w:t>4)、由于同一控制导致的合并范围变更，影响期初未分配利润</w:t>
      </w:r>
      <w:r>
        <w:rPr>
          <w:rFonts w:hint="eastAsia" w:ascii="宋体" w:hAnsi="宋体" w:eastAsia="宋体" w:cs="宋体"/>
          <w:sz w:val="18"/>
          <w:szCs w:val="18"/>
        </w:rPr>
        <w:t>0</w:t>
      </w:r>
      <w:r>
        <w:rPr>
          <w:rFonts w:ascii="宋体" w:hAnsi="宋体" w:eastAsia="宋体" w:cs="宋体"/>
          <w:sz w:val="18"/>
          <w:szCs w:val="18"/>
        </w:rPr>
        <w:t>.00元。</w:t>
      </w:r>
    </w:p>
    <w:p w14:paraId="3A81CD04">
      <w:pPr>
        <w:spacing w:before="40" w:after="100" w:line="240" w:lineRule="exact"/>
        <w:rPr>
          <w:rFonts w:ascii="宋体" w:hAnsi="宋体" w:eastAsia="宋体" w:cs="宋体"/>
          <w:sz w:val="18"/>
          <w:szCs w:val="18"/>
        </w:rPr>
      </w:pPr>
      <w:r>
        <w:rPr>
          <w:rFonts w:ascii="宋体" w:hAnsi="宋体" w:eastAsia="宋体" w:cs="宋体"/>
          <w:sz w:val="18"/>
          <w:szCs w:val="18"/>
        </w:rPr>
        <w:t>5)、其他调整合计影响期初未分配利润</w:t>
      </w:r>
      <w:r>
        <w:rPr>
          <w:rFonts w:hint="eastAsia" w:ascii="宋体" w:hAnsi="宋体" w:eastAsia="宋体" w:cs="宋体"/>
          <w:sz w:val="18"/>
          <w:szCs w:val="18"/>
        </w:rPr>
        <w:t>0</w:t>
      </w:r>
      <w:r>
        <w:rPr>
          <w:rFonts w:ascii="宋体" w:hAnsi="宋体" w:eastAsia="宋体" w:cs="宋体"/>
          <w:sz w:val="18"/>
          <w:szCs w:val="18"/>
        </w:rPr>
        <w:t>.00元。</w:t>
      </w:r>
    </w:p>
    <w:p w14:paraId="20A2ECD2">
      <w:pPr>
        <w:pStyle w:val="3"/>
        <w:spacing w:after="100" w:line="280" w:lineRule="exact"/>
        <w:jc w:val="left"/>
        <w:rPr>
          <w:rFonts w:ascii="宋体" w:hAnsi="宋体" w:cs="宋体"/>
          <w:b/>
          <w:bCs/>
        </w:rPr>
      </w:pPr>
      <w:bookmarkStart w:id="349" w:name="_Toc989238"/>
      <w:r>
        <w:rPr>
          <w:rFonts w:ascii="宋体" w:hAnsi="宋体" w:cs="宋体"/>
          <w:b/>
          <w:bCs/>
        </w:rPr>
        <w:t>61、营业收入和营业成本</w:t>
      </w:r>
      <w:bookmarkEnd w:id="349"/>
    </w:p>
    <w:p w14:paraId="2563EA0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A7D9EC8">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15580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EDDA27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7AF488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800D469">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414CA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266F06">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7DF02D">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73D49F">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B0D5A4">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r>
      <w:tr w14:paraId="63B12D0D">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E1A633">
            <w:pPr>
              <w:spacing w:before="40" w:after="40" w:line="240" w:lineRule="exact"/>
              <w:rPr>
                <w:rFonts w:ascii="宋体" w:hAnsi="宋体" w:eastAsia="宋体" w:cs="宋体"/>
                <w:sz w:val="18"/>
                <w:szCs w:val="18"/>
              </w:rPr>
            </w:pPr>
            <w:r>
              <w:rPr>
                <w:rFonts w:ascii="宋体" w:hAnsi="宋体" w:eastAsia="宋体" w:cs="宋体"/>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15B1B524">
            <w:pPr>
              <w:spacing w:line="240" w:lineRule="exact"/>
              <w:jc w:val="right"/>
              <w:rPr>
                <w:rFonts w:ascii="宋体" w:hAnsi="宋体" w:eastAsia="宋体" w:cs="宋体"/>
                <w:sz w:val="18"/>
                <w:szCs w:val="18"/>
              </w:rPr>
            </w:pPr>
            <w:r>
              <w:rPr>
                <w:rFonts w:ascii="宋体" w:hAnsi="宋体" w:eastAsia="宋体" w:cs="宋体"/>
                <w:sz w:val="18"/>
                <w:szCs w:val="18"/>
              </w:rPr>
              <w:t>192,572,592.94</w:t>
            </w:r>
          </w:p>
        </w:tc>
        <w:tc>
          <w:tcPr>
            <w:tcW w:w="1928" w:type="dxa"/>
            <w:tcBorders>
              <w:top w:val="single" w:color="auto" w:sz="2" w:space="0"/>
              <w:left w:val="single" w:color="auto" w:sz="2" w:space="0"/>
              <w:bottom w:val="single" w:color="auto" w:sz="2" w:space="0"/>
              <w:right w:val="single" w:color="auto" w:sz="2" w:space="0"/>
            </w:tcBorders>
            <w:vAlign w:val="center"/>
          </w:tcPr>
          <w:p w14:paraId="5D7EEBE9">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928" w:type="dxa"/>
            <w:tcBorders>
              <w:top w:val="single" w:color="auto" w:sz="2" w:space="0"/>
              <w:left w:val="single" w:color="auto" w:sz="2" w:space="0"/>
              <w:bottom w:val="single" w:color="auto" w:sz="2" w:space="0"/>
              <w:right w:val="single" w:color="auto" w:sz="2" w:space="0"/>
            </w:tcBorders>
            <w:vAlign w:val="center"/>
          </w:tcPr>
          <w:p w14:paraId="692D2E92">
            <w:pPr>
              <w:spacing w:line="240" w:lineRule="exact"/>
              <w:jc w:val="right"/>
              <w:rPr>
                <w:rFonts w:ascii="宋体" w:hAnsi="宋体" w:eastAsia="宋体" w:cs="宋体"/>
                <w:sz w:val="18"/>
                <w:szCs w:val="18"/>
              </w:rPr>
            </w:pPr>
            <w:r>
              <w:rPr>
                <w:rFonts w:ascii="宋体" w:hAnsi="宋体" w:eastAsia="宋体" w:cs="宋体"/>
                <w:sz w:val="18"/>
                <w:szCs w:val="18"/>
              </w:rPr>
              <w:t>147,046,328.78</w:t>
            </w:r>
          </w:p>
        </w:tc>
        <w:tc>
          <w:tcPr>
            <w:tcW w:w="1928" w:type="dxa"/>
            <w:tcBorders>
              <w:top w:val="single" w:color="auto" w:sz="2" w:space="0"/>
              <w:left w:val="single" w:color="auto" w:sz="2" w:space="0"/>
              <w:bottom w:val="single" w:color="auto" w:sz="2" w:space="0"/>
              <w:right w:val="single" w:color="auto" w:sz="2" w:space="0"/>
            </w:tcBorders>
            <w:vAlign w:val="center"/>
          </w:tcPr>
          <w:p w14:paraId="05608A95">
            <w:pPr>
              <w:spacing w:line="240" w:lineRule="exact"/>
              <w:jc w:val="right"/>
              <w:rPr>
                <w:rFonts w:ascii="宋体" w:hAnsi="宋体" w:eastAsia="宋体" w:cs="宋体"/>
                <w:sz w:val="18"/>
                <w:szCs w:val="18"/>
              </w:rPr>
            </w:pPr>
            <w:r>
              <w:rPr>
                <w:rFonts w:ascii="宋体" w:hAnsi="宋体" w:eastAsia="宋体" w:cs="宋体"/>
                <w:sz w:val="18"/>
                <w:szCs w:val="18"/>
              </w:rPr>
              <w:t>103,318,485.78</w:t>
            </w:r>
          </w:p>
        </w:tc>
      </w:tr>
      <w:tr w14:paraId="192F8F7D">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1A2B09">
            <w:pPr>
              <w:spacing w:before="40" w:after="40" w:line="240" w:lineRule="exact"/>
              <w:rPr>
                <w:rFonts w:ascii="宋体" w:hAnsi="宋体" w:eastAsia="宋体" w:cs="宋体"/>
                <w:sz w:val="18"/>
                <w:szCs w:val="18"/>
              </w:rPr>
            </w:pPr>
            <w:r>
              <w:rPr>
                <w:rFonts w:ascii="宋体" w:hAnsi="宋体" w:eastAsia="宋体" w:cs="宋体"/>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49F1AD8B">
            <w:pPr>
              <w:spacing w:line="240" w:lineRule="exact"/>
              <w:jc w:val="right"/>
              <w:rPr>
                <w:rFonts w:ascii="宋体" w:hAnsi="宋体" w:eastAsia="宋体" w:cs="宋体"/>
                <w:sz w:val="18"/>
                <w:szCs w:val="18"/>
              </w:rPr>
            </w:pPr>
            <w:r>
              <w:rPr>
                <w:rFonts w:ascii="宋体" w:hAnsi="宋体" w:eastAsia="宋体" w:cs="宋体"/>
                <w:sz w:val="18"/>
                <w:szCs w:val="18"/>
              </w:rPr>
              <w:t>527,000.00</w:t>
            </w:r>
          </w:p>
        </w:tc>
        <w:tc>
          <w:tcPr>
            <w:tcW w:w="1928" w:type="dxa"/>
            <w:tcBorders>
              <w:top w:val="single" w:color="auto" w:sz="2" w:space="0"/>
              <w:left w:val="single" w:color="auto" w:sz="2" w:space="0"/>
              <w:bottom w:val="single" w:color="auto" w:sz="2" w:space="0"/>
              <w:right w:val="single" w:color="auto" w:sz="2" w:space="0"/>
            </w:tcBorders>
            <w:vAlign w:val="center"/>
          </w:tcPr>
          <w:p w14:paraId="579B8CF4">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57B5638">
            <w:pPr>
              <w:spacing w:line="240" w:lineRule="exact"/>
              <w:jc w:val="right"/>
              <w:rPr>
                <w:rFonts w:ascii="宋体" w:hAnsi="宋体" w:eastAsia="宋体" w:cs="宋体"/>
                <w:sz w:val="18"/>
                <w:szCs w:val="18"/>
              </w:rPr>
            </w:pPr>
            <w:r>
              <w:rPr>
                <w:rFonts w:ascii="宋体" w:hAnsi="宋体" w:eastAsia="宋体" w:cs="宋体"/>
                <w:sz w:val="18"/>
                <w:szCs w:val="18"/>
              </w:rPr>
              <w:t>367,800.00</w:t>
            </w:r>
          </w:p>
        </w:tc>
        <w:tc>
          <w:tcPr>
            <w:tcW w:w="1928" w:type="dxa"/>
            <w:tcBorders>
              <w:top w:val="single" w:color="auto" w:sz="2" w:space="0"/>
              <w:left w:val="single" w:color="auto" w:sz="2" w:space="0"/>
              <w:bottom w:val="single" w:color="auto" w:sz="2" w:space="0"/>
              <w:right w:val="single" w:color="auto" w:sz="2" w:space="0"/>
            </w:tcBorders>
            <w:vAlign w:val="center"/>
          </w:tcPr>
          <w:p w14:paraId="67A75332">
            <w:pPr>
              <w:spacing w:line="240" w:lineRule="exact"/>
              <w:jc w:val="right"/>
              <w:rPr>
                <w:rFonts w:ascii="宋体" w:hAnsi="宋体" w:eastAsia="宋体" w:cs="宋体"/>
                <w:sz w:val="18"/>
                <w:szCs w:val="18"/>
              </w:rPr>
            </w:pPr>
          </w:p>
        </w:tc>
      </w:tr>
      <w:tr w14:paraId="46044145">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A07E95">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825019B">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928" w:type="dxa"/>
            <w:tcBorders>
              <w:top w:val="single" w:color="auto" w:sz="2" w:space="0"/>
              <w:left w:val="single" w:color="auto" w:sz="2" w:space="0"/>
              <w:bottom w:val="single" w:color="auto" w:sz="2" w:space="0"/>
              <w:right w:val="single" w:color="auto" w:sz="2" w:space="0"/>
            </w:tcBorders>
            <w:vAlign w:val="center"/>
          </w:tcPr>
          <w:p w14:paraId="7EBB6B3A">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928" w:type="dxa"/>
            <w:tcBorders>
              <w:top w:val="single" w:color="auto" w:sz="2" w:space="0"/>
              <w:left w:val="single" w:color="auto" w:sz="2" w:space="0"/>
              <w:bottom w:val="single" w:color="auto" w:sz="2" w:space="0"/>
              <w:right w:val="single" w:color="auto" w:sz="2" w:space="0"/>
            </w:tcBorders>
            <w:vAlign w:val="center"/>
          </w:tcPr>
          <w:p w14:paraId="770D7AB1">
            <w:pPr>
              <w:spacing w:line="240" w:lineRule="exact"/>
              <w:jc w:val="right"/>
              <w:rPr>
                <w:rFonts w:ascii="宋体" w:hAnsi="宋体" w:eastAsia="宋体" w:cs="宋体"/>
                <w:sz w:val="18"/>
                <w:szCs w:val="18"/>
              </w:rPr>
            </w:pPr>
            <w:r>
              <w:rPr>
                <w:rFonts w:ascii="宋体" w:hAnsi="宋体" w:eastAsia="宋体" w:cs="宋体"/>
                <w:sz w:val="18"/>
                <w:szCs w:val="18"/>
              </w:rPr>
              <w:t>147,414,128.78</w:t>
            </w:r>
          </w:p>
        </w:tc>
        <w:tc>
          <w:tcPr>
            <w:tcW w:w="1928" w:type="dxa"/>
            <w:tcBorders>
              <w:top w:val="single" w:color="auto" w:sz="2" w:space="0"/>
              <w:left w:val="single" w:color="auto" w:sz="2" w:space="0"/>
              <w:bottom w:val="single" w:color="auto" w:sz="2" w:space="0"/>
              <w:right w:val="single" w:color="auto" w:sz="2" w:space="0"/>
            </w:tcBorders>
            <w:vAlign w:val="center"/>
          </w:tcPr>
          <w:p w14:paraId="5B28C46C">
            <w:pPr>
              <w:spacing w:line="240" w:lineRule="exact"/>
              <w:jc w:val="right"/>
              <w:rPr>
                <w:rFonts w:ascii="宋体" w:hAnsi="宋体" w:eastAsia="宋体" w:cs="宋体"/>
                <w:sz w:val="18"/>
                <w:szCs w:val="18"/>
              </w:rPr>
            </w:pPr>
            <w:r>
              <w:rPr>
                <w:rFonts w:ascii="宋体" w:hAnsi="宋体" w:eastAsia="宋体" w:cs="宋体"/>
                <w:sz w:val="18"/>
                <w:szCs w:val="18"/>
              </w:rPr>
              <w:t>103,318,485.78</w:t>
            </w:r>
          </w:p>
        </w:tc>
      </w:tr>
    </w:tbl>
    <w:p w14:paraId="2C48CC55">
      <w:pPr>
        <w:spacing w:before="100" w:after="100" w:line="240" w:lineRule="exact"/>
        <w:rPr>
          <w:rFonts w:ascii="宋体" w:hAnsi="宋体" w:eastAsia="宋体" w:cs="宋体"/>
          <w:sz w:val="18"/>
          <w:szCs w:val="18"/>
        </w:rPr>
      </w:pPr>
      <w:r>
        <w:rPr>
          <w:rFonts w:ascii="宋体" w:hAnsi="宋体" w:eastAsia="宋体" w:cs="宋体"/>
          <w:sz w:val="18"/>
          <w:szCs w:val="18"/>
        </w:rPr>
        <w:t>营业收入、营业成本的分解信息：</w:t>
      </w:r>
    </w:p>
    <w:p w14:paraId="7FD3B1A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A7C89FE">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53D053">
            <w:pPr>
              <w:spacing w:before="40" w:after="40" w:line="240" w:lineRule="exact"/>
              <w:jc w:val="center"/>
              <w:rPr>
                <w:rFonts w:ascii="宋体" w:hAnsi="宋体" w:eastAsia="宋体" w:cs="宋体"/>
                <w:sz w:val="18"/>
                <w:szCs w:val="18"/>
              </w:rPr>
            </w:pPr>
            <w:r>
              <w:rPr>
                <w:rFonts w:ascii="宋体" w:hAnsi="宋体" w:eastAsia="宋体" w:cs="宋体"/>
                <w:sz w:val="18"/>
                <w:szCs w:val="18"/>
              </w:rPr>
              <w:t>合同分类</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56BECDF">
            <w:pPr>
              <w:spacing w:before="40" w:after="40" w:line="240" w:lineRule="exact"/>
              <w:jc w:val="center"/>
              <w:rPr>
                <w:rFonts w:ascii="宋体" w:hAnsi="宋体" w:eastAsia="宋体" w:cs="宋体"/>
                <w:sz w:val="18"/>
                <w:szCs w:val="18"/>
              </w:rPr>
            </w:pPr>
            <w:r>
              <w:rPr>
                <w:rFonts w:ascii="宋体" w:hAnsi="宋体" w:eastAsia="宋体" w:cs="宋体"/>
                <w:sz w:val="18"/>
                <w:szCs w:val="18"/>
              </w:rPr>
              <w:t>分部1</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86B166D">
            <w:pPr>
              <w:spacing w:before="40" w:after="40" w:line="240" w:lineRule="exact"/>
              <w:jc w:val="center"/>
              <w:rPr>
                <w:rFonts w:ascii="宋体" w:hAnsi="宋体" w:eastAsia="宋体" w:cs="宋体"/>
                <w:sz w:val="18"/>
                <w:szCs w:val="18"/>
              </w:rPr>
            </w:pPr>
            <w:r>
              <w:rPr>
                <w:rFonts w:ascii="宋体" w:hAnsi="宋体" w:eastAsia="宋体" w:cs="宋体"/>
                <w:sz w:val="18"/>
                <w:szCs w:val="18"/>
              </w:rPr>
              <w:t>分部2</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3F48579F">
            <w:pPr>
              <w:spacing w:line="240" w:lineRule="exact"/>
              <w:jc w:val="center"/>
              <w:rPr>
                <w:rFonts w:ascii="宋体" w:hAnsi="宋体" w:eastAsia="宋体" w:cs="宋体"/>
                <w:sz w:val="18"/>
                <w:szCs w:val="18"/>
              </w:rPr>
            </w:pP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5564AB3">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1590E0CD">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C6D4B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4DBBC4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CD318C2">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6994F5">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84439D">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72291E3">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4437F9D">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83AC2F">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271748B">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r>
      <w:tr w14:paraId="2E02DEF6">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0CC5F4">
            <w:pPr>
              <w:spacing w:before="40" w:after="40" w:line="240" w:lineRule="exact"/>
              <w:rPr>
                <w:rFonts w:ascii="宋体" w:hAnsi="宋体" w:eastAsia="宋体" w:cs="宋体"/>
                <w:sz w:val="18"/>
                <w:szCs w:val="18"/>
              </w:rPr>
            </w:pPr>
            <w:r>
              <w:rPr>
                <w:rFonts w:ascii="宋体" w:hAnsi="宋体" w:eastAsia="宋体" w:cs="宋体"/>
                <w:sz w:val="18"/>
                <w:szCs w:val="18"/>
              </w:rPr>
              <w:t>业务类型</w:t>
            </w:r>
          </w:p>
        </w:tc>
        <w:tc>
          <w:tcPr>
            <w:tcW w:w="1071" w:type="dxa"/>
            <w:tcBorders>
              <w:top w:val="single" w:color="auto" w:sz="2" w:space="0"/>
              <w:left w:val="single" w:color="auto" w:sz="2" w:space="0"/>
              <w:bottom w:val="single" w:color="auto" w:sz="2" w:space="0"/>
              <w:right w:val="single" w:color="auto" w:sz="2" w:space="0"/>
            </w:tcBorders>
            <w:vAlign w:val="center"/>
          </w:tcPr>
          <w:p w14:paraId="6F13054B">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47BEFE90">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071" w:type="dxa"/>
            <w:tcBorders>
              <w:top w:val="single" w:color="auto" w:sz="2" w:space="0"/>
              <w:left w:val="single" w:color="auto" w:sz="2" w:space="0"/>
              <w:bottom w:val="single" w:color="auto" w:sz="2" w:space="0"/>
              <w:right w:val="single" w:color="auto" w:sz="2" w:space="0"/>
            </w:tcBorders>
            <w:vAlign w:val="center"/>
          </w:tcPr>
          <w:p w14:paraId="0538BEF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01FB3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0F5AC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1955A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F7188C">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58757B2A">
            <w:pPr>
              <w:spacing w:line="240" w:lineRule="exact"/>
              <w:jc w:val="right"/>
              <w:rPr>
                <w:rFonts w:ascii="宋体" w:hAnsi="宋体" w:eastAsia="宋体" w:cs="宋体"/>
                <w:sz w:val="18"/>
                <w:szCs w:val="18"/>
              </w:rPr>
            </w:pPr>
            <w:r>
              <w:rPr>
                <w:rFonts w:ascii="宋体" w:hAnsi="宋体" w:eastAsia="宋体" w:cs="宋体"/>
                <w:sz w:val="18"/>
                <w:szCs w:val="18"/>
              </w:rPr>
              <w:t>122,640,735.99</w:t>
            </w:r>
          </w:p>
        </w:tc>
      </w:tr>
      <w:tr w14:paraId="73AE4559">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F306201">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E2C83A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CC3557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B3829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DA6919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A2BE52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1031C2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F5CD2B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0CDE05"/>
        </w:tc>
      </w:tr>
      <w:tr w14:paraId="384FC3BB">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FA757DF">
            <w:pPr>
              <w:spacing w:line="240" w:lineRule="exact"/>
              <w:rPr>
                <w:rFonts w:ascii="宋体" w:hAnsi="宋体" w:eastAsia="宋体" w:cs="宋体"/>
                <w:sz w:val="18"/>
                <w:szCs w:val="18"/>
              </w:rPr>
            </w:pPr>
            <w:r>
              <w:rPr>
                <w:rFonts w:ascii="宋体" w:hAnsi="宋体" w:eastAsia="宋体" w:cs="宋体"/>
                <w:sz w:val="18"/>
                <w:szCs w:val="18"/>
              </w:rPr>
              <w:t>主营啤酒</w:t>
            </w:r>
          </w:p>
        </w:tc>
        <w:tc>
          <w:tcPr>
            <w:tcW w:w="1071" w:type="dxa"/>
            <w:tcBorders>
              <w:top w:val="single" w:color="auto" w:sz="2" w:space="0"/>
              <w:left w:val="single" w:color="auto" w:sz="2" w:space="0"/>
              <w:bottom w:val="single" w:color="auto" w:sz="2" w:space="0"/>
              <w:right w:val="single" w:color="auto" w:sz="2" w:space="0"/>
            </w:tcBorders>
            <w:vAlign w:val="center"/>
          </w:tcPr>
          <w:p w14:paraId="51E2FF9F">
            <w:pPr>
              <w:spacing w:line="240" w:lineRule="exact"/>
              <w:jc w:val="right"/>
              <w:rPr>
                <w:rFonts w:ascii="宋体" w:hAnsi="宋体" w:eastAsia="宋体" w:cs="宋体"/>
                <w:sz w:val="18"/>
                <w:szCs w:val="18"/>
              </w:rPr>
            </w:pPr>
            <w:r>
              <w:rPr>
                <w:rFonts w:ascii="宋体" w:hAnsi="宋体" w:eastAsia="宋体" w:cs="宋体"/>
                <w:sz w:val="18"/>
                <w:szCs w:val="18"/>
              </w:rPr>
              <w:t>192,572,592.94</w:t>
            </w:r>
          </w:p>
        </w:tc>
        <w:tc>
          <w:tcPr>
            <w:tcW w:w="1071" w:type="dxa"/>
            <w:tcBorders>
              <w:top w:val="single" w:color="auto" w:sz="2" w:space="0"/>
              <w:left w:val="single" w:color="auto" w:sz="2" w:space="0"/>
              <w:bottom w:val="single" w:color="auto" w:sz="2" w:space="0"/>
              <w:right w:val="single" w:color="auto" w:sz="2" w:space="0"/>
            </w:tcBorders>
            <w:vAlign w:val="center"/>
          </w:tcPr>
          <w:p w14:paraId="0C75491D">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071" w:type="dxa"/>
            <w:tcBorders>
              <w:top w:val="single" w:color="auto" w:sz="2" w:space="0"/>
              <w:left w:val="single" w:color="auto" w:sz="2" w:space="0"/>
              <w:bottom w:val="single" w:color="auto" w:sz="2" w:space="0"/>
              <w:right w:val="single" w:color="auto" w:sz="2" w:space="0"/>
            </w:tcBorders>
            <w:vAlign w:val="center"/>
          </w:tcPr>
          <w:p w14:paraId="0A82828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D72AB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8ECA5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F4F18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7E288EF">
            <w:pPr>
              <w:spacing w:line="240" w:lineRule="exact"/>
              <w:jc w:val="right"/>
              <w:rPr>
                <w:rFonts w:ascii="宋体" w:hAnsi="宋体" w:eastAsia="宋体" w:cs="宋体"/>
                <w:sz w:val="18"/>
                <w:szCs w:val="18"/>
              </w:rPr>
            </w:pPr>
            <w:r>
              <w:rPr>
                <w:rFonts w:ascii="宋体" w:hAnsi="宋体" w:eastAsia="宋体" w:cs="宋体"/>
                <w:sz w:val="18"/>
                <w:szCs w:val="18"/>
              </w:rPr>
              <w:t>192,572,592.94</w:t>
            </w:r>
          </w:p>
        </w:tc>
        <w:tc>
          <w:tcPr>
            <w:tcW w:w="1071" w:type="dxa"/>
            <w:tcBorders>
              <w:top w:val="single" w:color="auto" w:sz="2" w:space="0"/>
              <w:left w:val="single" w:color="auto" w:sz="2" w:space="0"/>
              <w:bottom w:val="single" w:color="auto" w:sz="2" w:space="0"/>
              <w:right w:val="single" w:color="auto" w:sz="2" w:space="0"/>
            </w:tcBorders>
            <w:vAlign w:val="center"/>
          </w:tcPr>
          <w:p w14:paraId="38ABF7D7">
            <w:pPr>
              <w:spacing w:line="240" w:lineRule="exact"/>
              <w:jc w:val="right"/>
              <w:rPr>
                <w:rFonts w:ascii="宋体" w:hAnsi="宋体" w:eastAsia="宋体" w:cs="宋体"/>
                <w:sz w:val="18"/>
                <w:szCs w:val="18"/>
              </w:rPr>
            </w:pPr>
            <w:r>
              <w:rPr>
                <w:rFonts w:ascii="宋体" w:hAnsi="宋体" w:eastAsia="宋体" w:cs="宋体"/>
                <w:sz w:val="18"/>
                <w:szCs w:val="18"/>
              </w:rPr>
              <w:t>122,640,735.99</w:t>
            </w:r>
          </w:p>
        </w:tc>
      </w:tr>
      <w:tr w14:paraId="0CEC4C58">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714A17E">
            <w:pPr>
              <w:spacing w:line="240" w:lineRule="exact"/>
              <w:rPr>
                <w:rFonts w:ascii="宋体" w:hAnsi="宋体" w:eastAsia="宋体" w:cs="宋体"/>
                <w:sz w:val="18"/>
                <w:szCs w:val="18"/>
              </w:rPr>
            </w:pPr>
            <w:r>
              <w:rPr>
                <w:rFonts w:ascii="宋体" w:hAnsi="宋体" w:eastAsia="宋体" w:cs="宋体"/>
                <w:sz w:val="18"/>
                <w:szCs w:val="18"/>
              </w:rPr>
              <w:t>其他业务</w:t>
            </w:r>
          </w:p>
        </w:tc>
        <w:tc>
          <w:tcPr>
            <w:tcW w:w="1071" w:type="dxa"/>
            <w:tcBorders>
              <w:top w:val="single" w:color="auto" w:sz="2" w:space="0"/>
              <w:left w:val="single" w:color="auto" w:sz="2" w:space="0"/>
              <w:bottom w:val="single" w:color="auto" w:sz="2" w:space="0"/>
              <w:right w:val="single" w:color="auto" w:sz="2" w:space="0"/>
            </w:tcBorders>
            <w:vAlign w:val="center"/>
          </w:tcPr>
          <w:p w14:paraId="1D844055">
            <w:pPr>
              <w:spacing w:line="240" w:lineRule="exact"/>
              <w:jc w:val="right"/>
              <w:rPr>
                <w:rFonts w:ascii="宋体" w:hAnsi="宋体" w:eastAsia="宋体" w:cs="宋体"/>
                <w:sz w:val="18"/>
                <w:szCs w:val="18"/>
              </w:rPr>
            </w:pPr>
            <w:r>
              <w:rPr>
                <w:rFonts w:ascii="宋体" w:hAnsi="宋体" w:eastAsia="宋体" w:cs="宋体"/>
                <w:sz w:val="18"/>
                <w:szCs w:val="18"/>
              </w:rPr>
              <w:t>527,000.00</w:t>
            </w:r>
          </w:p>
        </w:tc>
        <w:tc>
          <w:tcPr>
            <w:tcW w:w="1071" w:type="dxa"/>
            <w:tcBorders>
              <w:top w:val="single" w:color="auto" w:sz="2" w:space="0"/>
              <w:left w:val="single" w:color="auto" w:sz="2" w:space="0"/>
              <w:bottom w:val="single" w:color="auto" w:sz="2" w:space="0"/>
              <w:right w:val="single" w:color="auto" w:sz="2" w:space="0"/>
            </w:tcBorders>
            <w:vAlign w:val="center"/>
          </w:tcPr>
          <w:p w14:paraId="75A4C36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E883E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F18438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0E458E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33295B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A66F7E">
            <w:pPr>
              <w:spacing w:line="240" w:lineRule="exact"/>
              <w:jc w:val="right"/>
              <w:rPr>
                <w:rFonts w:ascii="宋体" w:hAnsi="宋体" w:eastAsia="宋体" w:cs="宋体"/>
                <w:sz w:val="18"/>
                <w:szCs w:val="18"/>
              </w:rPr>
            </w:pPr>
            <w:r>
              <w:rPr>
                <w:rFonts w:ascii="宋体" w:hAnsi="宋体" w:eastAsia="宋体" w:cs="宋体"/>
                <w:sz w:val="18"/>
                <w:szCs w:val="18"/>
              </w:rPr>
              <w:t>527,000.00</w:t>
            </w:r>
          </w:p>
        </w:tc>
        <w:tc>
          <w:tcPr>
            <w:tcW w:w="1071" w:type="dxa"/>
            <w:tcBorders>
              <w:top w:val="single" w:color="auto" w:sz="2" w:space="0"/>
              <w:left w:val="single" w:color="auto" w:sz="2" w:space="0"/>
              <w:bottom w:val="single" w:color="auto" w:sz="2" w:space="0"/>
              <w:right w:val="single" w:color="auto" w:sz="2" w:space="0"/>
            </w:tcBorders>
            <w:vAlign w:val="center"/>
          </w:tcPr>
          <w:p w14:paraId="3A0FD85D">
            <w:pPr>
              <w:spacing w:line="240" w:lineRule="exact"/>
              <w:jc w:val="right"/>
              <w:rPr>
                <w:rFonts w:ascii="宋体" w:hAnsi="宋体" w:eastAsia="宋体" w:cs="宋体"/>
                <w:sz w:val="18"/>
                <w:szCs w:val="18"/>
              </w:rPr>
            </w:pPr>
          </w:p>
        </w:tc>
      </w:tr>
      <w:tr w14:paraId="63F40FB7">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39764D">
            <w:pPr>
              <w:spacing w:before="40" w:after="40" w:line="240" w:lineRule="exact"/>
              <w:rPr>
                <w:rFonts w:ascii="宋体" w:hAnsi="宋体" w:eastAsia="宋体" w:cs="宋体"/>
                <w:sz w:val="18"/>
                <w:szCs w:val="18"/>
              </w:rPr>
            </w:pPr>
            <w:r>
              <w:rPr>
                <w:rFonts w:ascii="宋体" w:hAnsi="宋体" w:eastAsia="宋体" w:cs="宋体"/>
                <w:sz w:val="18"/>
                <w:szCs w:val="18"/>
              </w:rPr>
              <w:t>按经营地区分类</w:t>
            </w:r>
          </w:p>
        </w:tc>
        <w:tc>
          <w:tcPr>
            <w:tcW w:w="1071" w:type="dxa"/>
            <w:tcBorders>
              <w:top w:val="single" w:color="auto" w:sz="2" w:space="0"/>
              <w:left w:val="single" w:color="auto" w:sz="2" w:space="0"/>
              <w:bottom w:val="single" w:color="auto" w:sz="2" w:space="0"/>
              <w:right w:val="single" w:color="auto" w:sz="2" w:space="0"/>
            </w:tcBorders>
            <w:vAlign w:val="center"/>
          </w:tcPr>
          <w:p w14:paraId="177C59DE">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189050B9">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071" w:type="dxa"/>
            <w:tcBorders>
              <w:top w:val="single" w:color="auto" w:sz="2" w:space="0"/>
              <w:left w:val="single" w:color="auto" w:sz="2" w:space="0"/>
              <w:bottom w:val="single" w:color="auto" w:sz="2" w:space="0"/>
              <w:right w:val="single" w:color="auto" w:sz="2" w:space="0"/>
            </w:tcBorders>
            <w:vAlign w:val="center"/>
          </w:tcPr>
          <w:p w14:paraId="7375901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2595C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EEC70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F56676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C9DF6B">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7B8CCF27">
            <w:pPr>
              <w:spacing w:line="240" w:lineRule="exact"/>
              <w:jc w:val="right"/>
              <w:rPr>
                <w:rFonts w:ascii="宋体" w:hAnsi="宋体" w:eastAsia="宋体" w:cs="宋体"/>
                <w:sz w:val="18"/>
                <w:szCs w:val="18"/>
              </w:rPr>
            </w:pPr>
            <w:r>
              <w:rPr>
                <w:rFonts w:ascii="宋体" w:hAnsi="宋体" w:eastAsia="宋体" w:cs="宋体"/>
                <w:sz w:val="18"/>
                <w:szCs w:val="18"/>
              </w:rPr>
              <w:t>122,640,735.99</w:t>
            </w:r>
          </w:p>
        </w:tc>
      </w:tr>
      <w:tr w14:paraId="256749BF">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0BC5C2">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AE7AF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3B1421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41EBD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602400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F5FE03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290E8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1FDAD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1A421D"/>
        </w:tc>
      </w:tr>
      <w:tr w14:paraId="22B3E89F">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684FDDB">
            <w:pPr>
              <w:spacing w:line="240" w:lineRule="exact"/>
              <w:rPr>
                <w:rFonts w:ascii="宋体" w:hAnsi="宋体" w:eastAsia="宋体" w:cs="宋体"/>
                <w:sz w:val="18"/>
                <w:szCs w:val="18"/>
              </w:rPr>
            </w:pPr>
            <w:r>
              <w:rPr>
                <w:rFonts w:ascii="宋体" w:hAnsi="宋体" w:eastAsia="宋体" w:cs="宋体"/>
                <w:sz w:val="18"/>
                <w:szCs w:val="18"/>
              </w:rPr>
              <w:t>西藏自治区</w:t>
            </w:r>
          </w:p>
        </w:tc>
        <w:tc>
          <w:tcPr>
            <w:tcW w:w="1071" w:type="dxa"/>
            <w:tcBorders>
              <w:top w:val="single" w:color="auto" w:sz="2" w:space="0"/>
              <w:left w:val="single" w:color="auto" w:sz="2" w:space="0"/>
              <w:bottom w:val="single" w:color="auto" w:sz="2" w:space="0"/>
              <w:right w:val="single" w:color="auto" w:sz="2" w:space="0"/>
            </w:tcBorders>
            <w:vAlign w:val="center"/>
          </w:tcPr>
          <w:p w14:paraId="370B6964">
            <w:pPr>
              <w:spacing w:line="240" w:lineRule="exact"/>
              <w:jc w:val="right"/>
              <w:rPr>
                <w:rFonts w:ascii="宋体" w:hAnsi="宋体" w:eastAsia="宋体" w:cs="宋体"/>
                <w:sz w:val="18"/>
                <w:szCs w:val="18"/>
              </w:rPr>
            </w:pPr>
            <w:r>
              <w:rPr>
                <w:rFonts w:ascii="宋体" w:hAnsi="宋体" w:eastAsia="宋体" w:cs="宋体"/>
                <w:sz w:val="18"/>
                <w:szCs w:val="18"/>
              </w:rPr>
              <w:t>187,474,621.45</w:t>
            </w:r>
          </w:p>
        </w:tc>
        <w:tc>
          <w:tcPr>
            <w:tcW w:w="1071" w:type="dxa"/>
            <w:tcBorders>
              <w:top w:val="single" w:color="auto" w:sz="2" w:space="0"/>
              <w:left w:val="single" w:color="auto" w:sz="2" w:space="0"/>
              <w:bottom w:val="single" w:color="auto" w:sz="2" w:space="0"/>
              <w:right w:val="single" w:color="auto" w:sz="2" w:space="0"/>
            </w:tcBorders>
            <w:vAlign w:val="center"/>
          </w:tcPr>
          <w:p w14:paraId="4BD6E8F6">
            <w:pPr>
              <w:spacing w:line="240" w:lineRule="exact"/>
              <w:jc w:val="right"/>
              <w:rPr>
                <w:rFonts w:ascii="宋体" w:hAnsi="宋体" w:eastAsia="宋体" w:cs="宋体"/>
                <w:sz w:val="18"/>
                <w:szCs w:val="18"/>
              </w:rPr>
            </w:pPr>
            <w:r>
              <w:rPr>
                <w:rFonts w:hint="eastAsia"/>
                <w:color w:val="333333"/>
                <w:sz w:val="18"/>
                <w:szCs w:val="18"/>
                <w:shd w:val="clear" w:color="auto" w:fill="FFFFFF"/>
              </w:rPr>
              <w:t>119,058,447.19</w:t>
            </w:r>
          </w:p>
        </w:tc>
        <w:tc>
          <w:tcPr>
            <w:tcW w:w="1071" w:type="dxa"/>
            <w:tcBorders>
              <w:top w:val="single" w:color="auto" w:sz="2" w:space="0"/>
              <w:left w:val="single" w:color="auto" w:sz="2" w:space="0"/>
              <w:bottom w:val="single" w:color="auto" w:sz="2" w:space="0"/>
              <w:right w:val="single" w:color="auto" w:sz="2" w:space="0"/>
            </w:tcBorders>
            <w:vAlign w:val="center"/>
          </w:tcPr>
          <w:p w14:paraId="0EB3F1B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4CFD3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C9A9A2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193B2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FE8D8C">
            <w:pPr>
              <w:spacing w:line="240" w:lineRule="exact"/>
              <w:jc w:val="right"/>
              <w:rPr>
                <w:rFonts w:ascii="宋体" w:hAnsi="宋体" w:eastAsia="宋体" w:cs="宋体"/>
                <w:sz w:val="18"/>
                <w:szCs w:val="18"/>
              </w:rPr>
            </w:pPr>
            <w:r>
              <w:rPr>
                <w:rFonts w:ascii="宋体" w:hAnsi="宋体" w:eastAsia="宋体" w:cs="宋体"/>
                <w:sz w:val="18"/>
                <w:szCs w:val="18"/>
              </w:rPr>
              <w:t>187,474,621.45</w:t>
            </w:r>
          </w:p>
        </w:tc>
        <w:tc>
          <w:tcPr>
            <w:tcW w:w="1071" w:type="dxa"/>
            <w:tcBorders>
              <w:top w:val="single" w:color="auto" w:sz="2" w:space="0"/>
              <w:left w:val="single" w:color="auto" w:sz="2" w:space="0"/>
              <w:bottom w:val="single" w:color="auto" w:sz="2" w:space="0"/>
              <w:right w:val="single" w:color="auto" w:sz="2" w:space="0"/>
            </w:tcBorders>
            <w:vAlign w:val="center"/>
          </w:tcPr>
          <w:p w14:paraId="2C8919EA">
            <w:pPr>
              <w:spacing w:line="240" w:lineRule="exact"/>
              <w:jc w:val="right"/>
              <w:rPr>
                <w:rFonts w:ascii="宋体" w:hAnsi="宋体" w:eastAsia="宋体" w:cs="宋体"/>
                <w:sz w:val="18"/>
                <w:szCs w:val="18"/>
              </w:rPr>
            </w:pPr>
            <w:r>
              <w:rPr>
                <w:rFonts w:hint="eastAsia"/>
                <w:color w:val="333333"/>
                <w:sz w:val="18"/>
                <w:szCs w:val="18"/>
                <w:shd w:val="clear" w:color="auto" w:fill="FFFFFF"/>
              </w:rPr>
              <w:t>119,058,447.19</w:t>
            </w:r>
          </w:p>
        </w:tc>
      </w:tr>
      <w:tr w14:paraId="4F0C1ADC">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AEFE198">
            <w:pPr>
              <w:spacing w:line="240" w:lineRule="exact"/>
              <w:rPr>
                <w:rFonts w:ascii="宋体" w:hAnsi="宋体" w:eastAsia="宋体" w:cs="宋体"/>
                <w:sz w:val="18"/>
                <w:szCs w:val="18"/>
              </w:rPr>
            </w:pPr>
            <w:r>
              <w:rPr>
                <w:rFonts w:hint="eastAsia" w:ascii="宋体" w:hAnsi="宋体" w:eastAsia="宋体" w:cs="宋体"/>
                <w:sz w:val="18"/>
                <w:szCs w:val="18"/>
              </w:rPr>
              <w:t>藏区外</w:t>
            </w:r>
          </w:p>
        </w:tc>
        <w:tc>
          <w:tcPr>
            <w:tcW w:w="1071" w:type="dxa"/>
            <w:tcBorders>
              <w:top w:val="single" w:color="auto" w:sz="2" w:space="0"/>
              <w:left w:val="single" w:color="auto" w:sz="2" w:space="0"/>
              <w:bottom w:val="single" w:color="auto" w:sz="2" w:space="0"/>
              <w:right w:val="single" w:color="auto" w:sz="2" w:space="0"/>
            </w:tcBorders>
            <w:vAlign w:val="center"/>
          </w:tcPr>
          <w:p w14:paraId="0FAE6927">
            <w:pPr>
              <w:spacing w:line="240" w:lineRule="exact"/>
              <w:jc w:val="right"/>
              <w:rPr>
                <w:rFonts w:ascii="宋体" w:hAnsi="宋体" w:eastAsia="宋体" w:cs="宋体"/>
                <w:sz w:val="18"/>
                <w:szCs w:val="18"/>
              </w:rPr>
            </w:pPr>
            <w:r>
              <w:rPr>
                <w:rFonts w:ascii="宋体" w:hAnsi="宋体" w:eastAsia="宋体" w:cs="宋体"/>
                <w:sz w:val="18"/>
                <w:szCs w:val="18"/>
              </w:rPr>
              <w:t>5,624,971.49</w:t>
            </w:r>
          </w:p>
        </w:tc>
        <w:tc>
          <w:tcPr>
            <w:tcW w:w="1071" w:type="dxa"/>
            <w:tcBorders>
              <w:top w:val="single" w:color="auto" w:sz="2" w:space="0"/>
              <w:left w:val="single" w:color="auto" w:sz="2" w:space="0"/>
              <w:bottom w:val="single" w:color="auto" w:sz="2" w:space="0"/>
              <w:right w:val="single" w:color="auto" w:sz="2" w:space="0"/>
            </w:tcBorders>
            <w:vAlign w:val="center"/>
          </w:tcPr>
          <w:p w14:paraId="3104A40F">
            <w:pPr>
              <w:spacing w:line="240" w:lineRule="exact"/>
              <w:jc w:val="right"/>
              <w:rPr>
                <w:rFonts w:ascii="宋体" w:hAnsi="宋体" w:eastAsia="宋体" w:cs="宋体"/>
                <w:sz w:val="18"/>
                <w:szCs w:val="18"/>
              </w:rPr>
            </w:pPr>
            <w:r>
              <w:rPr>
                <w:rFonts w:hint="eastAsia"/>
                <w:color w:val="333333"/>
                <w:sz w:val="18"/>
                <w:szCs w:val="18"/>
                <w:shd w:val="clear" w:color="auto" w:fill="FFFFFF"/>
              </w:rPr>
              <w:t>3,582,288.80</w:t>
            </w:r>
          </w:p>
        </w:tc>
        <w:tc>
          <w:tcPr>
            <w:tcW w:w="1071" w:type="dxa"/>
            <w:tcBorders>
              <w:top w:val="single" w:color="auto" w:sz="2" w:space="0"/>
              <w:left w:val="single" w:color="auto" w:sz="2" w:space="0"/>
              <w:bottom w:val="single" w:color="auto" w:sz="2" w:space="0"/>
              <w:right w:val="single" w:color="auto" w:sz="2" w:space="0"/>
            </w:tcBorders>
            <w:vAlign w:val="center"/>
          </w:tcPr>
          <w:p w14:paraId="1A16915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D291C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F2FF4C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CD926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276C17B">
            <w:pPr>
              <w:spacing w:line="240" w:lineRule="exact"/>
              <w:jc w:val="right"/>
              <w:rPr>
                <w:rFonts w:ascii="宋体" w:hAnsi="宋体" w:eastAsia="宋体" w:cs="宋体"/>
                <w:sz w:val="18"/>
                <w:szCs w:val="18"/>
              </w:rPr>
            </w:pPr>
            <w:r>
              <w:rPr>
                <w:rFonts w:ascii="宋体" w:hAnsi="宋体" w:eastAsia="宋体" w:cs="宋体"/>
                <w:sz w:val="18"/>
                <w:szCs w:val="18"/>
              </w:rPr>
              <w:t>5,624,971.49</w:t>
            </w:r>
          </w:p>
        </w:tc>
        <w:tc>
          <w:tcPr>
            <w:tcW w:w="1071" w:type="dxa"/>
            <w:tcBorders>
              <w:top w:val="single" w:color="auto" w:sz="2" w:space="0"/>
              <w:left w:val="single" w:color="auto" w:sz="2" w:space="0"/>
              <w:bottom w:val="single" w:color="auto" w:sz="2" w:space="0"/>
              <w:right w:val="single" w:color="auto" w:sz="2" w:space="0"/>
            </w:tcBorders>
            <w:vAlign w:val="center"/>
          </w:tcPr>
          <w:p w14:paraId="40E93E69">
            <w:pPr>
              <w:spacing w:line="240" w:lineRule="exact"/>
              <w:jc w:val="right"/>
              <w:rPr>
                <w:rFonts w:ascii="宋体" w:hAnsi="宋体" w:eastAsia="宋体" w:cs="宋体"/>
                <w:sz w:val="18"/>
                <w:szCs w:val="18"/>
              </w:rPr>
            </w:pPr>
            <w:r>
              <w:rPr>
                <w:rFonts w:hint="eastAsia"/>
                <w:color w:val="333333"/>
                <w:sz w:val="18"/>
                <w:szCs w:val="18"/>
                <w:shd w:val="clear" w:color="auto" w:fill="FFFFFF"/>
              </w:rPr>
              <w:t>3,582,288.80</w:t>
            </w:r>
          </w:p>
        </w:tc>
      </w:tr>
      <w:tr w14:paraId="3CC8C21B">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6F4629">
            <w:pPr>
              <w:spacing w:before="40" w:after="40" w:line="240" w:lineRule="exact"/>
              <w:rPr>
                <w:rFonts w:ascii="宋体" w:hAnsi="宋体" w:eastAsia="宋体" w:cs="宋体"/>
                <w:sz w:val="18"/>
                <w:szCs w:val="18"/>
              </w:rPr>
            </w:pPr>
            <w:r>
              <w:rPr>
                <w:rFonts w:ascii="宋体" w:hAnsi="宋体" w:eastAsia="宋体" w:cs="宋体"/>
                <w:sz w:val="18"/>
                <w:szCs w:val="18"/>
              </w:rPr>
              <w:t>市场或客户类型</w:t>
            </w:r>
          </w:p>
        </w:tc>
        <w:tc>
          <w:tcPr>
            <w:tcW w:w="1071" w:type="dxa"/>
            <w:tcBorders>
              <w:top w:val="single" w:color="auto" w:sz="2" w:space="0"/>
              <w:left w:val="single" w:color="auto" w:sz="2" w:space="0"/>
              <w:bottom w:val="single" w:color="auto" w:sz="2" w:space="0"/>
              <w:right w:val="single" w:color="auto" w:sz="2" w:space="0"/>
            </w:tcBorders>
            <w:vAlign w:val="center"/>
          </w:tcPr>
          <w:p w14:paraId="2DE35D6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81F47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8CECE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36901B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73418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A61B3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6F86F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98A398">
            <w:pPr>
              <w:spacing w:line="240" w:lineRule="exact"/>
              <w:jc w:val="right"/>
              <w:rPr>
                <w:rFonts w:ascii="宋体" w:hAnsi="宋体" w:eastAsia="宋体" w:cs="宋体"/>
                <w:sz w:val="18"/>
                <w:szCs w:val="18"/>
              </w:rPr>
            </w:pPr>
          </w:p>
        </w:tc>
      </w:tr>
      <w:tr w14:paraId="2BA26D69">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CB4F03">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A311B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0EA607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A843CD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1E6B7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0D243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332711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129AB3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69B373A"/>
        </w:tc>
      </w:tr>
      <w:tr w14:paraId="099F0991">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14C179C">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F32739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886ED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611474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E7934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0AF97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122EA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950C1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FCF710">
            <w:pPr>
              <w:spacing w:line="240" w:lineRule="exact"/>
              <w:jc w:val="right"/>
              <w:rPr>
                <w:rFonts w:ascii="宋体" w:hAnsi="宋体" w:eastAsia="宋体" w:cs="宋体"/>
                <w:sz w:val="18"/>
                <w:szCs w:val="18"/>
              </w:rPr>
            </w:pPr>
          </w:p>
        </w:tc>
      </w:tr>
      <w:tr w14:paraId="63D6CEA1">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53EB09B">
            <w:pPr>
              <w:spacing w:before="40" w:after="40" w:line="240" w:lineRule="exact"/>
              <w:rPr>
                <w:rFonts w:ascii="宋体" w:hAnsi="宋体" w:eastAsia="宋体" w:cs="宋体"/>
                <w:sz w:val="18"/>
                <w:szCs w:val="18"/>
              </w:rPr>
            </w:pPr>
            <w:r>
              <w:rPr>
                <w:rFonts w:ascii="宋体" w:hAnsi="宋体" w:eastAsia="宋体" w:cs="宋体"/>
                <w:sz w:val="18"/>
                <w:szCs w:val="18"/>
              </w:rPr>
              <w:t>合同类型</w:t>
            </w:r>
          </w:p>
        </w:tc>
        <w:tc>
          <w:tcPr>
            <w:tcW w:w="1071" w:type="dxa"/>
            <w:tcBorders>
              <w:top w:val="single" w:color="auto" w:sz="2" w:space="0"/>
              <w:left w:val="single" w:color="auto" w:sz="2" w:space="0"/>
              <w:bottom w:val="single" w:color="auto" w:sz="2" w:space="0"/>
              <w:right w:val="single" w:color="auto" w:sz="2" w:space="0"/>
            </w:tcBorders>
            <w:vAlign w:val="center"/>
          </w:tcPr>
          <w:p w14:paraId="4109F53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611F13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95F8C7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19CA7F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1E5914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F03B1C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C8F13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DAD2D4">
            <w:pPr>
              <w:spacing w:line="240" w:lineRule="exact"/>
              <w:jc w:val="right"/>
              <w:rPr>
                <w:rFonts w:ascii="宋体" w:hAnsi="宋体" w:eastAsia="宋体" w:cs="宋体"/>
                <w:sz w:val="18"/>
                <w:szCs w:val="18"/>
              </w:rPr>
            </w:pPr>
          </w:p>
        </w:tc>
      </w:tr>
      <w:tr w14:paraId="4415F9F2">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2C1D87F">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19B4A1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7638E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72135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5CE28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069FF9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7E714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6CCE7E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DE9F983"/>
        </w:tc>
      </w:tr>
      <w:tr w14:paraId="40FCEA0E">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A228D5C">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95D11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837B4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F1D52C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FD32B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68EBC7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E201D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6D8DA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E09691">
            <w:pPr>
              <w:spacing w:line="240" w:lineRule="exact"/>
              <w:jc w:val="right"/>
              <w:rPr>
                <w:rFonts w:ascii="宋体" w:hAnsi="宋体" w:eastAsia="宋体" w:cs="宋体"/>
                <w:sz w:val="18"/>
                <w:szCs w:val="18"/>
              </w:rPr>
            </w:pPr>
          </w:p>
        </w:tc>
      </w:tr>
      <w:tr w14:paraId="74551E65">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ABE976">
            <w:pPr>
              <w:spacing w:before="40" w:after="40" w:line="240" w:lineRule="exact"/>
              <w:rPr>
                <w:rFonts w:ascii="宋体" w:hAnsi="宋体" w:eastAsia="宋体" w:cs="宋体"/>
                <w:sz w:val="18"/>
                <w:szCs w:val="18"/>
              </w:rPr>
            </w:pPr>
            <w:r>
              <w:rPr>
                <w:rFonts w:ascii="宋体" w:hAnsi="宋体" w:eastAsia="宋体" w:cs="宋体"/>
                <w:sz w:val="18"/>
                <w:szCs w:val="18"/>
              </w:rPr>
              <w:t>按商品转让的时间分类</w:t>
            </w:r>
          </w:p>
        </w:tc>
        <w:tc>
          <w:tcPr>
            <w:tcW w:w="1071" w:type="dxa"/>
            <w:tcBorders>
              <w:top w:val="single" w:color="auto" w:sz="2" w:space="0"/>
              <w:left w:val="single" w:color="auto" w:sz="2" w:space="0"/>
              <w:bottom w:val="single" w:color="auto" w:sz="2" w:space="0"/>
              <w:right w:val="single" w:color="auto" w:sz="2" w:space="0"/>
            </w:tcBorders>
            <w:vAlign w:val="center"/>
          </w:tcPr>
          <w:p w14:paraId="7B282D8E">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4F688AAF">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071" w:type="dxa"/>
            <w:tcBorders>
              <w:top w:val="single" w:color="auto" w:sz="2" w:space="0"/>
              <w:left w:val="single" w:color="auto" w:sz="2" w:space="0"/>
              <w:bottom w:val="single" w:color="auto" w:sz="2" w:space="0"/>
              <w:right w:val="single" w:color="auto" w:sz="2" w:space="0"/>
            </w:tcBorders>
            <w:vAlign w:val="center"/>
          </w:tcPr>
          <w:p w14:paraId="789D3D3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341E7B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63C3E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85E6B8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4EE265">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22500ED1">
            <w:pPr>
              <w:spacing w:line="240" w:lineRule="exact"/>
              <w:jc w:val="right"/>
              <w:rPr>
                <w:rFonts w:ascii="宋体" w:hAnsi="宋体" w:eastAsia="宋体" w:cs="宋体"/>
                <w:sz w:val="18"/>
                <w:szCs w:val="18"/>
              </w:rPr>
            </w:pPr>
            <w:r>
              <w:rPr>
                <w:rFonts w:ascii="宋体" w:hAnsi="宋体" w:eastAsia="宋体" w:cs="宋体"/>
                <w:sz w:val="18"/>
                <w:szCs w:val="18"/>
              </w:rPr>
              <w:t>122,640,735.99</w:t>
            </w:r>
          </w:p>
        </w:tc>
      </w:tr>
      <w:tr w14:paraId="294403B1">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07C0AEC">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1BBA78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716847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5E4A4D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F94482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6A1986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61D7B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9D738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65D909"/>
        </w:tc>
      </w:tr>
      <w:tr w14:paraId="2FA60F1B">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14E537A">
            <w:pPr>
              <w:spacing w:line="240" w:lineRule="exact"/>
              <w:rPr>
                <w:rFonts w:ascii="宋体" w:hAnsi="宋体" w:eastAsia="宋体" w:cs="宋体"/>
                <w:sz w:val="18"/>
                <w:szCs w:val="18"/>
              </w:rPr>
            </w:pPr>
            <w:r>
              <w:rPr>
                <w:rFonts w:ascii="宋体" w:hAnsi="宋体" w:eastAsia="宋体" w:cs="宋体"/>
                <w:sz w:val="18"/>
                <w:szCs w:val="18"/>
              </w:rPr>
              <w:t>在某一时点确认收入</w:t>
            </w:r>
          </w:p>
        </w:tc>
        <w:tc>
          <w:tcPr>
            <w:tcW w:w="1071" w:type="dxa"/>
            <w:tcBorders>
              <w:top w:val="single" w:color="auto" w:sz="2" w:space="0"/>
              <w:left w:val="single" w:color="auto" w:sz="2" w:space="0"/>
              <w:bottom w:val="single" w:color="auto" w:sz="2" w:space="0"/>
              <w:right w:val="single" w:color="auto" w:sz="2" w:space="0"/>
            </w:tcBorders>
            <w:vAlign w:val="center"/>
          </w:tcPr>
          <w:p w14:paraId="24E52F50">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0754C830">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071" w:type="dxa"/>
            <w:tcBorders>
              <w:top w:val="single" w:color="auto" w:sz="2" w:space="0"/>
              <w:left w:val="single" w:color="auto" w:sz="2" w:space="0"/>
              <w:bottom w:val="single" w:color="auto" w:sz="2" w:space="0"/>
              <w:right w:val="single" w:color="auto" w:sz="2" w:space="0"/>
            </w:tcBorders>
            <w:vAlign w:val="center"/>
          </w:tcPr>
          <w:p w14:paraId="5A908EC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C29B7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2D249D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868A16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10447B4">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7C3F9E3A">
            <w:pPr>
              <w:spacing w:line="240" w:lineRule="exact"/>
              <w:jc w:val="right"/>
              <w:rPr>
                <w:rFonts w:ascii="宋体" w:hAnsi="宋体" w:eastAsia="宋体" w:cs="宋体"/>
                <w:sz w:val="18"/>
                <w:szCs w:val="18"/>
              </w:rPr>
            </w:pPr>
            <w:r>
              <w:rPr>
                <w:rFonts w:ascii="宋体" w:hAnsi="宋体" w:eastAsia="宋体" w:cs="宋体"/>
                <w:sz w:val="18"/>
                <w:szCs w:val="18"/>
              </w:rPr>
              <w:t>122,640,735.99</w:t>
            </w:r>
          </w:p>
        </w:tc>
      </w:tr>
      <w:tr w14:paraId="0244FBD5">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9E585A">
            <w:pPr>
              <w:spacing w:before="40" w:after="40" w:line="240" w:lineRule="exact"/>
              <w:rPr>
                <w:rFonts w:ascii="宋体" w:hAnsi="宋体" w:eastAsia="宋体" w:cs="宋体"/>
                <w:sz w:val="18"/>
                <w:szCs w:val="18"/>
              </w:rPr>
            </w:pPr>
            <w:r>
              <w:rPr>
                <w:rFonts w:ascii="宋体" w:hAnsi="宋体" w:eastAsia="宋体" w:cs="宋体"/>
                <w:sz w:val="18"/>
                <w:szCs w:val="18"/>
              </w:rPr>
              <w:t>按合同期限分类</w:t>
            </w:r>
          </w:p>
        </w:tc>
        <w:tc>
          <w:tcPr>
            <w:tcW w:w="1071" w:type="dxa"/>
            <w:tcBorders>
              <w:top w:val="single" w:color="auto" w:sz="2" w:space="0"/>
              <w:left w:val="single" w:color="auto" w:sz="2" w:space="0"/>
              <w:bottom w:val="single" w:color="auto" w:sz="2" w:space="0"/>
              <w:right w:val="single" w:color="auto" w:sz="2" w:space="0"/>
            </w:tcBorders>
            <w:vAlign w:val="center"/>
          </w:tcPr>
          <w:p w14:paraId="25B02A7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5B0DA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27660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821AB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E48E30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D3B8FD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109F95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AEFDA3">
            <w:pPr>
              <w:spacing w:line="240" w:lineRule="exact"/>
              <w:jc w:val="right"/>
              <w:rPr>
                <w:rFonts w:ascii="宋体" w:hAnsi="宋体" w:eastAsia="宋体" w:cs="宋体"/>
                <w:sz w:val="18"/>
                <w:szCs w:val="18"/>
              </w:rPr>
            </w:pPr>
          </w:p>
        </w:tc>
      </w:tr>
      <w:tr w14:paraId="4AF054B1">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7DD4E6">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5D501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7D5D58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16E443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3C8C9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3EB1C3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A5E76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AC606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FFBD392"/>
        </w:tc>
      </w:tr>
      <w:tr w14:paraId="56D5A9AC">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0EDDD2D">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04AB6C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52C95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01B8E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1F9AF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89954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531B06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49E5F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408208D">
            <w:pPr>
              <w:spacing w:line="240" w:lineRule="exact"/>
              <w:jc w:val="right"/>
              <w:rPr>
                <w:rFonts w:ascii="宋体" w:hAnsi="宋体" w:eastAsia="宋体" w:cs="宋体"/>
                <w:sz w:val="18"/>
                <w:szCs w:val="18"/>
              </w:rPr>
            </w:pPr>
          </w:p>
        </w:tc>
      </w:tr>
      <w:tr w14:paraId="317A3DC8">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DB0D44">
            <w:pPr>
              <w:spacing w:before="40" w:after="40" w:line="240" w:lineRule="exact"/>
              <w:rPr>
                <w:rFonts w:ascii="宋体" w:hAnsi="宋体" w:eastAsia="宋体" w:cs="宋体"/>
                <w:sz w:val="18"/>
                <w:szCs w:val="18"/>
              </w:rPr>
            </w:pPr>
            <w:r>
              <w:rPr>
                <w:rFonts w:ascii="宋体" w:hAnsi="宋体" w:eastAsia="宋体" w:cs="宋体"/>
                <w:sz w:val="18"/>
                <w:szCs w:val="18"/>
              </w:rPr>
              <w:t>按销售渠道分类</w:t>
            </w:r>
          </w:p>
        </w:tc>
        <w:tc>
          <w:tcPr>
            <w:tcW w:w="1071" w:type="dxa"/>
            <w:tcBorders>
              <w:top w:val="single" w:color="auto" w:sz="2" w:space="0"/>
              <w:left w:val="single" w:color="auto" w:sz="2" w:space="0"/>
              <w:bottom w:val="single" w:color="auto" w:sz="2" w:space="0"/>
              <w:right w:val="single" w:color="auto" w:sz="2" w:space="0"/>
            </w:tcBorders>
            <w:vAlign w:val="center"/>
          </w:tcPr>
          <w:p w14:paraId="3798C51E">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7ACEDA73">
            <w:pPr>
              <w:spacing w:line="240" w:lineRule="exact"/>
              <w:jc w:val="right"/>
              <w:rPr>
                <w:rFonts w:ascii="宋体" w:hAnsi="宋体" w:eastAsia="宋体" w:cs="宋体"/>
                <w:sz w:val="18"/>
                <w:szCs w:val="18"/>
              </w:rPr>
            </w:pPr>
            <w:r>
              <w:rPr>
                <w:rFonts w:ascii="宋体" w:hAnsi="宋体" w:eastAsia="宋体" w:cs="宋体"/>
                <w:sz w:val="18"/>
                <w:szCs w:val="18"/>
              </w:rPr>
              <w:t>122,640,735.99</w:t>
            </w:r>
          </w:p>
        </w:tc>
        <w:tc>
          <w:tcPr>
            <w:tcW w:w="1071" w:type="dxa"/>
            <w:tcBorders>
              <w:top w:val="single" w:color="auto" w:sz="2" w:space="0"/>
              <w:left w:val="single" w:color="auto" w:sz="2" w:space="0"/>
              <w:bottom w:val="single" w:color="auto" w:sz="2" w:space="0"/>
              <w:right w:val="single" w:color="auto" w:sz="2" w:space="0"/>
            </w:tcBorders>
            <w:vAlign w:val="center"/>
          </w:tcPr>
          <w:p w14:paraId="6C9F63B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C139B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D04AB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5D0416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68DE5D">
            <w:pPr>
              <w:spacing w:line="240" w:lineRule="exact"/>
              <w:jc w:val="right"/>
              <w:rPr>
                <w:rFonts w:ascii="宋体" w:hAnsi="宋体" w:eastAsia="宋体" w:cs="宋体"/>
                <w:sz w:val="18"/>
                <w:szCs w:val="18"/>
              </w:rPr>
            </w:pPr>
            <w:r>
              <w:rPr>
                <w:rFonts w:ascii="宋体" w:hAnsi="宋体" w:eastAsia="宋体" w:cs="宋体"/>
                <w:sz w:val="18"/>
                <w:szCs w:val="18"/>
              </w:rPr>
              <w:t>193,099,592.94</w:t>
            </w:r>
          </w:p>
        </w:tc>
        <w:tc>
          <w:tcPr>
            <w:tcW w:w="1071" w:type="dxa"/>
            <w:tcBorders>
              <w:top w:val="single" w:color="auto" w:sz="2" w:space="0"/>
              <w:left w:val="single" w:color="auto" w:sz="2" w:space="0"/>
              <w:bottom w:val="single" w:color="auto" w:sz="2" w:space="0"/>
              <w:right w:val="single" w:color="auto" w:sz="2" w:space="0"/>
            </w:tcBorders>
            <w:vAlign w:val="center"/>
          </w:tcPr>
          <w:p w14:paraId="4F274B22">
            <w:pPr>
              <w:spacing w:line="240" w:lineRule="exact"/>
              <w:jc w:val="right"/>
              <w:rPr>
                <w:rFonts w:ascii="宋体" w:hAnsi="宋体" w:eastAsia="宋体" w:cs="宋体"/>
                <w:sz w:val="18"/>
                <w:szCs w:val="18"/>
              </w:rPr>
            </w:pPr>
            <w:r>
              <w:rPr>
                <w:rFonts w:ascii="宋体" w:hAnsi="宋体" w:eastAsia="宋体" w:cs="宋体"/>
                <w:sz w:val="18"/>
                <w:szCs w:val="18"/>
              </w:rPr>
              <w:t>122,640,735.99</w:t>
            </w:r>
          </w:p>
        </w:tc>
      </w:tr>
      <w:tr w14:paraId="1A3D63F8">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A0E0BF">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BDAD6F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761B9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F0E84B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0563A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8CCBFF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EDD08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64DA4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16A178"/>
        </w:tc>
      </w:tr>
      <w:tr w14:paraId="3D4CD573">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030DFBC">
            <w:pPr>
              <w:spacing w:line="240" w:lineRule="exact"/>
              <w:rPr>
                <w:rFonts w:ascii="宋体" w:hAnsi="宋体" w:eastAsia="宋体" w:cs="宋体"/>
                <w:sz w:val="18"/>
                <w:szCs w:val="18"/>
              </w:rPr>
            </w:pPr>
            <w:r>
              <w:rPr>
                <w:rFonts w:ascii="宋体" w:hAnsi="宋体" w:eastAsia="宋体" w:cs="宋体"/>
                <w:sz w:val="18"/>
                <w:szCs w:val="18"/>
              </w:rPr>
              <w:t>直营</w:t>
            </w:r>
          </w:p>
        </w:tc>
        <w:tc>
          <w:tcPr>
            <w:tcW w:w="1071" w:type="dxa"/>
            <w:tcBorders>
              <w:top w:val="single" w:color="auto" w:sz="2" w:space="0"/>
              <w:left w:val="single" w:color="auto" w:sz="2" w:space="0"/>
              <w:bottom w:val="single" w:color="auto" w:sz="2" w:space="0"/>
              <w:right w:val="single" w:color="auto" w:sz="2" w:space="0"/>
            </w:tcBorders>
            <w:vAlign w:val="center"/>
          </w:tcPr>
          <w:p w14:paraId="2E040371">
            <w:pPr>
              <w:spacing w:line="240" w:lineRule="exact"/>
              <w:jc w:val="right"/>
              <w:rPr>
                <w:rFonts w:ascii="宋体" w:hAnsi="宋体" w:eastAsia="宋体" w:cs="宋体"/>
                <w:sz w:val="18"/>
                <w:szCs w:val="18"/>
              </w:rPr>
            </w:pPr>
            <w:r>
              <w:rPr>
                <w:rFonts w:ascii="宋体" w:hAnsi="宋体" w:eastAsia="宋体" w:cs="宋体"/>
                <w:sz w:val="18"/>
                <w:szCs w:val="18"/>
              </w:rPr>
              <w:t>175,665.05</w:t>
            </w:r>
          </w:p>
        </w:tc>
        <w:tc>
          <w:tcPr>
            <w:tcW w:w="1071" w:type="dxa"/>
            <w:tcBorders>
              <w:top w:val="single" w:color="auto" w:sz="2" w:space="0"/>
              <w:left w:val="single" w:color="auto" w:sz="2" w:space="0"/>
              <w:bottom w:val="single" w:color="auto" w:sz="2" w:space="0"/>
              <w:right w:val="single" w:color="auto" w:sz="2" w:space="0"/>
            </w:tcBorders>
            <w:vAlign w:val="center"/>
          </w:tcPr>
          <w:p w14:paraId="6B04DF37">
            <w:pPr>
              <w:spacing w:line="240" w:lineRule="exact"/>
              <w:jc w:val="right"/>
              <w:rPr>
                <w:rFonts w:ascii="宋体" w:hAnsi="宋体" w:eastAsia="宋体" w:cs="宋体"/>
                <w:sz w:val="18"/>
                <w:szCs w:val="18"/>
              </w:rPr>
            </w:pPr>
            <w:r>
              <w:rPr>
                <w:rFonts w:ascii="宋体" w:hAnsi="宋体" w:eastAsia="宋体" w:cs="宋体"/>
                <w:sz w:val="18"/>
                <w:szCs w:val="18"/>
              </w:rPr>
              <w:t>111,873.09</w:t>
            </w:r>
          </w:p>
        </w:tc>
        <w:tc>
          <w:tcPr>
            <w:tcW w:w="1071" w:type="dxa"/>
            <w:tcBorders>
              <w:top w:val="single" w:color="auto" w:sz="2" w:space="0"/>
              <w:left w:val="single" w:color="auto" w:sz="2" w:space="0"/>
              <w:bottom w:val="single" w:color="auto" w:sz="2" w:space="0"/>
              <w:right w:val="single" w:color="auto" w:sz="2" w:space="0"/>
            </w:tcBorders>
            <w:vAlign w:val="center"/>
          </w:tcPr>
          <w:p w14:paraId="34F420A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95F1F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76FC91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82AB6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F6A122">
            <w:pPr>
              <w:spacing w:line="240" w:lineRule="exact"/>
              <w:jc w:val="right"/>
              <w:rPr>
                <w:rFonts w:ascii="宋体" w:hAnsi="宋体" w:eastAsia="宋体" w:cs="宋体"/>
                <w:sz w:val="18"/>
                <w:szCs w:val="18"/>
              </w:rPr>
            </w:pPr>
            <w:r>
              <w:rPr>
                <w:rFonts w:ascii="宋体" w:hAnsi="宋体" w:eastAsia="宋体" w:cs="宋体"/>
                <w:sz w:val="18"/>
                <w:szCs w:val="18"/>
              </w:rPr>
              <w:t>175,665.05</w:t>
            </w:r>
          </w:p>
        </w:tc>
        <w:tc>
          <w:tcPr>
            <w:tcW w:w="1071" w:type="dxa"/>
            <w:tcBorders>
              <w:top w:val="single" w:color="auto" w:sz="2" w:space="0"/>
              <w:left w:val="single" w:color="auto" w:sz="2" w:space="0"/>
              <w:bottom w:val="single" w:color="auto" w:sz="2" w:space="0"/>
              <w:right w:val="single" w:color="auto" w:sz="2" w:space="0"/>
            </w:tcBorders>
            <w:vAlign w:val="center"/>
          </w:tcPr>
          <w:p w14:paraId="49903BA4">
            <w:pPr>
              <w:spacing w:line="240" w:lineRule="exact"/>
              <w:jc w:val="right"/>
              <w:rPr>
                <w:rFonts w:ascii="宋体" w:hAnsi="宋体" w:eastAsia="宋体" w:cs="宋体"/>
                <w:sz w:val="18"/>
                <w:szCs w:val="18"/>
              </w:rPr>
            </w:pPr>
            <w:r>
              <w:rPr>
                <w:rFonts w:ascii="宋体" w:hAnsi="宋体" w:eastAsia="宋体" w:cs="宋体"/>
                <w:sz w:val="18"/>
                <w:szCs w:val="18"/>
              </w:rPr>
              <w:t>111,873.09</w:t>
            </w:r>
          </w:p>
        </w:tc>
      </w:tr>
      <w:tr w14:paraId="1BE4C586">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7A57292">
            <w:pPr>
              <w:spacing w:line="240" w:lineRule="exact"/>
              <w:rPr>
                <w:rFonts w:ascii="宋体" w:hAnsi="宋体" w:eastAsia="宋体" w:cs="宋体"/>
                <w:sz w:val="18"/>
                <w:szCs w:val="18"/>
              </w:rPr>
            </w:pPr>
            <w:r>
              <w:rPr>
                <w:rFonts w:ascii="宋体" w:hAnsi="宋体" w:eastAsia="宋体" w:cs="宋体"/>
                <w:sz w:val="18"/>
                <w:szCs w:val="18"/>
              </w:rPr>
              <w:t>经销商</w:t>
            </w:r>
          </w:p>
        </w:tc>
        <w:tc>
          <w:tcPr>
            <w:tcW w:w="1071" w:type="dxa"/>
            <w:tcBorders>
              <w:top w:val="single" w:color="auto" w:sz="2" w:space="0"/>
              <w:left w:val="single" w:color="auto" w:sz="2" w:space="0"/>
              <w:bottom w:val="single" w:color="auto" w:sz="2" w:space="0"/>
              <w:right w:val="single" w:color="auto" w:sz="2" w:space="0"/>
            </w:tcBorders>
            <w:vAlign w:val="center"/>
          </w:tcPr>
          <w:p w14:paraId="3129240E">
            <w:pPr>
              <w:spacing w:line="240" w:lineRule="exact"/>
              <w:jc w:val="right"/>
              <w:rPr>
                <w:rFonts w:ascii="宋体" w:hAnsi="宋体" w:eastAsia="宋体" w:cs="宋体"/>
                <w:sz w:val="18"/>
                <w:szCs w:val="18"/>
              </w:rPr>
            </w:pPr>
            <w:r>
              <w:rPr>
                <w:rFonts w:ascii="宋体" w:hAnsi="宋体" w:eastAsia="宋体" w:cs="宋体"/>
                <w:sz w:val="18"/>
                <w:szCs w:val="18"/>
              </w:rPr>
              <w:t>192,923,927.89</w:t>
            </w:r>
          </w:p>
        </w:tc>
        <w:tc>
          <w:tcPr>
            <w:tcW w:w="1071" w:type="dxa"/>
            <w:tcBorders>
              <w:top w:val="single" w:color="auto" w:sz="2" w:space="0"/>
              <w:left w:val="single" w:color="auto" w:sz="2" w:space="0"/>
              <w:bottom w:val="single" w:color="auto" w:sz="2" w:space="0"/>
              <w:right w:val="single" w:color="auto" w:sz="2" w:space="0"/>
            </w:tcBorders>
            <w:vAlign w:val="center"/>
          </w:tcPr>
          <w:p w14:paraId="1258FED6">
            <w:pPr>
              <w:spacing w:line="240" w:lineRule="exact"/>
              <w:jc w:val="right"/>
              <w:rPr>
                <w:rFonts w:ascii="宋体" w:hAnsi="宋体" w:eastAsia="宋体" w:cs="宋体"/>
                <w:sz w:val="18"/>
                <w:szCs w:val="18"/>
              </w:rPr>
            </w:pPr>
            <w:r>
              <w:rPr>
                <w:rFonts w:ascii="宋体" w:hAnsi="宋体" w:eastAsia="宋体" w:cs="宋体"/>
                <w:sz w:val="18"/>
                <w:szCs w:val="18"/>
              </w:rPr>
              <w:t>122,528,862.90</w:t>
            </w:r>
          </w:p>
        </w:tc>
        <w:tc>
          <w:tcPr>
            <w:tcW w:w="1071" w:type="dxa"/>
            <w:tcBorders>
              <w:top w:val="single" w:color="auto" w:sz="2" w:space="0"/>
              <w:left w:val="single" w:color="auto" w:sz="2" w:space="0"/>
              <w:bottom w:val="single" w:color="auto" w:sz="2" w:space="0"/>
              <w:right w:val="single" w:color="auto" w:sz="2" w:space="0"/>
            </w:tcBorders>
            <w:vAlign w:val="center"/>
          </w:tcPr>
          <w:p w14:paraId="7B3511B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F649C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C78B06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14553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159A6A">
            <w:pPr>
              <w:spacing w:line="240" w:lineRule="exact"/>
              <w:jc w:val="right"/>
              <w:rPr>
                <w:rFonts w:ascii="宋体" w:hAnsi="宋体" w:eastAsia="宋体" w:cs="宋体"/>
                <w:sz w:val="18"/>
                <w:szCs w:val="18"/>
              </w:rPr>
            </w:pPr>
            <w:r>
              <w:rPr>
                <w:rFonts w:ascii="宋体" w:hAnsi="宋体" w:eastAsia="宋体" w:cs="宋体"/>
                <w:sz w:val="18"/>
                <w:szCs w:val="18"/>
              </w:rPr>
              <w:t>192,923,927.89</w:t>
            </w:r>
          </w:p>
        </w:tc>
        <w:tc>
          <w:tcPr>
            <w:tcW w:w="1071" w:type="dxa"/>
            <w:tcBorders>
              <w:top w:val="single" w:color="auto" w:sz="2" w:space="0"/>
              <w:left w:val="single" w:color="auto" w:sz="2" w:space="0"/>
              <w:bottom w:val="single" w:color="auto" w:sz="2" w:space="0"/>
              <w:right w:val="single" w:color="auto" w:sz="2" w:space="0"/>
            </w:tcBorders>
            <w:vAlign w:val="center"/>
          </w:tcPr>
          <w:p w14:paraId="57D184E9">
            <w:pPr>
              <w:spacing w:line="240" w:lineRule="exact"/>
              <w:jc w:val="right"/>
              <w:rPr>
                <w:rFonts w:ascii="宋体" w:hAnsi="宋体" w:eastAsia="宋体" w:cs="宋体"/>
                <w:sz w:val="18"/>
                <w:szCs w:val="18"/>
              </w:rPr>
            </w:pPr>
            <w:r>
              <w:rPr>
                <w:rFonts w:ascii="宋体" w:hAnsi="宋体" w:eastAsia="宋体" w:cs="宋体"/>
                <w:sz w:val="18"/>
                <w:szCs w:val="18"/>
              </w:rPr>
              <w:t>122,528,862.90</w:t>
            </w:r>
          </w:p>
        </w:tc>
      </w:tr>
      <w:tr w14:paraId="3CA6D77E">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7A75DB">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1F0813A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3E7816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35C370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B866A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47F83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809B86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7F36B1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60CD0B">
            <w:pPr>
              <w:spacing w:line="240" w:lineRule="exact"/>
              <w:jc w:val="right"/>
              <w:rPr>
                <w:rFonts w:ascii="宋体" w:hAnsi="宋体" w:eastAsia="宋体" w:cs="宋体"/>
                <w:sz w:val="18"/>
                <w:szCs w:val="18"/>
              </w:rPr>
            </w:pPr>
          </w:p>
        </w:tc>
      </w:tr>
    </w:tbl>
    <w:p w14:paraId="67A5D4F6">
      <w:pPr>
        <w:spacing w:before="100" w:after="100" w:line="240" w:lineRule="exact"/>
        <w:rPr>
          <w:rFonts w:ascii="宋体" w:hAnsi="宋体" w:eastAsia="宋体" w:cs="宋体"/>
          <w:sz w:val="18"/>
          <w:szCs w:val="18"/>
        </w:rPr>
      </w:pPr>
      <w:r>
        <w:rPr>
          <w:rFonts w:ascii="宋体" w:hAnsi="宋体" w:eastAsia="宋体" w:cs="宋体"/>
          <w:sz w:val="18"/>
          <w:szCs w:val="18"/>
        </w:rPr>
        <w:t>与履约义务相关的信息：</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204759D">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E7D98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91DD8C">
            <w:pPr>
              <w:spacing w:before="40" w:after="40" w:line="240" w:lineRule="exact"/>
              <w:jc w:val="center"/>
              <w:rPr>
                <w:rFonts w:ascii="宋体" w:hAnsi="宋体" w:eastAsia="宋体" w:cs="宋体"/>
                <w:sz w:val="18"/>
                <w:szCs w:val="18"/>
              </w:rPr>
            </w:pPr>
            <w:r>
              <w:rPr>
                <w:rFonts w:ascii="宋体" w:hAnsi="宋体" w:eastAsia="宋体" w:cs="宋体"/>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ED3034">
            <w:pPr>
              <w:spacing w:before="40" w:after="40" w:line="240" w:lineRule="exact"/>
              <w:jc w:val="center"/>
              <w:rPr>
                <w:rFonts w:ascii="宋体" w:hAnsi="宋体" w:eastAsia="宋体" w:cs="宋体"/>
                <w:sz w:val="18"/>
                <w:szCs w:val="18"/>
              </w:rPr>
            </w:pPr>
            <w:r>
              <w:rPr>
                <w:rFonts w:ascii="宋体" w:hAnsi="宋体" w:eastAsia="宋体" w:cs="宋体"/>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5F2DC2">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6B306A">
            <w:pPr>
              <w:spacing w:before="40" w:after="40" w:line="240" w:lineRule="exact"/>
              <w:jc w:val="center"/>
              <w:rPr>
                <w:rFonts w:ascii="宋体" w:hAnsi="宋体" w:eastAsia="宋体" w:cs="宋体"/>
                <w:sz w:val="18"/>
                <w:szCs w:val="18"/>
              </w:rPr>
            </w:pPr>
            <w:r>
              <w:rPr>
                <w:rFonts w:ascii="宋体" w:hAnsi="宋体" w:eastAsia="宋体" w:cs="宋体"/>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12D0A2F">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EC5EFB">
            <w:pPr>
              <w:spacing w:before="40" w:after="40" w:line="240" w:lineRule="exact"/>
              <w:jc w:val="center"/>
              <w:rPr>
                <w:rFonts w:ascii="宋体" w:hAnsi="宋体" w:eastAsia="宋体" w:cs="宋体"/>
                <w:sz w:val="18"/>
                <w:szCs w:val="18"/>
              </w:rPr>
            </w:pPr>
            <w:r>
              <w:rPr>
                <w:rFonts w:ascii="宋体" w:hAnsi="宋体" w:eastAsia="宋体" w:cs="宋体"/>
                <w:sz w:val="18"/>
                <w:szCs w:val="18"/>
              </w:rPr>
              <w:t>公司提供的质量保证类型及相关义务</w:t>
            </w:r>
          </w:p>
        </w:tc>
      </w:tr>
    </w:tbl>
    <w:p w14:paraId="2CF363B0">
      <w:pPr>
        <w:spacing w:before="100" w:after="100" w:line="240" w:lineRule="exact"/>
      </w:pPr>
      <w:r>
        <w:rPr>
          <w:rFonts w:ascii="宋体" w:hAnsi="宋体" w:eastAsia="宋体" w:cs="宋体"/>
          <w:sz w:val="18"/>
          <w:szCs w:val="18"/>
        </w:rPr>
        <w:t>其他说明</w:t>
      </w:r>
    </w:p>
    <w:p w14:paraId="38163210">
      <w:pPr>
        <w:spacing w:before="100" w:after="100" w:line="240" w:lineRule="exact"/>
        <w:rPr>
          <w:rFonts w:ascii="宋体" w:hAnsi="宋体" w:eastAsia="宋体" w:cs="宋体"/>
          <w:sz w:val="18"/>
          <w:szCs w:val="18"/>
        </w:rPr>
      </w:pPr>
      <w:r>
        <w:rPr>
          <w:rFonts w:ascii="宋体" w:hAnsi="宋体" w:eastAsia="宋体" w:cs="宋体"/>
          <w:sz w:val="18"/>
          <w:szCs w:val="18"/>
        </w:rPr>
        <w:t>与分摊至剩余履约义务的交易价格相关的信息：</w:t>
      </w:r>
    </w:p>
    <w:p w14:paraId="468B6681">
      <w:pPr>
        <w:spacing w:before="100" w:after="100" w:line="240" w:lineRule="exact"/>
        <w:rPr>
          <w:rFonts w:ascii="宋体" w:hAnsi="宋体" w:eastAsia="宋体" w:cs="宋体"/>
          <w:sz w:val="18"/>
          <w:szCs w:val="18"/>
        </w:rPr>
      </w:pPr>
      <w:r>
        <w:rPr>
          <w:rFonts w:ascii="宋体" w:hAnsi="宋体" w:eastAsia="宋体" w:cs="宋体"/>
          <w:sz w:val="18"/>
          <w:szCs w:val="18"/>
        </w:rPr>
        <w:t>本报告期末已签订合同、但尚未履行或尚未履行完毕的履约义务所对应的收入金额为0.00元，其中，元预计将于年度确认收入，元预计将于年度确认收入，元预计将于年度确认收入。</w:t>
      </w:r>
    </w:p>
    <w:p w14:paraId="5F920ED3">
      <w:pPr>
        <w:spacing w:before="100" w:after="100" w:line="240" w:lineRule="exact"/>
      </w:pPr>
      <w:r>
        <w:rPr>
          <w:rFonts w:ascii="宋体" w:hAnsi="宋体" w:eastAsia="宋体" w:cs="宋体"/>
          <w:sz w:val="18"/>
          <w:szCs w:val="18"/>
        </w:rPr>
        <w:t>合同中可变对价相关信息：</w:t>
      </w:r>
    </w:p>
    <w:p w14:paraId="7F909B6B">
      <w:pPr>
        <w:spacing w:before="100" w:after="100" w:line="240" w:lineRule="exact"/>
        <w:rPr>
          <w:rFonts w:ascii="宋体" w:hAnsi="宋体" w:eastAsia="宋体" w:cs="宋体"/>
          <w:sz w:val="18"/>
          <w:szCs w:val="18"/>
        </w:rPr>
      </w:pPr>
      <w:r>
        <w:rPr>
          <w:rFonts w:ascii="宋体" w:hAnsi="宋体" w:eastAsia="宋体" w:cs="宋体"/>
          <w:sz w:val="18"/>
          <w:szCs w:val="18"/>
        </w:rPr>
        <w:t>重大合同变更或重大交易价格调整</w:t>
      </w:r>
    </w:p>
    <w:p w14:paraId="69A74B69">
      <w:pPr>
        <w:spacing w:before="10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0AD4E4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04D89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F59303">
            <w:pPr>
              <w:spacing w:before="40" w:after="40" w:line="240" w:lineRule="exact"/>
              <w:jc w:val="center"/>
              <w:rPr>
                <w:rFonts w:ascii="宋体" w:hAnsi="宋体" w:eastAsia="宋体" w:cs="宋体"/>
                <w:sz w:val="18"/>
                <w:szCs w:val="18"/>
              </w:rPr>
            </w:pPr>
            <w:r>
              <w:rPr>
                <w:rFonts w:ascii="宋体" w:hAnsi="宋体" w:eastAsia="宋体" w:cs="宋体"/>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15AD7C">
            <w:pPr>
              <w:spacing w:before="40" w:after="40" w:line="240" w:lineRule="exact"/>
              <w:jc w:val="center"/>
              <w:rPr>
                <w:rFonts w:ascii="宋体" w:hAnsi="宋体" w:eastAsia="宋体" w:cs="宋体"/>
                <w:sz w:val="18"/>
                <w:szCs w:val="18"/>
              </w:rPr>
            </w:pPr>
            <w:r>
              <w:rPr>
                <w:rFonts w:ascii="宋体" w:hAnsi="宋体" w:eastAsia="宋体" w:cs="宋体"/>
                <w:sz w:val="18"/>
                <w:szCs w:val="18"/>
              </w:rPr>
              <w:t>对收入的影响金额</w:t>
            </w:r>
          </w:p>
        </w:tc>
      </w:tr>
    </w:tbl>
    <w:p w14:paraId="47C3D2CD">
      <w:pPr>
        <w:spacing w:before="100" w:after="100" w:line="240" w:lineRule="exact"/>
      </w:pPr>
      <w:r>
        <w:rPr>
          <w:rFonts w:ascii="宋体" w:hAnsi="宋体" w:eastAsia="宋体" w:cs="宋体"/>
          <w:sz w:val="18"/>
          <w:szCs w:val="18"/>
        </w:rPr>
        <w:t>其他说明</w:t>
      </w:r>
    </w:p>
    <w:p w14:paraId="26289C45">
      <w:pPr>
        <w:pStyle w:val="3"/>
        <w:spacing w:after="100" w:line="280" w:lineRule="exact"/>
        <w:jc w:val="left"/>
        <w:rPr>
          <w:rFonts w:ascii="宋体" w:hAnsi="宋体" w:cs="宋体"/>
          <w:b/>
          <w:bCs/>
        </w:rPr>
      </w:pPr>
      <w:bookmarkStart w:id="350" w:name="_Toc989239"/>
      <w:r>
        <w:rPr>
          <w:rFonts w:ascii="宋体" w:hAnsi="宋体" w:cs="宋体"/>
          <w:b/>
          <w:bCs/>
        </w:rPr>
        <w:t>62、税金及附加</w:t>
      </w:r>
      <w:bookmarkEnd w:id="350"/>
    </w:p>
    <w:p w14:paraId="7EFFD66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FB638E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D06D3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FA4A9E">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0D6A5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7831A1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B16B21">
            <w:pPr>
              <w:spacing w:before="40" w:after="40" w:line="240" w:lineRule="exact"/>
              <w:rPr>
                <w:rFonts w:ascii="宋体" w:hAnsi="宋体" w:eastAsia="宋体" w:cs="宋体"/>
                <w:sz w:val="18"/>
                <w:szCs w:val="18"/>
              </w:rPr>
            </w:pPr>
            <w:r>
              <w:rPr>
                <w:rFonts w:ascii="宋体" w:hAnsi="宋体" w:eastAsia="宋体" w:cs="宋体"/>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4D67A4D5">
            <w:pPr>
              <w:spacing w:line="240" w:lineRule="exact"/>
              <w:jc w:val="right"/>
              <w:rPr>
                <w:rFonts w:ascii="宋体" w:hAnsi="宋体" w:eastAsia="宋体" w:cs="宋体"/>
                <w:sz w:val="18"/>
                <w:szCs w:val="18"/>
              </w:rPr>
            </w:pPr>
            <w:r>
              <w:rPr>
                <w:rFonts w:ascii="宋体" w:hAnsi="宋体" w:eastAsia="宋体" w:cs="宋体"/>
                <w:sz w:val="18"/>
                <w:szCs w:val="18"/>
              </w:rPr>
              <w:t>817,968.61</w:t>
            </w:r>
          </w:p>
        </w:tc>
        <w:tc>
          <w:tcPr>
            <w:tcW w:w="3213" w:type="dxa"/>
            <w:tcBorders>
              <w:top w:val="single" w:color="auto" w:sz="2" w:space="0"/>
              <w:left w:val="single" w:color="auto" w:sz="2" w:space="0"/>
              <w:bottom w:val="single" w:color="auto" w:sz="2" w:space="0"/>
              <w:right w:val="single" w:color="auto" w:sz="2" w:space="0"/>
            </w:tcBorders>
            <w:vAlign w:val="center"/>
          </w:tcPr>
          <w:p w14:paraId="1C2B6309">
            <w:pPr>
              <w:spacing w:line="240" w:lineRule="exact"/>
              <w:jc w:val="right"/>
              <w:rPr>
                <w:rFonts w:ascii="宋体" w:hAnsi="宋体" w:eastAsia="宋体" w:cs="宋体"/>
                <w:sz w:val="18"/>
                <w:szCs w:val="18"/>
              </w:rPr>
            </w:pPr>
            <w:r>
              <w:rPr>
                <w:rFonts w:ascii="宋体" w:hAnsi="宋体" w:eastAsia="宋体" w:cs="宋体"/>
                <w:sz w:val="18"/>
                <w:szCs w:val="18"/>
              </w:rPr>
              <w:t>277,277.02</w:t>
            </w:r>
          </w:p>
        </w:tc>
      </w:tr>
      <w:tr w14:paraId="2F66EA9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8C2186">
            <w:pPr>
              <w:spacing w:before="40" w:after="40" w:line="240" w:lineRule="exact"/>
              <w:rPr>
                <w:rFonts w:ascii="宋体" w:hAnsi="宋体" w:eastAsia="宋体" w:cs="宋体"/>
                <w:sz w:val="18"/>
                <w:szCs w:val="18"/>
              </w:rPr>
            </w:pPr>
            <w:r>
              <w:rPr>
                <w:rFonts w:ascii="宋体" w:hAnsi="宋体" w:eastAsia="宋体" w:cs="宋体"/>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19EEC442">
            <w:pPr>
              <w:spacing w:line="240" w:lineRule="exact"/>
              <w:jc w:val="right"/>
              <w:rPr>
                <w:rFonts w:ascii="宋体" w:hAnsi="宋体" w:eastAsia="宋体" w:cs="宋体"/>
                <w:sz w:val="18"/>
                <w:szCs w:val="18"/>
              </w:rPr>
            </w:pPr>
            <w:r>
              <w:rPr>
                <w:rFonts w:ascii="宋体" w:hAnsi="宋体" w:eastAsia="宋体" w:cs="宋体"/>
                <w:sz w:val="18"/>
                <w:szCs w:val="18"/>
              </w:rPr>
              <w:t>350,557.98</w:t>
            </w:r>
          </w:p>
        </w:tc>
        <w:tc>
          <w:tcPr>
            <w:tcW w:w="3213" w:type="dxa"/>
            <w:tcBorders>
              <w:top w:val="single" w:color="auto" w:sz="2" w:space="0"/>
              <w:left w:val="single" w:color="auto" w:sz="2" w:space="0"/>
              <w:bottom w:val="single" w:color="auto" w:sz="2" w:space="0"/>
              <w:right w:val="single" w:color="auto" w:sz="2" w:space="0"/>
            </w:tcBorders>
            <w:vAlign w:val="center"/>
          </w:tcPr>
          <w:p w14:paraId="77EBE2C0">
            <w:pPr>
              <w:spacing w:line="240" w:lineRule="exact"/>
              <w:jc w:val="right"/>
              <w:rPr>
                <w:rFonts w:ascii="宋体" w:hAnsi="宋体" w:eastAsia="宋体" w:cs="宋体"/>
                <w:sz w:val="18"/>
                <w:szCs w:val="18"/>
              </w:rPr>
            </w:pPr>
            <w:r>
              <w:rPr>
                <w:rFonts w:ascii="宋体" w:hAnsi="宋体" w:eastAsia="宋体" w:cs="宋体"/>
                <w:sz w:val="18"/>
                <w:szCs w:val="18"/>
              </w:rPr>
              <w:t>118,833.02</w:t>
            </w:r>
          </w:p>
        </w:tc>
      </w:tr>
      <w:tr w14:paraId="4070178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429307">
            <w:pPr>
              <w:spacing w:before="40" w:after="40" w:line="240" w:lineRule="exact"/>
              <w:rPr>
                <w:rFonts w:ascii="宋体" w:hAnsi="宋体" w:eastAsia="宋体" w:cs="宋体"/>
                <w:sz w:val="18"/>
                <w:szCs w:val="18"/>
              </w:rPr>
            </w:pPr>
            <w:r>
              <w:rPr>
                <w:rFonts w:ascii="宋体" w:hAnsi="宋体" w:eastAsia="宋体" w:cs="宋体"/>
                <w:sz w:val="18"/>
                <w:szCs w:val="18"/>
              </w:rPr>
              <w:t>车船使用税</w:t>
            </w:r>
          </w:p>
        </w:tc>
        <w:tc>
          <w:tcPr>
            <w:tcW w:w="3213" w:type="dxa"/>
            <w:tcBorders>
              <w:top w:val="single" w:color="auto" w:sz="2" w:space="0"/>
              <w:left w:val="single" w:color="auto" w:sz="2" w:space="0"/>
              <w:bottom w:val="single" w:color="auto" w:sz="2" w:space="0"/>
              <w:right w:val="single" w:color="auto" w:sz="2" w:space="0"/>
            </w:tcBorders>
            <w:vAlign w:val="center"/>
          </w:tcPr>
          <w:p w14:paraId="070F23CD">
            <w:pPr>
              <w:spacing w:line="240" w:lineRule="exact"/>
              <w:jc w:val="right"/>
              <w:rPr>
                <w:rFonts w:ascii="宋体" w:hAnsi="宋体" w:eastAsia="宋体" w:cs="宋体"/>
                <w:sz w:val="18"/>
                <w:szCs w:val="18"/>
              </w:rPr>
            </w:pPr>
            <w:r>
              <w:rPr>
                <w:rFonts w:ascii="宋体" w:hAnsi="宋体" w:eastAsia="宋体" w:cs="宋体"/>
                <w:sz w:val="18"/>
                <w:szCs w:val="18"/>
              </w:rPr>
              <w:t>6,388.16</w:t>
            </w:r>
          </w:p>
        </w:tc>
        <w:tc>
          <w:tcPr>
            <w:tcW w:w="3213" w:type="dxa"/>
            <w:tcBorders>
              <w:top w:val="single" w:color="auto" w:sz="2" w:space="0"/>
              <w:left w:val="single" w:color="auto" w:sz="2" w:space="0"/>
              <w:bottom w:val="single" w:color="auto" w:sz="2" w:space="0"/>
              <w:right w:val="single" w:color="auto" w:sz="2" w:space="0"/>
            </w:tcBorders>
            <w:vAlign w:val="center"/>
          </w:tcPr>
          <w:p w14:paraId="6ADD220C">
            <w:pPr>
              <w:spacing w:line="240" w:lineRule="exact"/>
              <w:jc w:val="right"/>
              <w:rPr>
                <w:rFonts w:ascii="宋体" w:hAnsi="宋体" w:eastAsia="宋体" w:cs="宋体"/>
                <w:sz w:val="18"/>
                <w:szCs w:val="18"/>
              </w:rPr>
            </w:pPr>
            <w:r>
              <w:rPr>
                <w:rFonts w:ascii="宋体" w:hAnsi="宋体" w:eastAsia="宋体" w:cs="宋体"/>
                <w:sz w:val="18"/>
                <w:szCs w:val="18"/>
              </w:rPr>
              <w:t>3,953.04</w:t>
            </w:r>
          </w:p>
        </w:tc>
      </w:tr>
      <w:tr w14:paraId="47B7417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426E21">
            <w:pPr>
              <w:spacing w:before="40" w:after="40" w:line="240" w:lineRule="exact"/>
              <w:rPr>
                <w:rFonts w:ascii="宋体" w:hAnsi="宋体" w:eastAsia="宋体" w:cs="宋体"/>
                <w:sz w:val="18"/>
                <w:szCs w:val="18"/>
              </w:rPr>
            </w:pPr>
            <w:r>
              <w:rPr>
                <w:rFonts w:ascii="宋体" w:hAnsi="宋体" w:eastAsia="宋体" w:cs="宋体"/>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3A87BFA8">
            <w:pPr>
              <w:spacing w:line="240" w:lineRule="exact"/>
              <w:jc w:val="right"/>
              <w:rPr>
                <w:rFonts w:ascii="宋体" w:hAnsi="宋体" w:eastAsia="宋体" w:cs="宋体"/>
                <w:sz w:val="18"/>
                <w:szCs w:val="18"/>
              </w:rPr>
            </w:pPr>
            <w:r>
              <w:rPr>
                <w:rFonts w:ascii="宋体" w:hAnsi="宋体" w:eastAsia="宋体" w:cs="宋体"/>
                <w:sz w:val="18"/>
                <w:szCs w:val="18"/>
              </w:rPr>
              <w:t>196,616.61</w:t>
            </w:r>
          </w:p>
        </w:tc>
        <w:tc>
          <w:tcPr>
            <w:tcW w:w="3213" w:type="dxa"/>
            <w:tcBorders>
              <w:top w:val="single" w:color="auto" w:sz="2" w:space="0"/>
              <w:left w:val="single" w:color="auto" w:sz="2" w:space="0"/>
              <w:bottom w:val="single" w:color="auto" w:sz="2" w:space="0"/>
              <w:right w:val="single" w:color="auto" w:sz="2" w:space="0"/>
            </w:tcBorders>
            <w:vAlign w:val="center"/>
          </w:tcPr>
          <w:p w14:paraId="04D05771">
            <w:pPr>
              <w:spacing w:line="240" w:lineRule="exact"/>
              <w:jc w:val="right"/>
              <w:rPr>
                <w:rFonts w:ascii="宋体" w:hAnsi="宋体" w:eastAsia="宋体" w:cs="宋体"/>
                <w:sz w:val="18"/>
                <w:szCs w:val="18"/>
              </w:rPr>
            </w:pPr>
          </w:p>
        </w:tc>
      </w:tr>
      <w:tr w14:paraId="625B7178">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C588EDC">
            <w:pPr>
              <w:spacing w:line="240" w:lineRule="exact"/>
              <w:rPr>
                <w:rFonts w:ascii="宋体" w:hAnsi="宋体" w:eastAsia="宋体" w:cs="宋体"/>
                <w:sz w:val="18"/>
                <w:szCs w:val="18"/>
              </w:rPr>
            </w:pPr>
            <w:r>
              <w:rPr>
                <w:rFonts w:ascii="宋体" w:hAnsi="宋体" w:eastAsia="宋体" w:cs="宋体"/>
                <w:sz w:val="18"/>
                <w:szCs w:val="18"/>
              </w:rPr>
              <w:t>地方教育附加</w:t>
            </w:r>
          </w:p>
        </w:tc>
        <w:tc>
          <w:tcPr>
            <w:tcW w:w="3213" w:type="dxa"/>
            <w:tcBorders>
              <w:top w:val="single" w:color="auto" w:sz="2" w:space="0"/>
              <w:left w:val="single" w:color="auto" w:sz="2" w:space="0"/>
              <w:bottom w:val="single" w:color="auto" w:sz="2" w:space="0"/>
              <w:right w:val="single" w:color="auto" w:sz="2" w:space="0"/>
            </w:tcBorders>
            <w:vAlign w:val="center"/>
          </w:tcPr>
          <w:p w14:paraId="4C6D7313">
            <w:pPr>
              <w:spacing w:line="240" w:lineRule="exact"/>
              <w:jc w:val="right"/>
              <w:rPr>
                <w:rFonts w:ascii="宋体" w:hAnsi="宋体" w:eastAsia="宋体" w:cs="宋体"/>
                <w:sz w:val="18"/>
                <w:szCs w:val="18"/>
              </w:rPr>
            </w:pPr>
            <w:r>
              <w:rPr>
                <w:rFonts w:ascii="宋体" w:hAnsi="宋体" w:eastAsia="宋体" w:cs="宋体"/>
                <w:sz w:val="18"/>
                <w:szCs w:val="18"/>
              </w:rPr>
              <w:t>233,705.30</w:t>
            </w:r>
          </w:p>
        </w:tc>
        <w:tc>
          <w:tcPr>
            <w:tcW w:w="3213" w:type="dxa"/>
            <w:tcBorders>
              <w:top w:val="single" w:color="auto" w:sz="2" w:space="0"/>
              <w:left w:val="single" w:color="auto" w:sz="2" w:space="0"/>
              <w:bottom w:val="single" w:color="auto" w:sz="2" w:space="0"/>
              <w:right w:val="single" w:color="auto" w:sz="2" w:space="0"/>
            </w:tcBorders>
            <w:vAlign w:val="center"/>
          </w:tcPr>
          <w:p w14:paraId="1DE481FC">
            <w:pPr>
              <w:spacing w:line="240" w:lineRule="exact"/>
              <w:jc w:val="right"/>
              <w:rPr>
                <w:rFonts w:ascii="宋体" w:hAnsi="宋体" w:eastAsia="宋体" w:cs="宋体"/>
                <w:sz w:val="18"/>
                <w:szCs w:val="18"/>
              </w:rPr>
            </w:pPr>
            <w:r>
              <w:rPr>
                <w:rFonts w:ascii="宋体" w:hAnsi="宋体" w:eastAsia="宋体" w:cs="宋体"/>
                <w:sz w:val="18"/>
                <w:szCs w:val="18"/>
              </w:rPr>
              <w:t>79,222.00</w:t>
            </w:r>
          </w:p>
        </w:tc>
      </w:tr>
      <w:tr w14:paraId="6C5CF19C">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91CE906">
            <w:pPr>
              <w:spacing w:line="240" w:lineRule="exact"/>
              <w:rPr>
                <w:rFonts w:ascii="宋体" w:hAnsi="宋体" w:eastAsia="宋体" w:cs="宋体"/>
                <w:sz w:val="18"/>
                <w:szCs w:val="18"/>
              </w:rPr>
            </w:pPr>
            <w:r>
              <w:rPr>
                <w:rFonts w:ascii="宋体" w:hAnsi="宋体" w:eastAsia="宋体" w:cs="宋体"/>
                <w:sz w:val="18"/>
                <w:szCs w:val="18"/>
              </w:rPr>
              <w:t>环境保护税</w:t>
            </w:r>
          </w:p>
        </w:tc>
        <w:tc>
          <w:tcPr>
            <w:tcW w:w="3213" w:type="dxa"/>
            <w:tcBorders>
              <w:top w:val="single" w:color="auto" w:sz="2" w:space="0"/>
              <w:left w:val="single" w:color="auto" w:sz="2" w:space="0"/>
              <w:bottom w:val="single" w:color="auto" w:sz="2" w:space="0"/>
              <w:right w:val="single" w:color="auto" w:sz="2" w:space="0"/>
            </w:tcBorders>
            <w:vAlign w:val="center"/>
          </w:tcPr>
          <w:p w14:paraId="1524829E">
            <w:pPr>
              <w:spacing w:line="240" w:lineRule="exact"/>
              <w:jc w:val="right"/>
              <w:rPr>
                <w:rFonts w:ascii="宋体" w:hAnsi="宋体" w:eastAsia="宋体" w:cs="宋体"/>
                <w:sz w:val="18"/>
                <w:szCs w:val="18"/>
              </w:rPr>
            </w:pPr>
            <w:r>
              <w:rPr>
                <w:rFonts w:ascii="宋体" w:hAnsi="宋体" w:eastAsia="宋体" w:cs="宋体"/>
                <w:sz w:val="18"/>
                <w:szCs w:val="18"/>
              </w:rPr>
              <w:t>5,196.28</w:t>
            </w:r>
          </w:p>
        </w:tc>
        <w:tc>
          <w:tcPr>
            <w:tcW w:w="3213" w:type="dxa"/>
            <w:tcBorders>
              <w:top w:val="single" w:color="auto" w:sz="2" w:space="0"/>
              <w:left w:val="single" w:color="auto" w:sz="2" w:space="0"/>
              <w:bottom w:val="single" w:color="auto" w:sz="2" w:space="0"/>
              <w:right w:val="single" w:color="auto" w:sz="2" w:space="0"/>
            </w:tcBorders>
            <w:vAlign w:val="center"/>
          </w:tcPr>
          <w:p w14:paraId="34B3AF68">
            <w:pPr>
              <w:spacing w:line="240" w:lineRule="exact"/>
              <w:jc w:val="right"/>
              <w:rPr>
                <w:rFonts w:ascii="宋体" w:hAnsi="宋体" w:eastAsia="宋体" w:cs="宋体"/>
                <w:sz w:val="18"/>
                <w:szCs w:val="18"/>
              </w:rPr>
            </w:pPr>
            <w:r>
              <w:rPr>
                <w:rFonts w:ascii="宋体" w:hAnsi="宋体" w:eastAsia="宋体" w:cs="宋体"/>
                <w:sz w:val="18"/>
                <w:szCs w:val="18"/>
              </w:rPr>
              <w:t>3,484.24</w:t>
            </w:r>
          </w:p>
        </w:tc>
      </w:tr>
      <w:tr w14:paraId="1D58DCA3">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4ADDCCA">
            <w:pPr>
              <w:spacing w:line="240" w:lineRule="exact"/>
              <w:rPr>
                <w:rFonts w:ascii="宋体" w:hAnsi="宋体" w:eastAsia="宋体" w:cs="宋体"/>
                <w:sz w:val="18"/>
                <w:szCs w:val="18"/>
              </w:rPr>
            </w:pPr>
            <w:r>
              <w:rPr>
                <w:rFonts w:ascii="宋体" w:hAnsi="宋体" w:eastAsia="宋体" w:cs="宋体"/>
                <w:sz w:val="18"/>
                <w:szCs w:val="18"/>
              </w:rPr>
              <w:t>残保金</w:t>
            </w:r>
          </w:p>
        </w:tc>
        <w:tc>
          <w:tcPr>
            <w:tcW w:w="3213" w:type="dxa"/>
            <w:tcBorders>
              <w:top w:val="single" w:color="auto" w:sz="2" w:space="0"/>
              <w:left w:val="single" w:color="auto" w:sz="2" w:space="0"/>
              <w:bottom w:val="single" w:color="auto" w:sz="2" w:space="0"/>
              <w:right w:val="single" w:color="auto" w:sz="2" w:space="0"/>
            </w:tcBorders>
            <w:vAlign w:val="center"/>
          </w:tcPr>
          <w:p w14:paraId="5CFC199B">
            <w:pPr>
              <w:spacing w:line="240" w:lineRule="exact"/>
              <w:jc w:val="right"/>
              <w:rPr>
                <w:rFonts w:ascii="宋体" w:hAnsi="宋体" w:eastAsia="宋体" w:cs="宋体"/>
                <w:sz w:val="18"/>
                <w:szCs w:val="18"/>
              </w:rPr>
            </w:pPr>
            <w:r>
              <w:rPr>
                <w:rFonts w:ascii="宋体" w:hAnsi="宋体" w:eastAsia="宋体" w:cs="宋体"/>
                <w:sz w:val="18"/>
                <w:szCs w:val="18"/>
              </w:rPr>
              <w:t>27,872.08</w:t>
            </w:r>
          </w:p>
        </w:tc>
        <w:tc>
          <w:tcPr>
            <w:tcW w:w="3213" w:type="dxa"/>
            <w:tcBorders>
              <w:top w:val="single" w:color="auto" w:sz="2" w:space="0"/>
              <w:left w:val="single" w:color="auto" w:sz="2" w:space="0"/>
              <w:bottom w:val="single" w:color="auto" w:sz="2" w:space="0"/>
              <w:right w:val="single" w:color="auto" w:sz="2" w:space="0"/>
            </w:tcBorders>
            <w:vAlign w:val="center"/>
          </w:tcPr>
          <w:p w14:paraId="4E6F428C">
            <w:pPr>
              <w:spacing w:line="240" w:lineRule="exact"/>
              <w:jc w:val="right"/>
              <w:rPr>
                <w:rFonts w:ascii="宋体" w:hAnsi="宋体" w:eastAsia="宋体" w:cs="宋体"/>
                <w:sz w:val="18"/>
                <w:szCs w:val="18"/>
              </w:rPr>
            </w:pPr>
            <w:r>
              <w:rPr>
                <w:rFonts w:ascii="宋体" w:hAnsi="宋体" w:eastAsia="宋体" w:cs="宋体"/>
                <w:sz w:val="18"/>
                <w:szCs w:val="18"/>
              </w:rPr>
              <w:t>96,000.00</w:t>
            </w:r>
          </w:p>
        </w:tc>
      </w:tr>
      <w:tr w14:paraId="19BE6E5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1522A4">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6DEEE14">
            <w:pPr>
              <w:spacing w:line="240" w:lineRule="exact"/>
              <w:jc w:val="right"/>
              <w:rPr>
                <w:rFonts w:ascii="宋体" w:hAnsi="宋体" w:eastAsia="宋体" w:cs="宋体"/>
                <w:sz w:val="18"/>
                <w:szCs w:val="18"/>
              </w:rPr>
            </w:pPr>
            <w:r>
              <w:rPr>
                <w:rFonts w:ascii="宋体" w:hAnsi="宋体" w:eastAsia="宋体" w:cs="宋体"/>
                <w:sz w:val="18"/>
                <w:szCs w:val="18"/>
              </w:rPr>
              <w:t>1,638,305.02</w:t>
            </w:r>
          </w:p>
        </w:tc>
        <w:tc>
          <w:tcPr>
            <w:tcW w:w="3213" w:type="dxa"/>
            <w:tcBorders>
              <w:top w:val="single" w:color="auto" w:sz="2" w:space="0"/>
              <w:left w:val="single" w:color="auto" w:sz="2" w:space="0"/>
              <w:bottom w:val="single" w:color="auto" w:sz="2" w:space="0"/>
              <w:right w:val="single" w:color="auto" w:sz="2" w:space="0"/>
            </w:tcBorders>
            <w:vAlign w:val="center"/>
          </w:tcPr>
          <w:p w14:paraId="716062E2">
            <w:pPr>
              <w:spacing w:line="240" w:lineRule="exact"/>
              <w:jc w:val="right"/>
              <w:rPr>
                <w:rFonts w:ascii="宋体" w:hAnsi="宋体" w:eastAsia="宋体" w:cs="宋体"/>
                <w:sz w:val="18"/>
                <w:szCs w:val="18"/>
              </w:rPr>
            </w:pPr>
            <w:r>
              <w:rPr>
                <w:rFonts w:ascii="宋体" w:hAnsi="宋体" w:eastAsia="宋体" w:cs="宋体"/>
                <w:sz w:val="18"/>
                <w:szCs w:val="18"/>
              </w:rPr>
              <w:t>578,769.32</w:t>
            </w:r>
          </w:p>
        </w:tc>
      </w:tr>
    </w:tbl>
    <w:p w14:paraId="6D0937FB">
      <w:pPr>
        <w:spacing w:before="100" w:after="100" w:line="240" w:lineRule="exact"/>
      </w:pPr>
      <w:r>
        <w:rPr>
          <w:rFonts w:ascii="宋体" w:hAnsi="宋体" w:eastAsia="宋体" w:cs="宋体"/>
          <w:sz w:val="18"/>
          <w:szCs w:val="18"/>
        </w:rPr>
        <w:t>其他说明：</w:t>
      </w:r>
    </w:p>
    <w:p w14:paraId="1B13ADF1">
      <w:pPr>
        <w:pStyle w:val="3"/>
        <w:spacing w:after="100" w:line="280" w:lineRule="exact"/>
        <w:jc w:val="left"/>
        <w:rPr>
          <w:rFonts w:ascii="宋体" w:hAnsi="宋体" w:cs="宋体"/>
          <w:b/>
          <w:bCs/>
        </w:rPr>
      </w:pPr>
      <w:bookmarkStart w:id="351" w:name="_Toc989240"/>
      <w:r>
        <w:rPr>
          <w:rFonts w:ascii="宋体" w:hAnsi="宋体" w:cs="宋体"/>
          <w:b/>
          <w:bCs/>
        </w:rPr>
        <w:t>63、管理费用</w:t>
      </w:r>
      <w:bookmarkEnd w:id="351"/>
    </w:p>
    <w:p w14:paraId="5D04A4B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750343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2F896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B6D922">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B4C757">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111ADF2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AEFF321">
            <w:pPr>
              <w:spacing w:line="240" w:lineRule="exact"/>
              <w:rPr>
                <w:rFonts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24F07F6">
            <w:pPr>
              <w:spacing w:line="240" w:lineRule="exact"/>
              <w:jc w:val="right"/>
              <w:rPr>
                <w:rFonts w:ascii="宋体" w:hAnsi="宋体" w:eastAsia="宋体" w:cs="宋体"/>
                <w:sz w:val="18"/>
                <w:szCs w:val="18"/>
              </w:rPr>
            </w:pPr>
            <w:r>
              <w:rPr>
                <w:rFonts w:ascii="宋体" w:hAnsi="宋体" w:eastAsia="宋体" w:cs="宋体"/>
                <w:sz w:val="18"/>
                <w:szCs w:val="18"/>
              </w:rPr>
              <w:t>8,052,273.43</w:t>
            </w:r>
          </w:p>
        </w:tc>
        <w:tc>
          <w:tcPr>
            <w:tcW w:w="3213" w:type="dxa"/>
            <w:tcBorders>
              <w:top w:val="single" w:color="auto" w:sz="2" w:space="0"/>
              <w:left w:val="single" w:color="auto" w:sz="2" w:space="0"/>
              <w:bottom w:val="single" w:color="auto" w:sz="2" w:space="0"/>
              <w:right w:val="single" w:color="auto" w:sz="2" w:space="0"/>
            </w:tcBorders>
            <w:vAlign w:val="center"/>
          </w:tcPr>
          <w:p w14:paraId="3CF15371">
            <w:pPr>
              <w:spacing w:line="240" w:lineRule="exact"/>
              <w:jc w:val="right"/>
              <w:rPr>
                <w:rFonts w:ascii="宋体" w:hAnsi="宋体" w:eastAsia="宋体" w:cs="宋体"/>
                <w:sz w:val="18"/>
                <w:szCs w:val="18"/>
              </w:rPr>
            </w:pPr>
            <w:r>
              <w:rPr>
                <w:rFonts w:ascii="宋体" w:hAnsi="宋体" w:eastAsia="宋体" w:cs="宋体"/>
                <w:sz w:val="18"/>
                <w:szCs w:val="18"/>
              </w:rPr>
              <w:t>6,414,713.04</w:t>
            </w:r>
          </w:p>
        </w:tc>
      </w:tr>
      <w:tr w14:paraId="763B488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EF0CC57">
            <w:pPr>
              <w:spacing w:line="240" w:lineRule="exact"/>
              <w:rPr>
                <w:rFonts w:ascii="宋体" w:hAnsi="宋体" w:eastAsia="宋体" w:cs="宋体"/>
                <w:sz w:val="18"/>
                <w:szCs w:val="18"/>
              </w:rPr>
            </w:pPr>
            <w:r>
              <w:rPr>
                <w:rFonts w:ascii="宋体" w:hAnsi="宋体" w:eastAsia="宋体" w:cs="宋体"/>
                <w:sz w:val="18"/>
                <w:szCs w:val="18"/>
              </w:rPr>
              <w:t>折旧费</w:t>
            </w:r>
          </w:p>
        </w:tc>
        <w:tc>
          <w:tcPr>
            <w:tcW w:w="3213" w:type="dxa"/>
            <w:tcBorders>
              <w:top w:val="single" w:color="auto" w:sz="2" w:space="0"/>
              <w:left w:val="single" w:color="auto" w:sz="2" w:space="0"/>
              <w:bottom w:val="single" w:color="auto" w:sz="2" w:space="0"/>
              <w:right w:val="single" w:color="auto" w:sz="2" w:space="0"/>
            </w:tcBorders>
            <w:vAlign w:val="center"/>
          </w:tcPr>
          <w:p w14:paraId="06DBFD46">
            <w:pPr>
              <w:spacing w:line="240" w:lineRule="exact"/>
              <w:jc w:val="right"/>
              <w:rPr>
                <w:rFonts w:ascii="宋体" w:hAnsi="宋体" w:eastAsia="宋体" w:cs="宋体"/>
                <w:sz w:val="18"/>
                <w:szCs w:val="18"/>
              </w:rPr>
            </w:pPr>
            <w:r>
              <w:rPr>
                <w:rFonts w:ascii="宋体" w:hAnsi="宋体" w:eastAsia="宋体" w:cs="宋体"/>
                <w:sz w:val="18"/>
                <w:szCs w:val="18"/>
              </w:rPr>
              <w:t>75,766.69</w:t>
            </w:r>
          </w:p>
        </w:tc>
        <w:tc>
          <w:tcPr>
            <w:tcW w:w="3213" w:type="dxa"/>
            <w:tcBorders>
              <w:top w:val="single" w:color="auto" w:sz="2" w:space="0"/>
              <w:left w:val="single" w:color="auto" w:sz="2" w:space="0"/>
              <w:bottom w:val="single" w:color="auto" w:sz="2" w:space="0"/>
              <w:right w:val="single" w:color="auto" w:sz="2" w:space="0"/>
            </w:tcBorders>
            <w:vAlign w:val="center"/>
          </w:tcPr>
          <w:p w14:paraId="40902DD6">
            <w:pPr>
              <w:spacing w:line="240" w:lineRule="exact"/>
              <w:jc w:val="right"/>
              <w:rPr>
                <w:rFonts w:ascii="宋体" w:hAnsi="宋体" w:eastAsia="宋体" w:cs="宋体"/>
                <w:sz w:val="18"/>
                <w:szCs w:val="18"/>
              </w:rPr>
            </w:pPr>
            <w:r>
              <w:rPr>
                <w:rFonts w:ascii="宋体" w:hAnsi="宋体" w:eastAsia="宋体" w:cs="宋体"/>
                <w:sz w:val="18"/>
                <w:szCs w:val="18"/>
              </w:rPr>
              <w:t>523,387.59</w:t>
            </w:r>
          </w:p>
        </w:tc>
      </w:tr>
      <w:tr w14:paraId="22023FC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B5B32F2">
            <w:pPr>
              <w:spacing w:line="240" w:lineRule="exact"/>
              <w:rPr>
                <w:rFonts w:ascii="宋体" w:hAnsi="宋体" w:eastAsia="宋体" w:cs="宋体"/>
                <w:sz w:val="18"/>
                <w:szCs w:val="18"/>
              </w:rPr>
            </w:pPr>
            <w:r>
              <w:rPr>
                <w:rFonts w:ascii="宋体" w:hAnsi="宋体" w:eastAsia="宋体" w:cs="宋体"/>
                <w:sz w:val="18"/>
                <w:szCs w:val="18"/>
              </w:rPr>
              <w:t>信息披露费</w:t>
            </w:r>
          </w:p>
        </w:tc>
        <w:tc>
          <w:tcPr>
            <w:tcW w:w="3213" w:type="dxa"/>
            <w:tcBorders>
              <w:top w:val="single" w:color="auto" w:sz="2" w:space="0"/>
              <w:left w:val="single" w:color="auto" w:sz="2" w:space="0"/>
              <w:bottom w:val="single" w:color="auto" w:sz="2" w:space="0"/>
              <w:right w:val="single" w:color="auto" w:sz="2" w:space="0"/>
            </w:tcBorders>
            <w:vAlign w:val="center"/>
          </w:tcPr>
          <w:p w14:paraId="54BE5324">
            <w:pPr>
              <w:spacing w:line="240" w:lineRule="exact"/>
              <w:jc w:val="right"/>
              <w:rPr>
                <w:rFonts w:ascii="宋体" w:hAnsi="宋体" w:eastAsia="宋体" w:cs="宋体"/>
                <w:sz w:val="18"/>
                <w:szCs w:val="18"/>
              </w:rPr>
            </w:pPr>
            <w:r>
              <w:rPr>
                <w:rFonts w:ascii="宋体" w:hAnsi="宋体" w:eastAsia="宋体" w:cs="宋体"/>
                <w:sz w:val="18"/>
                <w:szCs w:val="18"/>
              </w:rPr>
              <w:t>155,443.40</w:t>
            </w:r>
          </w:p>
        </w:tc>
        <w:tc>
          <w:tcPr>
            <w:tcW w:w="3213" w:type="dxa"/>
            <w:tcBorders>
              <w:top w:val="single" w:color="auto" w:sz="2" w:space="0"/>
              <w:left w:val="single" w:color="auto" w:sz="2" w:space="0"/>
              <w:bottom w:val="single" w:color="auto" w:sz="2" w:space="0"/>
              <w:right w:val="single" w:color="auto" w:sz="2" w:space="0"/>
            </w:tcBorders>
            <w:vAlign w:val="center"/>
          </w:tcPr>
          <w:p w14:paraId="24887521">
            <w:pPr>
              <w:spacing w:line="240" w:lineRule="exact"/>
              <w:jc w:val="right"/>
              <w:rPr>
                <w:rFonts w:ascii="宋体" w:hAnsi="宋体" w:eastAsia="宋体" w:cs="宋体"/>
                <w:sz w:val="18"/>
                <w:szCs w:val="18"/>
              </w:rPr>
            </w:pPr>
            <w:r>
              <w:rPr>
                <w:rFonts w:ascii="宋体" w:hAnsi="宋体" w:eastAsia="宋体" w:cs="宋体"/>
                <w:sz w:val="18"/>
                <w:szCs w:val="18"/>
              </w:rPr>
              <w:t>175,471.70</w:t>
            </w:r>
          </w:p>
        </w:tc>
      </w:tr>
      <w:tr w14:paraId="344BF192">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B560931">
            <w:pPr>
              <w:spacing w:line="240" w:lineRule="exact"/>
              <w:rPr>
                <w:rFonts w:ascii="宋体" w:hAnsi="宋体" w:eastAsia="宋体" w:cs="宋体"/>
                <w:sz w:val="18"/>
                <w:szCs w:val="18"/>
              </w:rPr>
            </w:pPr>
            <w:r>
              <w:rPr>
                <w:rFonts w:ascii="宋体" w:hAnsi="宋体" w:eastAsia="宋体" w:cs="宋体"/>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3EAB6A5A">
            <w:pPr>
              <w:spacing w:line="240" w:lineRule="exact"/>
              <w:jc w:val="right"/>
              <w:rPr>
                <w:rFonts w:ascii="宋体" w:hAnsi="宋体" w:eastAsia="宋体" w:cs="宋体"/>
                <w:sz w:val="18"/>
                <w:szCs w:val="18"/>
              </w:rPr>
            </w:pPr>
            <w:r>
              <w:rPr>
                <w:rFonts w:ascii="宋体" w:hAnsi="宋体" w:eastAsia="宋体" w:cs="宋体"/>
                <w:sz w:val="18"/>
                <w:szCs w:val="18"/>
              </w:rPr>
              <w:t>76,348.23</w:t>
            </w:r>
          </w:p>
        </w:tc>
        <w:tc>
          <w:tcPr>
            <w:tcW w:w="3213" w:type="dxa"/>
            <w:tcBorders>
              <w:top w:val="single" w:color="auto" w:sz="2" w:space="0"/>
              <w:left w:val="single" w:color="auto" w:sz="2" w:space="0"/>
              <w:bottom w:val="single" w:color="auto" w:sz="2" w:space="0"/>
              <w:right w:val="single" w:color="auto" w:sz="2" w:space="0"/>
            </w:tcBorders>
            <w:vAlign w:val="center"/>
          </w:tcPr>
          <w:p w14:paraId="511BD875">
            <w:pPr>
              <w:spacing w:line="240" w:lineRule="exact"/>
              <w:jc w:val="right"/>
              <w:rPr>
                <w:rFonts w:ascii="宋体" w:hAnsi="宋体" w:eastAsia="宋体" w:cs="宋体"/>
                <w:sz w:val="18"/>
                <w:szCs w:val="18"/>
              </w:rPr>
            </w:pPr>
            <w:r>
              <w:rPr>
                <w:rFonts w:ascii="宋体" w:hAnsi="宋体" w:eastAsia="宋体" w:cs="宋体"/>
                <w:sz w:val="18"/>
                <w:szCs w:val="18"/>
              </w:rPr>
              <w:t>24,982.85</w:t>
            </w:r>
          </w:p>
        </w:tc>
      </w:tr>
      <w:tr w14:paraId="14DFC4E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07F4B8C">
            <w:pPr>
              <w:spacing w:line="240" w:lineRule="exact"/>
              <w:rPr>
                <w:rFonts w:ascii="宋体" w:hAnsi="宋体" w:eastAsia="宋体" w:cs="宋体"/>
                <w:sz w:val="18"/>
                <w:szCs w:val="18"/>
              </w:rPr>
            </w:pPr>
            <w:r>
              <w:rPr>
                <w:rFonts w:ascii="宋体" w:hAnsi="宋体" w:eastAsia="宋体" w:cs="宋体"/>
                <w:sz w:val="18"/>
                <w:szCs w:val="18"/>
              </w:rPr>
              <w:t>中介机构费</w:t>
            </w:r>
          </w:p>
        </w:tc>
        <w:tc>
          <w:tcPr>
            <w:tcW w:w="3213" w:type="dxa"/>
            <w:tcBorders>
              <w:top w:val="single" w:color="auto" w:sz="2" w:space="0"/>
              <w:left w:val="single" w:color="auto" w:sz="2" w:space="0"/>
              <w:bottom w:val="single" w:color="auto" w:sz="2" w:space="0"/>
              <w:right w:val="single" w:color="auto" w:sz="2" w:space="0"/>
            </w:tcBorders>
            <w:vAlign w:val="center"/>
          </w:tcPr>
          <w:p w14:paraId="0E822E14">
            <w:pPr>
              <w:spacing w:line="240" w:lineRule="exact"/>
              <w:jc w:val="right"/>
              <w:rPr>
                <w:rFonts w:ascii="宋体" w:hAnsi="宋体" w:eastAsia="宋体" w:cs="宋体"/>
                <w:sz w:val="18"/>
                <w:szCs w:val="18"/>
              </w:rPr>
            </w:pPr>
            <w:r>
              <w:rPr>
                <w:rFonts w:ascii="宋体" w:hAnsi="宋体" w:eastAsia="宋体" w:cs="宋体"/>
                <w:sz w:val="18"/>
                <w:szCs w:val="18"/>
              </w:rPr>
              <w:t>14,009,760.73</w:t>
            </w:r>
          </w:p>
        </w:tc>
        <w:tc>
          <w:tcPr>
            <w:tcW w:w="3213" w:type="dxa"/>
            <w:tcBorders>
              <w:top w:val="single" w:color="auto" w:sz="2" w:space="0"/>
              <w:left w:val="single" w:color="auto" w:sz="2" w:space="0"/>
              <w:bottom w:val="single" w:color="auto" w:sz="2" w:space="0"/>
              <w:right w:val="single" w:color="auto" w:sz="2" w:space="0"/>
            </w:tcBorders>
            <w:vAlign w:val="center"/>
          </w:tcPr>
          <w:p w14:paraId="332E5E2D">
            <w:pPr>
              <w:spacing w:line="240" w:lineRule="exact"/>
              <w:jc w:val="right"/>
              <w:rPr>
                <w:rFonts w:ascii="宋体" w:hAnsi="宋体" w:eastAsia="宋体" w:cs="宋体"/>
                <w:sz w:val="18"/>
                <w:szCs w:val="18"/>
              </w:rPr>
            </w:pPr>
            <w:r>
              <w:rPr>
                <w:rFonts w:ascii="宋体" w:hAnsi="宋体" w:eastAsia="宋体" w:cs="宋体"/>
                <w:sz w:val="18"/>
                <w:szCs w:val="18"/>
              </w:rPr>
              <w:t>3,229,736.46</w:t>
            </w:r>
          </w:p>
        </w:tc>
      </w:tr>
      <w:tr w14:paraId="630F9B18">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792BD78">
            <w:pPr>
              <w:spacing w:line="240" w:lineRule="exact"/>
              <w:rPr>
                <w:rFonts w:ascii="宋体" w:hAnsi="宋体" w:eastAsia="宋体" w:cs="宋体"/>
                <w:sz w:val="18"/>
                <w:szCs w:val="18"/>
              </w:rPr>
            </w:pPr>
            <w:r>
              <w:rPr>
                <w:rFonts w:ascii="宋体" w:hAnsi="宋体" w:eastAsia="宋体" w:cs="宋体"/>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037B8ABA">
            <w:pPr>
              <w:spacing w:line="240" w:lineRule="exact"/>
              <w:jc w:val="right"/>
              <w:rPr>
                <w:rFonts w:ascii="宋体" w:hAnsi="宋体" w:eastAsia="宋体" w:cs="宋体"/>
                <w:sz w:val="18"/>
                <w:szCs w:val="18"/>
              </w:rPr>
            </w:pPr>
            <w:r>
              <w:rPr>
                <w:rFonts w:ascii="宋体" w:hAnsi="宋体" w:eastAsia="宋体" w:cs="宋体"/>
                <w:sz w:val="18"/>
                <w:szCs w:val="18"/>
              </w:rPr>
              <w:t>735,697.34</w:t>
            </w:r>
          </w:p>
        </w:tc>
        <w:tc>
          <w:tcPr>
            <w:tcW w:w="3213" w:type="dxa"/>
            <w:tcBorders>
              <w:top w:val="single" w:color="auto" w:sz="2" w:space="0"/>
              <w:left w:val="single" w:color="auto" w:sz="2" w:space="0"/>
              <w:bottom w:val="single" w:color="auto" w:sz="2" w:space="0"/>
              <w:right w:val="single" w:color="auto" w:sz="2" w:space="0"/>
            </w:tcBorders>
            <w:vAlign w:val="center"/>
          </w:tcPr>
          <w:p w14:paraId="3585A4CA">
            <w:pPr>
              <w:spacing w:line="240" w:lineRule="exact"/>
              <w:jc w:val="right"/>
              <w:rPr>
                <w:rFonts w:ascii="宋体" w:hAnsi="宋体" w:eastAsia="宋体" w:cs="宋体"/>
                <w:sz w:val="18"/>
                <w:szCs w:val="18"/>
              </w:rPr>
            </w:pPr>
            <w:r>
              <w:rPr>
                <w:rFonts w:ascii="宋体" w:hAnsi="宋体" w:eastAsia="宋体" w:cs="宋体"/>
                <w:sz w:val="18"/>
                <w:szCs w:val="18"/>
              </w:rPr>
              <w:t>174,630.20</w:t>
            </w:r>
          </w:p>
        </w:tc>
      </w:tr>
      <w:tr w14:paraId="5692AA6A">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8BDCD05">
            <w:pPr>
              <w:spacing w:line="240" w:lineRule="exact"/>
              <w:rPr>
                <w:rFonts w:ascii="宋体" w:hAnsi="宋体" w:eastAsia="宋体" w:cs="宋体"/>
                <w:sz w:val="18"/>
                <w:szCs w:val="18"/>
              </w:rPr>
            </w:pPr>
            <w:r>
              <w:rPr>
                <w:rFonts w:ascii="宋体" w:hAnsi="宋体" w:eastAsia="宋体" w:cs="宋体"/>
                <w:sz w:val="18"/>
                <w:szCs w:val="18"/>
              </w:rPr>
              <w:t>差旅费</w:t>
            </w:r>
          </w:p>
        </w:tc>
        <w:tc>
          <w:tcPr>
            <w:tcW w:w="3213" w:type="dxa"/>
            <w:tcBorders>
              <w:top w:val="single" w:color="auto" w:sz="2" w:space="0"/>
              <w:left w:val="single" w:color="auto" w:sz="2" w:space="0"/>
              <w:bottom w:val="single" w:color="auto" w:sz="2" w:space="0"/>
              <w:right w:val="single" w:color="auto" w:sz="2" w:space="0"/>
            </w:tcBorders>
            <w:vAlign w:val="center"/>
          </w:tcPr>
          <w:p w14:paraId="546F28D5">
            <w:pPr>
              <w:spacing w:line="240" w:lineRule="exact"/>
              <w:jc w:val="right"/>
              <w:rPr>
                <w:rFonts w:ascii="宋体" w:hAnsi="宋体" w:eastAsia="宋体" w:cs="宋体"/>
                <w:sz w:val="18"/>
                <w:szCs w:val="18"/>
              </w:rPr>
            </w:pPr>
            <w:r>
              <w:rPr>
                <w:rFonts w:ascii="宋体" w:hAnsi="宋体" w:eastAsia="宋体" w:cs="宋体"/>
                <w:sz w:val="18"/>
                <w:szCs w:val="18"/>
              </w:rPr>
              <w:t>677,559.48</w:t>
            </w:r>
          </w:p>
        </w:tc>
        <w:tc>
          <w:tcPr>
            <w:tcW w:w="3213" w:type="dxa"/>
            <w:tcBorders>
              <w:top w:val="single" w:color="auto" w:sz="2" w:space="0"/>
              <w:left w:val="single" w:color="auto" w:sz="2" w:space="0"/>
              <w:bottom w:val="single" w:color="auto" w:sz="2" w:space="0"/>
              <w:right w:val="single" w:color="auto" w:sz="2" w:space="0"/>
            </w:tcBorders>
            <w:vAlign w:val="center"/>
          </w:tcPr>
          <w:p w14:paraId="477E626C">
            <w:pPr>
              <w:spacing w:line="240" w:lineRule="exact"/>
              <w:jc w:val="right"/>
              <w:rPr>
                <w:rFonts w:ascii="宋体" w:hAnsi="宋体" w:eastAsia="宋体" w:cs="宋体"/>
                <w:sz w:val="18"/>
                <w:szCs w:val="18"/>
              </w:rPr>
            </w:pPr>
            <w:r>
              <w:rPr>
                <w:rFonts w:ascii="宋体" w:hAnsi="宋体" w:eastAsia="宋体" w:cs="宋体"/>
                <w:sz w:val="18"/>
                <w:szCs w:val="18"/>
              </w:rPr>
              <w:t>471,595.35</w:t>
            </w:r>
          </w:p>
        </w:tc>
      </w:tr>
      <w:tr w14:paraId="0B1A8860">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3A094E6">
            <w:pPr>
              <w:spacing w:line="240" w:lineRule="exact"/>
              <w:rPr>
                <w:rFonts w:ascii="宋体" w:hAnsi="宋体" w:eastAsia="宋体" w:cs="宋体"/>
                <w:sz w:val="18"/>
                <w:szCs w:val="18"/>
              </w:rPr>
            </w:pPr>
            <w:r>
              <w:rPr>
                <w:rFonts w:ascii="宋体" w:hAnsi="宋体" w:eastAsia="宋体" w:cs="宋体"/>
                <w:sz w:val="18"/>
                <w:szCs w:val="18"/>
              </w:rPr>
              <w:t>安全生产费</w:t>
            </w:r>
          </w:p>
        </w:tc>
        <w:tc>
          <w:tcPr>
            <w:tcW w:w="3213" w:type="dxa"/>
            <w:tcBorders>
              <w:top w:val="single" w:color="auto" w:sz="2" w:space="0"/>
              <w:left w:val="single" w:color="auto" w:sz="2" w:space="0"/>
              <w:bottom w:val="single" w:color="auto" w:sz="2" w:space="0"/>
              <w:right w:val="single" w:color="auto" w:sz="2" w:space="0"/>
            </w:tcBorders>
            <w:vAlign w:val="center"/>
          </w:tcPr>
          <w:p w14:paraId="527D2713">
            <w:pPr>
              <w:spacing w:line="240" w:lineRule="exact"/>
              <w:jc w:val="right"/>
              <w:rPr>
                <w:rFonts w:ascii="宋体" w:hAnsi="宋体" w:eastAsia="宋体" w:cs="宋体"/>
                <w:sz w:val="18"/>
                <w:szCs w:val="18"/>
              </w:rPr>
            </w:pPr>
            <w:r>
              <w:rPr>
                <w:rFonts w:ascii="宋体" w:hAnsi="宋体" w:eastAsia="宋体" w:cs="宋体"/>
                <w:sz w:val="18"/>
                <w:szCs w:val="18"/>
              </w:rPr>
              <w:t>437,466.28</w:t>
            </w:r>
          </w:p>
        </w:tc>
        <w:tc>
          <w:tcPr>
            <w:tcW w:w="3213" w:type="dxa"/>
            <w:tcBorders>
              <w:top w:val="single" w:color="auto" w:sz="2" w:space="0"/>
              <w:left w:val="single" w:color="auto" w:sz="2" w:space="0"/>
              <w:bottom w:val="single" w:color="auto" w:sz="2" w:space="0"/>
              <w:right w:val="single" w:color="auto" w:sz="2" w:space="0"/>
            </w:tcBorders>
            <w:vAlign w:val="center"/>
          </w:tcPr>
          <w:p w14:paraId="2650F6D8">
            <w:pPr>
              <w:spacing w:line="240" w:lineRule="exact"/>
              <w:jc w:val="right"/>
              <w:rPr>
                <w:rFonts w:ascii="宋体" w:hAnsi="宋体" w:eastAsia="宋体" w:cs="宋体"/>
                <w:sz w:val="18"/>
                <w:szCs w:val="18"/>
              </w:rPr>
            </w:pPr>
            <w:r>
              <w:rPr>
                <w:rFonts w:ascii="宋体" w:hAnsi="宋体" w:eastAsia="宋体" w:cs="宋体"/>
                <w:sz w:val="18"/>
                <w:szCs w:val="18"/>
              </w:rPr>
              <w:t>78,728.28</w:t>
            </w:r>
          </w:p>
        </w:tc>
      </w:tr>
      <w:tr w14:paraId="6C06538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3EE7E6E">
            <w:pPr>
              <w:spacing w:line="240" w:lineRule="exact"/>
              <w:rPr>
                <w:rFonts w:ascii="宋体" w:hAnsi="宋体" w:eastAsia="宋体" w:cs="宋体"/>
                <w:sz w:val="18"/>
                <w:szCs w:val="18"/>
              </w:rPr>
            </w:pPr>
            <w:r>
              <w:rPr>
                <w:rFonts w:ascii="宋体" w:hAnsi="宋体" w:eastAsia="宋体" w:cs="宋体"/>
                <w:sz w:val="18"/>
                <w:szCs w:val="18"/>
              </w:rPr>
              <w:t>环境保护费</w:t>
            </w:r>
          </w:p>
        </w:tc>
        <w:tc>
          <w:tcPr>
            <w:tcW w:w="3213" w:type="dxa"/>
            <w:tcBorders>
              <w:top w:val="single" w:color="auto" w:sz="2" w:space="0"/>
              <w:left w:val="single" w:color="auto" w:sz="2" w:space="0"/>
              <w:bottom w:val="single" w:color="auto" w:sz="2" w:space="0"/>
              <w:right w:val="single" w:color="auto" w:sz="2" w:space="0"/>
            </w:tcBorders>
            <w:vAlign w:val="center"/>
          </w:tcPr>
          <w:p w14:paraId="3F74F43D">
            <w:pPr>
              <w:spacing w:line="240" w:lineRule="exact"/>
              <w:jc w:val="right"/>
              <w:rPr>
                <w:rFonts w:ascii="宋体" w:hAnsi="宋体" w:eastAsia="宋体" w:cs="宋体"/>
                <w:sz w:val="18"/>
                <w:szCs w:val="18"/>
              </w:rPr>
            </w:pPr>
            <w:r>
              <w:rPr>
                <w:rFonts w:ascii="宋体" w:hAnsi="宋体" w:eastAsia="宋体" w:cs="宋体"/>
                <w:sz w:val="18"/>
                <w:szCs w:val="18"/>
              </w:rPr>
              <w:t>393,933.70</w:t>
            </w:r>
          </w:p>
        </w:tc>
        <w:tc>
          <w:tcPr>
            <w:tcW w:w="3213" w:type="dxa"/>
            <w:tcBorders>
              <w:top w:val="single" w:color="auto" w:sz="2" w:space="0"/>
              <w:left w:val="single" w:color="auto" w:sz="2" w:space="0"/>
              <w:bottom w:val="single" w:color="auto" w:sz="2" w:space="0"/>
              <w:right w:val="single" w:color="auto" w:sz="2" w:space="0"/>
            </w:tcBorders>
            <w:vAlign w:val="center"/>
          </w:tcPr>
          <w:p w14:paraId="04CA9D6F">
            <w:pPr>
              <w:spacing w:line="240" w:lineRule="exact"/>
              <w:jc w:val="right"/>
              <w:rPr>
                <w:rFonts w:ascii="宋体" w:hAnsi="宋体" w:eastAsia="宋体" w:cs="宋体"/>
                <w:sz w:val="18"/>
                <w:szCs w:val="18"/>
              </w:rPr>
            </w:pPr>
            <w:r>
              <w:rPr>
                <w:rFonts w:ascii="宋体" w:hAnsi="宋体" w:eastAsia="宋体" w:cs="宋体"/>
                <w:sz w:val="18"/>
                <w:szCs w:val="18"/>
              </w:rPr>
              <w:t>565,453.65</w:t>
            </w:r>
          </w:p>
        </w:tc>
      </w:tr>
      <w:tr w14:paraId="778DFDDC">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9C0838B">
            <w:pPr>
              <w:spacing w:line="240" w:lineRule="exact"/>
              <w:rPr>
                <w:rFonts w:ascii="宋体" w:hAnsi="宋体" w:eastAsia="宋体" w:cs="宋体"/>
                <w:sz w:val="18"/>
                <w:szCs w:val="18"/>
              </w:rPr>
            </w:pPr>
            <w:r>
              <w:rPr>
                <w:rFonts w:ascii="宋体" w:hAnsi="宋体" w:eastAsia="宋体" w:cs="宋体"/>
                <w:sz w:val="18"/>
                <w:szCs w:val="18"/>
              </w:rPr>
              <w:t>诉讼及相关费用</w:t>
            </w:r>
          </w:p>
        </w:tc>
        <w:tc>
          <w:tcPr>
            <w:tcW w:w="3213" w:type="dxa"/>
            <w:tcBorders>
              <w:top w:val="single" w:color="auto" w:sz="2" w:space="0"/>
              <w:left w:val="single" w:color="auto" w:sz="2" w:space="0"/>
              <w:bottom w:val="single" w:color="auto" w:sz="2" w:space="0"/>
              <w:right w:val="single" w:color="auto" w:sz="2" w:space="0"/>
            </w:tcBorders>
            <w:vAlign w:val="center"/>
          </w:tcPr>
          <w:p w14:paraId="7983493A">
            <w:pPr>
              <w:spacing w:line="240" w:lineRule="exact"/>
              <w:jc w:val="right"/>
              <w:rPr>
                <w:rFonts w:ascii="宋体" w:hAnsi="宋体" w:eastAsia="宋体" w:cs="宋体"/>
                <w:sz w:val="18"/>
                <w:szCs w:val="18"/>
              </w:rPr>
            </w:pPr>
            <w:r>
              <w:rPr>
                <w:rFonts w:ascii="宋体" w:hAnsi="宋体" w:eastAsia="宋体" w:cs="宋体"/>
                <w:sz w:val="18"/>
                <w:szCs w:val="18"/>
              </w:rPr>
              <w:t>1,825,735.35</w:t>
            </w:r>
          </w:p>
        </w:tc>
        <w:tc>
          <w:tcPr>
            <w:tcW w:w="3213" w:type="dxa"/>
            <w:tcBorders>
              <w:top w:val="single" w:color="auto" w:sz="2" w:space="0"/>
              <w:left w:val="single" w:color="auto" w:sz="2" w:space="0"/>
              <w:bottom w:val="single" w:color="auto" w:sz="2" w:space="0"/>
              <w:right w:val="single" w:color="auto" w:sz="2" w:space="0"/>
            </w:tcBorders>
            <w:vAlign w:val="center"/>
          </w:tcPr>
          <w:p w14:paraId="3C9D3F31">
            <w:pPr>
              <w:spacing w:line="240" w:lineRule="exact"/>
              <w:jc w:val="right"/>
              <w:rPr>
                <w:rFonts w:ascii="宋体" w:hAnsi="宋体" w:eastAsia="宋体" w:cs="宋体"/>
                <w:sz w:val="18"/>
                <w:szCs w:val="18"/>
              </w:rPr>
            </w:pPr>
          </w:p>
        </w:tc>
      </w:tr>
      <w:tr w14:paraId="29AE3832">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D50D091">
            <w:pPr>
              <w:spacing w:line="240" w:lineRule="exact"/>
              <w:rPr>
                <w:rFonts w:ascii="宋体" w:hAnsi="宋体" w:eastAsia="宋体" w:cs="宋体"/>
                <w:sz w:val="18"/>
                <w:szCs w:val="18"/>
              </w:rPr>
            </w:pPr>
            <w:r>
              <w:rPr>
                <w:rFonts w:ascii="宋体" w:hAnsi="宋体" w:eastAsia="宋体" w:cs="宋体"/>
                <w:sz w:val="18"/>
                <w:szCs w:val="18"/>
              </w:rPr>
              <w:t>对外承包费</w:t>
            </w:r>
          </w:p>
        </w:tc>
        <w:tc>
          <w:tcPr>
            <w:tcW w:w="3213" w:type="dxa"/>
            <w:tcBorders>
              <w:top w:val="single" w:color="auto" w:sz="2" w:space="0"/>
              <w:left w:val="single" w:color="auto" w:sz="2" w:space="0"/>
              <w:bottom w:val="single" w:color="auto" w:sz="2" w:space="0"/>
              <w:right w:val="single" w:color="auto" w:sz="2" w:space="0"/>
            </w:tcBorders>
            <w:vAlign w:val="center"/>
          </w:tcPr>
          <w:p w14:paraId="405E1707">
            <w:pPr>
              <w:spacing w:line="240" w:lineRule="exact"/>
              <w:jc w:val="right"/>
              <w:rPr>
                <w:rFonts w:ascii="宋体" w:hAnsi="宋体" w:eastAsia="宋体" w:cs="宋体"/>
                <w:sz w:val="18"/>
                <w:szCs w:val="18"/>
              </w:rPr>
            </w:pPr>
            <w:r>
              <w:rPr>
                <w:rFonts w:ascii="宋体" w:hAnsi="宋体" w:eastAsia="宋体" w:cs="宋体"/>
                <w:sz w:val="18"/>
                <w:szCs w:val="18"/>
              </w:rPr>
              <w:t>339,734.00</w:t>
            </w:r>
          </w:p>
        </w:tc>
        <w:tc>
          <w:tcPr>
            <w:tcW w:w="3213" w:type="dxa"/>
            <w:tcBorders>
              <w:top w:val="single" w:color="auto" w:sz="2" w:space="0"/>
              <w:left w:val="single" w:color="auto" w:sz="2" w:space="0"/>
              <w:bottom w:val="single" w:color="auto" w:sz="2" w:space="0"/>
              <w:right w:val="single" w:color="auto" w:sz="2" w:space="0"/>
            </w:tcBorders>
            <w:vAlign w:val="center"/>
          </w:tcPr>
          <w:p w14:paraId="74A644E7">
            <w:pPr>
              <w:spacing w:line="240" w:lineRule="exact"/>
              <w:jc w:val="right"/>
              <w:rPr>
                <w:rFonts w:ascii="宋体" w:hAnsi="宋体" w:eastAsia="宋体" w:cs="宋体"/>
                <w:sz w:val="18"/>
                <w:szCs w:val="18"/>
              </w:rPr>
            </w:pPr>
          </w:p>
        </w:tc>
      </w:tr>
      <w:tr w14:paraId="13F90D8A">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BAEADC2">
            <w:pPr>
              <w:spacing w:line="240" w:lineRule="exac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174CABEB">
            <w:pPr>
              <w:spacing w:line="240" w:lineRule="exact"/>
              <w:jc w:val="right"/>
              <w:rPr>
                <w:rFonts w:ascii="宋体" w:hAnsi="宋体" w:eastAsia="宋体" w:cs="宋体"/>
                <w:sz w:val="18"/>
                <w:szCs w:val="18"/>
              </w:rPr>
            </w:pPr>
            <w:r>
              <w:rPr>
                <w:rFonts w:ascii="宋体" w:hAnsi="宋体" w:eastAsia="宋体" w:cs="宋体"/>
                <w:sz w:val="18"/>
                <w:szCs w:val="18"/>
              </w:rPr>
              <w:t>3,628,312.83</w:t>
            </w:r>
          </w:p>
        </w:tc>
        <w:tc>
          <w:tcPr>
            <w:tcW w:w="3213" w:type="dxa"/>
            <w:tcBorders>
              <w:top w:val="single" w:color="auto" w:sz="2" w:space="0"/>
              <w:left w:val="single" w:color="auto" w:sz="2" w:space="0"/>
              <w:bottom w:val="single" w:color="auto" w:sz="2" w:space="0"/>
              <w:right w:val="single" w:color="auto" w:sz="2" w:space="0"/>
            </w:tcBorders>
            <w:vAlign w:val="center"/>
          </w:tcPr>
          <w:p w14:paraId="736C11F0">
            <w:pPr>
              <w:spacing w:line="240" w:lineRule="exact"/>
              <w:jc w:val="right"/>
              <w:rPr>
                <w:rFonts w:ascii="宋体" w:hAnsi="宋体" w:eastAsia="宋体" w:cs="宋体"/>
                <w:sz w:val="18"/>
                <w:szCs w:val="18"/>
              </w:rPr>
            </w:pPr>
            <w:r>
              <w:rPr>
                <w:rFonts w:ascii="宋体" w:hAnsi="宋体" w:eastAsia="宋体" w:cs="宋体"/>
                <w:sz w:val="18"/>
                <w:szCs w:val="18"/>
              </w:rPr>
              <w:t>2,248,979.70</w:t>
            </w:r>
          </w:p>
        </w:tc>
      </w:tr>
      <w:tr w14:paraId="6BD7493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892998">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D0D8A7B">
            <w:pPr>
              <w:spacing w:line="240" w:lineRule="exact"/>
              <w:jc w:val="right"/>
              <w:rPr>
                <w:rFonts w:ascii="宋体" w:hAnsi="宋体" w:eastAsia="宋体" w:cs="宋体"/>
                <w:sz w:val="18"/>
                <w:szCs w:val="18"/>
              </w:rPr>
            </w:pPr>
            <w:r>
              <w:rPr>
                <w:rFonts w:ascii="宋体" w:hAnsi="宋体" w:eastAsia="宋体" w:cs="宋体"/>
                <w:sz w:val="18"/>
                <w:szCs w:val="18"/>
              </w:rPr>
              <w:t>30,408,031.46</w:t>
            </w:r>
          </w:p>
        </w:tc>
        <w:tc>
          <w:tcPr>
            <w:tcW w:w="3213" w:type="dxa"/>
            <w:tcBorders>
              <w:top w:val="single" w:color="auto" w:sz="2" w:space="0"/>
              <w:left w:val="single" w:color="auto" w:sz="2" w:space="0"/>
              <w:bottom w:val="single" w:color="auto" w:sz="2" w:space="0"/>
              <w:right w:val="single" w:color="auto" w:sz="2" w:space="0"/>
            </w:tcBorders>
            <w:vAlign w:val="center"/>
          </w:tcPr>
          <w:p w14:paraId="7B86577D">
            <w:pPr>
              <w:spacing w:line="240" w:lineRule="exact"/>
              <w:jc w:val="right"/>
              <w:rPr>
                <w:rFonts w:ascii="宋体" w:hAnsi="宋体" w:eastAsia="宋体" w:cs="宋体"/>
                <w:sz w:val="18"/>
                <w:szCs w:val="18"/>
              </w:rPr>
            </w:pPr>
            <w:r>
              <w:rPr>
                <w:rFonts w:ascii="宋体" w:hAnsi="宋体" w:eastAsia="宋体" w:cs="宋体"/>
                <w:sz w:val="18"/>
                <w:szCs w:val="18"/>
              </w:rPr>
              <w:t>13,907,678.82</w:t>
            </w:r>
          </w:p>
        </w:tc>
      </w:tr>
    </w:tbl>
    <w:p w14:paraId="38BE3719">
      <w:pPr>
        <w:spacing w:before="100" w:after="100" w:line="240" w:lineRule="exact"/>
      </w:pPr>
      <w:r>
        <w:rPr>
          <w:rFonts w:ascii="宋体" w:hAnsi="宋体" w:eastAsia="宋体" w:cs="宋体"/>
          <w:sz w:val="18"/>
          <w:szCs w:val="18"/>
        </w:rPr>
        <w:t>其他说明</w:t>
      </w:r>
    </w:p>
    <w:p w14:paraId="1E1A603F">
      <w:pPr>
        <w:pStyle w:val="3"/>
        <w:spacing w:after="100" w:line="280" w:lineRule="exact"/>
        <w:jc w:val="left"/>
        <w:rPr>
          <w:rFonts w:ascii="宋体" w:hAnsi="宋体" w:cs="宋体"/>
          <w:b/>
          <w:bCs/>
        </w:rPr>
      </w:pPr>
      <w:bookmarkStart w:id="352" w:name="_Toc989241"/>
      <w:r>
        <w:rPr>
          <w:rFonts w:ascii="宋体" w:hAnsi="宋体" w:cs="宋体"/>
          <w:b/>
          <w:bCs/>
        </w:rPr>
        <w:t>64、销售费用</w:t>
      </w:r>
      <w:bookmarkEnd w:id="352"/>
    </w:p>
    <w:p w14:paraId="74EB02B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344A76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D3F84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E9894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451507">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3CBBD66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BD5F50C">
            <w:pPr>
              <w:spacing w:line="240" w:lineRule="exact"/>
              <w:rPr>
                <w:rFonts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A26D222">
            <w:pPr>
              <w:spacing w:line="240" w:lineRule="exact"/>
              <w:jc w:val="right"/>
              <w:rPr>
                <w:rFonts w:ascii="宋体" w:hAnsi="宋体" w:eastAsia="宋体" w:cs="宋体"/>
                <w:sz w:val="18"/>
                <w:szCs w:val="18"/>
              </w:rPr>
            </w:pPr>
            <w:r>
              <w:rPr>
                <w:rFonts w:ascii="宋体" w:hAnsi="宋体" w:eastAsia="宋体" w:cs="宋体"/>
                <w:sz w:val="18"/>
                <w:szCs w:val="18"/>
              </w:rPr>
              <w:t>2,160,040.08</w:t>
            </w:r>
          </w:p>
        </w:tc>
        <w:tc>
          <w:tcPr>
            <w:tcW w:w="3213" w:type="dxa"/>
            <w:tcBorders>
              <w:top w:val="single" w:color="auto" w:sz="2" w:space="0"/>
              <w:left w:val="single" w:color="auto" w:sz="2" w:space="0"/>
              <w:bottom w:val="single" w:color="auto" w:sz="2" w:space="0"/>
              <w:right w:val="single" w:color="auto" w:sz="2" w:space="0"/>
            </w:tcBorders>
            <w:vAlign w:val="center"/>
          </w:tcPr>
          <w:p w14:paraId="1E584E2D">
            <w:pPr>
              <w:spacing w:line="240" w:lineRule="exact"/>
              <w:jc w:val="right"/>
              <w:rPr>
                <w:rFonts w:ascii="宋体" w:hAnsi="宋体" w:eastAsia="宋体" w:cs="宋体"/>
                <w:sz w:val="18"/>
                <w:szCs w:val="18"/>
              </w:rPr>
            </w:pPr>
            <w:r>
              <w:rPr>
                <w:rFonts w:ascii="宋体" w:hAnsi="宋体" w:eastAsia="宋体" w:cs="宋体"/>
                <w:sz w:val="18"/>
                <w:szCs w:val="18"/>
              </w:rPr>
              <w:t>2,430,365.35</w:t>
            </w:r>
          </w:p>
        </w:tc>
      </w:tr>
      <w:tr w14:paraId="7B6C63E9">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1E421C">
            <w:pPr>
              <w:spacing w:line="240" w:lineRule="exact"/>
              <w:rPr>
                <w:rFonts w:ascii="宋体" w:hAnsi="宋体" w:eastAsia="宋体" w:cs="宋体"/>
                <w:sz w:val="18"/>
                <w:szCs w:val="18"/>
              </w:rPr>
            </w:pPr>
            <w:r>
              <w:rPr>
                <w:rFonts w:ascii="宋体" w:hAnsi="宋体" w:eastAsia="宋体" w:cs="宋体"/>
                <w:sz w:val="18"/>
                <w:szCs w:val="18"/>
              </w:rPr>
              <w:t>差旅费</w:t>
            </w:r>
          </w:p>
        </w:tc>
        <w:tc>
          <w:tcPr>
            <w:tcW w:w="3213" w:type="dxa"/>
            <w:tcBorders>
              <w:top w:val="single" w:color="auto" w:sz="2" w:space="0"/>
              <w:left w:val="single" w:color="auto" w:sz="2" w:space="0"/>
              <w:bottom w:val="single" w:color="auto" w:sz="2" w:space="0"/>
              <w:right w:val="single" w:color="auto" w:sz="2" w:space="0"/>
            </w:tcBorders>
            <w:vAlign w:val="center"/>
          </w:tcPr>
          <w:p w14:paraId="5CDAE138">
            <w:pPr>
              <w:spacing w:line="240" w:lineRule="exact"/>
              <w:jc w:val="right"/>
              <w:rPr>
                <w:rFonts w:ascii="宋体" w:hAnsi="宋体" w:eastAsia="宋体" w:cs="宋体"/>
                <w:sz w:val="18"/>
                <w:szCs w:val="18"/>
              </w:rPr>
            </w:pPr>
            <w:r>
              <w:rPr>
                <w:rFonts w:ascii="宋体" w:hAnsi="宋体" w:eastAsia="宋体" w:cs="宋体"/>
                <w:sz w:val="18"/>
                <w:szCs w:val="18"/>
              </w:rPr>
              <w:t>114,445.68</w:t>
            </w:r>
          </w:p>
        </w:tc>
        <w:tc>
          <w:tcPr>
            <w:tcW w:w="3213" w:type="dxa"/>
            <w:tcBorders>
              <w:top w:val="single" w:color="auto" w:sz="2" w:space="0"/>
              <w:left w:val="single" w:color="auto" w:sz="2" w:space="0"/>
              <w:bottom w:val="single" w:color="auto" w:sz="2" w:space="0"/>
              <w:right w:val="single" w:color="auto" w:sz="2" w:space="0"/>
            </w:tcBorders>
            <w:vAlign w:val="center"/>
          </w:tcPr>
          <w:p w14:paraId="53FF1243">
            <w:pPr>
              <w:spacing w:line="240" w:lineRule="exact"/>
              <w:jc w:val="right"/>
              <w:rPr>
                <w:rFonts w:ascii="宋体" w:hAnsi="宋体" w:eastAsia="宋体" w:cs="宋体"/>
                <w:sz w:val="18"/>
                <w:szCs w:val="18"/>
              </w:rPr>
            </w:pPr>
            <w:r>
              <w:rPr>
                <w:rFonts w:ascii="宋体" w:hAnsi="宋体" w:eastAsia="宋体" w:cs="宋体"/>
                <w:sz w:val="18"/>
                <w:szCs w:val="18"/>
              </w:rPr>
              <w:t>143,041.39</w:t>
            </w:r>
          </w:p>
        </w:tc>
      </w:tr>
      <w:tr w14:paraId="1321EC98">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841DE1B">
            <w:pPr>
              <w:spacing w:line="240" w:lineRule="exact"/>
              <w:rPr>
                <w:rFonts w:ascii="宋体" w:hAnsi="宋体" w:eastAsia="宋体" w:cs="宋体"/>
                <w:sz w:val="18"/>
                <w:szCs w:val="18"/>
              </w:rPr>
            </w:pPr>
            <w:r>
              <w:rPr>
                <w:rFonts w:ascii="宋体" w:hAnsi="宋体" w:eastAsia="宋体" w:cs="宋体"/>
                <w:sz w:val="18"/>
                <w:szCs w:val="18"/>
              </w:rPr>
              <w:t>促销费</w:t>
            </w:r>
          </w:p>
        </w:tc>
        <w:tc>
          <w:tcPr>
            <w:tcW w:w="3213" w:type="dxa"/>
            <w:tcBorders>
              <w:top w:val="single" w:color="auto" w:sz="2" w:space="0"/>
              <w:left w:val="single" w:color="auto" w:sz="2" w:space="0"/>
              <w:bottom w:val="single" w:color="auto" w:sz="2" w:space="0"/>
              <w:right w:val="single" w:color="auto" w:sz="2" w:space="0"/>
            </w:tcBorders>
            <w:vAlign w:val="center"/>
          </w:tcPr>
          <w:p w14:paraId="61F25A0B">
            <w:pPr>
              <w:spacing w:line="240" w:lineRule="exact"/>
              <w:jc w:val="right"/>
              <w:rPr>
                <w:rFonts w:ascii="宋体" w:hAnsi="宋体" w:eastAsia="宋体" w:cs="宋体"/>
                <w:sz w:val="18"/>
                <w:szCs w:val="18"/>
              </w:rPr>
            </w:pPr>
            <w:r>
              <w:rPr>
                <w:rFonts w:ascii="宋体" w:hAnsi="宋体" w:eastAsia="宋体" w:cs="宋体"/>
                <w:sz w:val="18"/>
                <w:szCs w:val="18"/>
              </w:rPr>
              <w:t>1,088,535.00</w:t>
            </w:r>
          </w:p>
        </w:tc>
        <w:tc>
          <w:tcPr>
            <w:tcW w:w="3213" w:type="dxa"/>
            <w:tcBorders>
              <w:top w:val="single" w:color="auto" w:sz="2" w:space="0"/>
              <w:left w:val="single" w:color="auto" w:sz="2" w:space="0"/>
              <w:bottom w:val="single" w:color="auto" w:sz="2" w:space="0"/>
              <w:right w:val="single" w:color="auto" w:sz="2" w:space="0"/>
            </w:tcBorders>
            <w:vAlign w:val="center"/>
          </w:tcPr>
          <w:p w14:paraId="29754698">
            <w:pPr>
              <w:spacing w:line="240" w:lineRule="exact"/>
              <w:jc w:val="right"/>
              <w:rPr>
                <w:rFonts w:ascii="宋体" w:hAnsi="宋体" w:eastAsia="宋体" w:cs="宋体"/>
                <w:sz w:val="18"/>
                <w:szCs w:val="18"/>
              </w:rPr>
            </w:pPr>
          </w:p>
        </w:tc>
      </w:tr>
      <w:tr w14:paraId="5B8EA53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77E3F9D">
            <w:pPr>
              <w:spacing w:line="240" w:lineRule="exact"/>
              <w:rPr>
                <w:rFonts w:ascii="宋体" w:hAnsi="宋体" w:eastAsia="宋体" w:cs="宋体"/>
                <w:sz w:val="18"/>
                <w:szCs w:val="18"/>
              </w:rPr>
            </w:pPr>
            <w:r>
              <w:rPr>
                <w:rFonts w:ascii="宋体" w:hAnsi="宋体" w:eastAsia="宋体" w:cs="宋体"/>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615B2CF2">
            <w:pPr>
              <w:spacing w:line="240" w:lineRule="exact"/>
              <w:jc w:val="right"/>
              <w:rPr>
                <w:rFonts w:ascii="宋体" w:hAnsi="宋体" w:eastAsia="宋体" w:cs="宋体"/>
                <w:sz w:val="18"/>
                <w:szCs w:val="18"/>
              </w:rPr>
            </w:pPr>
            <w:r>
              <w:rPr>
                <w:rFonts w:ascii="宋体" w:hAnsi="宋体" w:eastAsia="宋体" w:cs="宋体"/>
                <w:sz w:val="18"/>
                <w:szCs w:val="18"/>
              </w:rPr>
              <w:t>83,817.39</w:t>
            </w:r>
          </w:p>
        </w:tc>
        <w:tc>
          <w:tcPr>
            <w:tcW w:w="3213" w:type="dxa"/>
            <w:tcBorders>
              <w:top w:val="single" w:color="auto" w:sz="2" w:space="0"/>
              <w:left w:val="single" w:color="auto" w:sz="2" w:space="0"/>
              <w:bottom w:val="single" w:color="auto" w:sz="2" w:space="0"/>
              <w:right w:val="single" w:color="auto" w:sz="2" w:space="0"/>
            </w:tcBorders>
            <w:vAlign w:val="center"/>
          </w:tcPr>
          <w:p w14:paraId="01D821A0">
            <w:pPr>
              <w:spacing w:line="240" w:lineRule="exact"/>
              <w:jc w:val="right"/>
              <w:rPr>
                <w:rFonts w:ascii="宋体" w:hAnsi="宋体" w:eastAsia="宋体" w:cs="宋体"/>
                <w:sz w:val="18"/>
                <w:szCs w:val="18"/>
              </w:rPr>
            </w:pPr>
            <w:r>
              <w:rPr>
                <w:rFonts w:ascii="宋体" w:hAnsi="宋体" w:eastAsia="宋体" w:cs="宋体"/>
                <w:sz w:val="18"/>
                <w:szCs w:val="18"/>
              </w:rPr>
              <w:t>63,623.98</w:t>
            </w:r>
          </w:p>
        </w:tc>
      </w:tr>
      <w:tr w14:paraId="37E5F64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A64B0EF">
            <w:pPr>
              <w:spacing w:line="240" w:lineRule="exact"/>
              <w:rPr>
                <w:rFonts w:ascii="宋体" w:hAnsi="宋体" w:eastAsia="宋体" w:cs="宋体"/>
                <w:sz w:val="18"/>
                <w:szCs w:val="18"/>
              </w:rPr>
            </w:pPr>
            <w:r>
              <w:rPr>
                <w:rFonts w:ascii="宋体" w:hAnsi="宋体" w:eastAsia="宋体" w:cs="宋体"/>
                <w:sz w:val="18"/>
                <w:szCs w:val="18"/>
              </w:rPr>
              <w:t>折旧费</w:t>
            </w:r>
          </w:p>
        </w:tc>
        <w:tc>
          <w:tcPr>
            <w:tcW w:w="3213" w:type="dxa"/>
            <w:tcBorders>
              <w:top w:val="single" w:color="auto" w:sz="2" w:space="0"/>
              <w:left w:val="single" w:color="auto" w:sz="2" w:space="0"/>
              <w:bottom w:val="single" w:color="auto" w:sz="2" w:space="0"/>
              <w:right w:val="single" w:color="auto" w:sz="2" w:space="0"/>
            </w:tcBorders>
            <w:vAlign w:val="center"/>
          </w:tcPr>
          <w:p w14:paraId="53E480AA">
            <w:pPr>
              <w:spacing w:line="240" w:lineRule="exact"/>
              <w:jc w:val="right"/>
              <w:rPr>
                <w:rFonts w:ascii="宋体" w:hAnsi="宋体" w:eastAsia="宋体" w:cs="宋体"/>
                <w:sz w:val="18"/>
                <w:szCs w:val="18"/>
              </w:rPr>
            </w:pPr>
            <w:r>
              <w:rPr>
                <w:rFonts w:ascii="宋体" w:hAnsi="宋体" w:eastAsia="宋体" w:cs="宋体"/>
                <w:sz w:val="18"/>
                <w:szCs w:val="18"/>
              </w:rPr>
              <w:t>164,959.38</w:t>
            </w:r>
          </w:p>
        </w:tc>
        <w:tc>
          <w:tcPr>
            <w:tcW w:w="3213" w:type="dxa"/>
            <w:tcBorders>
              <w:top w:val="single" w:color="auto" w:sz="2" w:space="0"/>
              <w:left w:val="single" w:color="auto" w:sz="2" w:space="0"/>
              <w:bottom w:val="single" w:color="auto" w:sz="2" w:space="0"/>
              <w:right w:val="single" w:color="auto" w:sz="2" w:space="0"/>
            </w:tcBorders>
            <w:vAlign w:val="center"/>
          </w:tcPr>
          <w:p w14:paraId="0028CA4F">
            <w:pPr>
              <w:spacing w:line="240" w:lineRule="exact"/>
              <w:jc w:val="right"/>
              <w:rPr>
                <w:rFonts w:ascii="宋体" w:hAnsi="宋体" w:eastAsia="宋体" w:cs="宋体"/>
                <w:sz w:val="18"/>
                <w:szCs w:val="18"/>
              </w:rPr>
            </w:pPr>
            <w:r>
              <w:rPr>
                <w:rFonts w:ascii="宋体" w:hAnsi="宋体" w:eastAsia="宋体" w:cs="宋体"/>
                <w:sz w:val="18"/>
                <w:szCs w:val="18"/>
              </w:rPr>
              <w:t>101,048.12</w:t>
            </w:r>
          </w:p>
        </w:tc>
      </w:tr>
      <w:tr w14:paraId="4CD13842">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C265A91">
            <w:pPr>
              <w:spacing w:line="240" w:lineRule="exact"/>
              <w:rPr>
                <w:rFonts w:ascii="宋体" w:hAnsi="宋体" w:eastAsia="宋体" w:cs="宋体"/>
                <w:sz w:val="18"/>
                <w:szCs w:val="18"/>
              </w:rPr>
            </w:pPr>
            <w:r>
              <w:rPr>
                <w:rFonts w:ascii="宋体" w:hAnsi="宋体" w:eastAsia="宋体" w:cs="宋体"/>
                <w:sz w:val="18"/>
                <w:szCs w:val="18"/>
              </w:rPr>
              <w:t>运费</w:t>
            </w:r>
          </w:p>
        </w:tc>
        <w:tc>
          <w:tcPr>
            <w:tcW w:w="3213" w:type="dxa"/>
            <w:tcBorders>
              <w:top w:val="single" w:color="auto" w:sz="2" w:space="0"/>
              <w:left w:val="single" w:color="auto" w:sz="2" w:space="0"/>
              <w:bottom w:val="single" w:color="auto" w:sz="2" w:space="0"/>
              <w:right w:val="single" w:color="auto" w:sz="2" w:space="0"/>
            </w:tcBorders>
            <w:vAlign w:val="center"/>
          </w:tcPr>
          <w:p w14:paraId="366D1AD5">
            <w:pPr>
              <w:spacing w:line="240" w:lineRule="exact"/>
              <w:jc w:val="right"/>
              <w:rPr>
                <w:rFonts w:ascii="宋体" w:hAnsi="宋体" w:eastAsia="宋体" w:cs="宋体"/>
                <w:sz w:val="18"/>
                <w:szCs w:val="18"/>
              </w:rPr>
            </w:pPr>
            <w:r>
              <w:rPr>
                <w:rFonts w:ascii="宋体" w:hAnsi="宋体" w:eastAsia="宋体" w:cs="宋体"/>
                <w:sz w:val="18"/>
                <w:szCs w:val="18"/>
              </w:rPr>
              <w:t>70,922.17</w:t>
            </w:r>
          </w:p>
        </w:tc>
        <w:tc>
          <w:tcPr>
            <w:tcW w:w="3213" w:type="dxa"/>
            <w:tcBorders>
              <w:top w:val="single" w:color="auto" w:sz="2" w:space="0"/>
              <w:left w:val="single" w:color="auto" w:sz="2" w:space="0"/>
              <w:bottom w:val="single" w:color="auto" w:sz="2" w:space="0"/>
              <w:right w:val="single" w:color="auto" w:sz="2" w:space="0"/>
            </w:tcBorders>
            <w:vAlign w:val="center"/>
          </w:tcPr>
          <w:p w14:paraId="12AB3306">
            <w:pPr>
              <w:spacing w:line="240" w:lineRule="exact"/>
              <w:jc w:val="right"/>
              <w:rPr>
                <w:rFonts w:ascii="宋体" w:hAnsi="宋体" w:eastAsia="宋体" w:cs="宋体"/>
                <w:sz w:val="18"/>
                <w:szCs w:val="18"/>
              </w:rPr>
            </w:pPr>
            <w:r>
              <w:rPr>
                <w:rFonts w:ascii="宋体" w:hAnsi="宋体" w:eastAsia="宋体" w:cs="宋体"/>
                <w:sz w:val="18"/>
                <w:szCs w:val="18"/>
              </w:rPr>
              <w:t>30,489.12</w:t>
            </w:r>
          </w:p>
        </w:tc>
      </w:tr>
      <w:tr w14:paraId="4C1C9116">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16815F8">
            <w:pPr>
              <w:spacing w:line="240" w:lineRule="exact"/>
              <w:rPr>
                <w:rFonts w:ascii="宋体" w:hAnsi="宋体" w:eastAsia="宋体" w:cs="宋体"/>
                <w:sz w:val="18"/>
                <w:szCs w:val="18"/>
              </w:rPr>
            </w:pPr>
            <w:r>
              <w:rPr>
                <w:rFonts w:ascii="宋体" w:hAnsi="宋体" w:eastAsia="宋体" w:cs="宋体"/>
                <w:sz w:val="18"/>
                <w:szCs w:val="18"/>
              </w:rPr>
              <w:t>商品损毁</w:t>
            </w:r>
          </w:p>
        </w:tc>
        <w:tc>
          <w:tcPr>
            <w:tcW w:w="3213" w:type="dxa"/>
            <w:tcBorders>
              <w:top w:val="single" w:color="auto" w:sz="2" w:space="0"/>
              <w:left w:val="single" w:color="auto" w:sz="2" w:space="0"/>
              <w:bottom w:val="single" w:color="auto" w:sz="2" w:space="0"/>
              <w:right w:val="single" w:color="auto" w:sz="2" w:space="0"/>
            </w:tcBorders>
            <w:vAlign w:val="center"/>
          </w:tcPr>
          <w:p w14:paraId="611F8456">
            <w:pPr>
              <w:spacing w:line="240" w:lineRule="exact"/>
              <w:jc w:val="right"/>
              <w:rPr>
                <w:rFonts w:ascii="宋体" w:hAnsi="宋体" w:eastAsia="宋体" w:cs="宋体"/>
                <w:sz w:val="18"/>
                <w:szCs w:val="18"/>
              </w:rPr>
            </w:pPr>
            <w:r>
              <w:rPr>
                <w:rFonts w:ascii="宋体" w:hAnsi="宋体" w:eastAsia="宋体" w:cs="宋体"/>
                <w:sz w:val="18"/>
                <w:szCs w:val="18"/>
              </w:rPr>
              <w:t>290,925.47</w:t>
            </w:r>
          </w:p>
        </w:tc>
        <w:tc>
          <w:tcPr>
            <w:tcW w:w="3213" w:type="dxa"/>
            <w:tcBorders>
              <w:top w:val="single" w:color="auto" w:sz="2" w:space="0"/>
              <w:left w:val="single" w:color="auto" w:sz="2" w:space="0"/>
              <w:bottom w:val="single" w:color="auto" w:sz="2" w:space="0"/>
              <w:right w:val="single" w:color="auto" w:sz="2" w:space="0"/>
            </w:tcBorders>
            <w:vAlign w:val="center"/>
          </w:tcPr>
          <w:p w14:paraId="1124CEC2">
            <w:pPr>
              <w:spacing w:line="240" w:lineRule="exact"/>
              <w:jc w:val="right"/>
              <w:rPr>
                <w:rFonts w:ascii="宋体" w:hAnsi="宋体" w:eastAsia="宋体" w:cs="宋体"/>
                <w:sz w:val="18"/>
                <w:szCs w:val="18"/>
              </w:rPr>
            </w:pPr>
            <w:r>
              <w:rPr>
                <w:rFonts w:ascii="宋体" w:hAnsi="宋体" w:eastAsia="宋体" w:cs="宋体"/>
                <w:sz w:val="18"/>
                <w:szCs w:val="18"/>
              </w:rPr>
              <w:t>339,929.68</w:t>
            </w:r>
          </w:p>
        </w:tc>
      </w:tr>
      <w:tr w14:paraId="5DD4D065">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EF6E410">
            <w:pPr>
              <w:spacing w:line="240" w:lineRule="exact"/>
              <w:rPr>
                <w:rFonts w:ascii="宋体" w:hAnsi="宋体" w:eastAsia="宋体" w:cs="宋体"/>
                <w:sz w:val="18"/>
                <w:szCs w:val="18"/>
              </w:rPr>
            </w:pPr>
            <w:r>
              <w:rPr>
                <w:rFonts w:ascii="宋体" w:hAnsi="宋体" w:eastAsia="宋体" w:cs="宋体"/>
                <w:sz w:val="18"/>
                <w:szCs w:val="18"/>
              </w:rPr>
              <w:t>广告宣传费</w:t>
            </w:r>
          </w:p>
        </w:tc>
        <w:tc>
          <w:tcPr>
            <w:tcW w:w="3213" w:type="dxa"/>
            <w:tcBorders>
              <w:top w:val="single" w:color="auto" w:sz="2" w:space="0"/>
              <w:left w:val="single" w:color="auto" w:sz="2" w:space="0"/>
              <w:bottom w:val="single" w:color="auto" w:sz="2" w:space="0"/>
              <w:right w:val="single" w:color="auto" w:sz="2" w:space="0"/>
            </w:tcBorders>
            <w:vAlign w:val="center"/>
          </w:tcPr>
          <w:p w14:paraId="6098294E">
            <w:pPr>
              <w:spacing w:line="240" w:lineRule="exact"/>
              <w:jc w:val="right"/>
              <w:rPr>
                <w:rFonts w:ascii="宋体" w:hAnsi="宋体" w:eastAsia="宋体" w:cs="宋体"/>
                <w:sz w:val="18"/>
                <w:szCs w:val="18"/>
              </w:rPr>
            </w:pPr>
            <w:r>
              <w:rPr>
                <w:rFonts w:ascii="宋体" w:hAnsi="宋体" w:eastAsia="宋体" w:cs="宋体"/>
                <w:sz w:val="18"/>
                <w:szCs w:val="18"/>
              </w:rPr>
              <w:t>967,429.42</w:t>
            </w:r>
          </w:p>
        </w:tc>
        <w:tc>
          <w:tcPr>
            <w:tcW w:w="3213" w:type="dxa"/>
            <w:tcBorders>
              <w:top w:val="single" w:color="auto" w:sz="2" w:space="0"/>
              <w:left w:val="single" w:color="auto" w:sz="2" w:space="0"/>
              <w:bottom w:val="single" w:color="auto" w:sz="2" w:space="0"/>
              <w:right w:val="single" w:color="auto" w:sz="2" w:space="0"/>
            </w:tcBorders>
            <w:vAlign w:val="center"/>
          </w:tcPr>
          <w:p w14:paraId="487579F7">
            <w:pPr>
              <w:spacing w:line="240" w:lineRule="exact"/>
              <w:jc w:val="right"/>
              <w:rPr>
                <w:rFonts w:ascii="宋体" w:hAnsi="宋体" w:eastAsia="宋体" w:cs="宋体"/>
                <w:sz w:val="18"/>
                <w:szCs w:val="18"/>
              </w:rPr>
            </w:pPr>
            <w:r>
              <w:rPr>
                <w:rFonts w:ascii="宋体" w:hAnsi="宋体" w:eastAsia="宋体" w:cs="宋体"/>
                <w:sz w:val="18"/>
                <w:szCs w:val="18"/>
              </w:rPr>
              <w:t>168,822.00</w:t>
            </w:r>
          </w:p>
        </w:tc>
      </w:tr>
      <w:tr w14:paraId="66D49031">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84BA076">
            <w:pPr>
              <w:spacing w:line="240" w:lineRule="exact"/>
              <w:rPr>
                <w:rFonts w:ascii="宋体" w:hAnsi="宋体" w:eastAsia="宋体" w:cs="宋体"/>
                <w:sz w:val="18"/>
                <w:szCs w:val="18"/>
              </w:rPr>
            </w:pPr>
            <w:r>
              <w:rPr>
                <w:rFonts w:ascii="宋体" w:hAnsi="宋体" w:eastAsia="宋体" w:cs="宋体"/>
                <w:sz w:val="18"/>
                <w:szCs w:val="18"/>
              </w:rPr>
              <w:t>材料及维修费</w:t>
            </w:r>
          </w:p>
        </w:tc>
        <w:tc>
          <w:tcPr>
            <w:tcW w:w="3213" w:type="dxa"/>
            <w:tcBorders>
              <w:top w:val="single" w:color="auto" w:sz="2" w:space="0"/>
              <w:left w:val="single" w:color="auto" w:sz="2" w:space="0"/>
              <w:bottom w:val="single" w:color="auto" w:sz="2" w:space="0"/>
              <w:right w:val="single" w:color="auto" w:sz="2" w:space="0"/>
            </w:tcBorders>
            <w:vAlign w:val="center"/>
          </w:tcPr>
          <w:p w14:paraId="1857ACAE">
            <w:pPr>
              <w:spacing w:line="240" w:lineRule="exact"/>
              <w:jc w:val="right"/>
              <w:rPr>
                <w:rFonts w:ascii="宋体" w:hAnsi="宋体" w:eastAsia="宋体" w:cs="宋体"/>
                <w:sz w:val="18"/>
                <w:szCs w:val="18"/>
              </w:rPr>
            </w:pPr>
            <w:r>
              <w:rPr>
                <w:rFonts w:ascii="宋体" w:hAnsi="宋体" w:eastAsia="宋体" w:cs="宋体"/>
                <w:sz w:val="18"/>
                <w:szCs w:val="18"/>
              </w:rPr>
              <w:t>110,967.38</w:t>
            </w:r>
          </w:p>
        </w:tc>
        <w:tc>
          <w:tcPr>
            <w:tcW w:w="3213" w:type="dxa"/>
            <w:tcBorders>
              <w:top w:val="single" w:color="auto" w:sz="2" w:space="0"/>
              <w:left w:val="single" w:color="auto" w:sz="2" w:space="0"/>
              <w:bottom w:val="single" w:color="auto" w:sz="2" w:space="0"/>
              <w:right w:val="single" w:color="auto" w:sz="2" w:space="0"/>
            </w:tcBorders>
            <w:vAlign w:val="center"/>
          </w:tcPr>
          <w:p w14:paraId="76885292">
            <w:pPr>
              <w:spacing w:line="240" w:lineRule="exact"/>
              <w:jc w:val="right"/>
              <w:rPr>
                <w:rFonts w:ascii="宋体" w:hAnsi="宋体" w:eastAsia="宋体" w:cs="宋体"/>
                <w:sz w:val="18"/>
                <w:szCs w:val="18"/>
              </w:rPr>
            </w:pPr>
            <w:r>
              <w:rPr>
                <w:rFonts w:ascii="宋体" w:hAnsi="宋体" w:eastAsia="宋体" w:cs="宋体"/>
                <w:sz w:val="18"/>
                <w:szCs w:val="18"/>
              </w:rPr>
              <w:t>183,900.30</w:t>
            </w:r>
          </w:p>
        </w:tc>
      </w:tr>
      <w:tr w14:paraId="2962FA8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3AC8A09">
            <w:pPr>
              <w:spacing w:line="240" w:lineRule="exact"/>
              <w:rPr>
                <w:rFonts w:ascii="宋体" w:hAnsi="宋体" w:eastAsia="宋体" w:cs="宋体"/>
                <w:sz w:val="18"/>
                <w:szCs w:val="18"/>
              </w:rPr>
            </w:pPr>
            <w:r>
              <w:rPr>
                <w:rFonts w:ascii="宋体" w:hAnsi="宋体" w:eastAsia="宋体" w:cs="宋体"/>
                <w:sz w:val="18"/>
                <w:szCs w:val="18"/>
              </w:rPr>
              <w:t>车辆使用费</w:t>
            </w:r>
          </w:p>
        </w:tc>
        <w:tc>
          <w:tcPr>
            <w:tcW w:w="3213" w:type="dxa"/>
            <w:tcBorders>
              <w:top w:val="single" w:color="auto" w:sz="2" w:space="0"/>
              <w:left w:val="single" w:color="auto" w:sz="2" w:space="0"/>
              <w:bottom w:val="single" w:color="auto" w:sz="2" w:space="0"/>
              <w:right w:val="single" w:color="auto" w:sz="2" w:space="0"/>
            </w:tcBorders>
            <w:vAlign w:val="center"/>
          </w:tcPr>
          <w:p w14:paraId="0D3833C5">
            <w:pPr>
              <w:spacing w:line="240" w:lineRule="exact"/>
              <w:jc w:val="right"/>
              <w:rPr>
                <w:rFonts w:ascii="宋体" w:hAnsi="宋体" w:eastAsia="宋体" w:cs="宋体"/>
                <w:sz w:val="18"/>
                <w:szCs w:val="18"/>
              </w:rPr>
            </w:pPr>
            <w:r>
              <w:rPr>
                <w:rFonts w:ascii="宋体" w:hAnsi="宋体" w:eastAsia="宋体" w:cs="宋体"/>
                <w:sz w:val="18"/>
                <w:szCs w:val="18"/>
              </w:rPr>
              <w:t>27,123.74</w:t>
            </w:r>
          </w:p>
        </w:tc>
        <w:tc>
          <w:tcPr>
            <w:tcW w:w="3213" w:type="dxa"/>
            <w:tcBorders>
              <w:top w:val="single" w:color="auto" w:sz="2" w:space="0"/>
              <w:left w:val="single" w:color="auto" w:sz="2" w:space="0"/>
              <w:bottom w:val="single" w:color="auto" w:sz="2" w:space="0"/>
              <w:right w:val="single" w:color="auto" w:sz="2" w:space="0"/>
            </w:tcBorders>
            <w:vAlign w:val="center"/>
          </w:tcPr>
          <w:p w14:paraId="4026BE65">
            <w:pPr>
              <w:spacing w:line="240" w:lineRule="exact"/>
              <w:jc w:val="right"/>
              <w:rPr>
                <w:rFonts w:ascii="宋体" w:hAnsi="宋体" w:eastAsia="宋体" w:cs="宋体"/>
                <w:sz w:val="18"/>
                <w:szCs w:val="18"/>
              </w:rPr>
            </w:pPr>
            <w:r>
              <w:rPr>
                <w:rFonts w:ascii="宋体" w:hAnsi="宋体" w:eastAsia="宋体" w:cs="宋体"/>
                <w:sz w:val="18"/>
                <w:szCs w:val="18"/>
              </w:rPr>
              <w:t>176,971.16</w:t>
            </w:r>
          </w:p>
        </w:tc>
      </w:tr>
      <w:tr w14:paraId="4FF4133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5315AEA">
            <w:pPr>
              <w:spacing w:line="240" w:lineRule="exact"/>
              <w:rPr>
                <w:rFonts w:ascii="宋体" w:hAnsi="宋体" w:eastAsia="宋体" w:cs="宋体"/>
                <w:sz w:val="18"/>
                <w:szCs w:val="18"/>
              </w:rPr>
            </w:pPr>
            <w:r>
              <w:rPr>
                <w:rFonts w:ascii="宋体" w:hAnsi="宋体" w:eastAsia="宋体" w:cs="宋体"/>
                <w:sz w:val="18"/>
                <w:szCs w:val="18"/>
              </w:rPr>
              <w:t>技术咨询费</w:t>
            </w:r>
          </w:p>
        </w:tc>
        <w:tc>
          <w:tcPr>
            <w:tcW w:w="3213" w:type="dxa"/>
            <w:tcBorders>
              <w:top w:val="single" w:color="auto" w:sz="2" w:space="0"/>
              <w:left w:val="single" w:color="auto" w:sz="2" w:space="0"/>
              <w:bottom w:val="single" w:color="auto" w:sz="2" w:space="0"/>
              <w:right w:val="single" w:color="auto" w:sz="2" w:space="0"/>
            </w:tcBorders>
            <w:vAlign w:val="center"/>
          </w:tcPr>
          <w:p w14:paraId="6179AF5A">
            <w:pPr>
              <w:spacing w:line="240" w:lineRule="exact"/>
              <w:jc w:val="right"/>
              <w:rPr>
                <w:rFonts w:ascii="宋体" w:hAnsi="宋体" w:eastAsia="宋体" w:cs="宋体"/>
                <w:sz w:val="18"/>
                <w:szCs w:val="18"/>
              </w:rPr>
            </w:pPr>
            <w:r>
              <w:rPr>
                <w:rFonts w:ascii="宋体" w:hAnsi="宋体" w:eastAsia="宋体" w:cs="宋体"/>
                <w:sz w:val="18"/>
                <w:szCs w:val="18"/>
              </w:rPr>
              <w:t>84,905.66</w:t>
            </w:r>
          </w:p>
        </w:tc>
        <w:tc>
          <w:tcPr>
            <w:tcW w:w="3213" w:type="dxa"/>
            <w:tcBorders>
              <w:top w:val="single" w:color="auto" w:sz="2" w:space="0"/>
              <w:left w:val="single" w:color="auto" w:sz="2" w:space="0"/>
              <w:bottom w:val="single" w:color="auto" w:sz="2" w:space="0"/>
              <w:right w:val="single" w:color="auto" w:sz="2" w:space="0"/>
            </w:tcBorders>
            <w:vAlign w:val="center"/>
          </w:tcPr>
          <w:p w14:paraId="14490290">
            <w:pPr>
              <w:spacing w:line="240" w:lineRule="exact"/>
              <w:jc w:val="right"/>
              <w:rPr>
                <w:rFonts w:ascii="宋体" w:hAnsi="宋体" w:eastAsia="宋体" w:cs="宋体"/>
                <w:sz w:val="18"/>
                <w:szCs w:val="18"/>
              </w:rPr>
            </w:pPr>
            <w:r>
              <w:rPr>
                <w:rFonts w:ascii="宋体" w:hAnsi="宋体" w:eastAsia="宋体" w:cs="宋体"/>
                <w:sz w:val="18"/>
                <w:szCs w:val="18"/>
              </w:rPr>
              <w:t>8,386.53</w:t>
            </w:r>
          </w:p>
        </w:tc>
      </w:tr>
      <w:tr w14:paraId="29E60F97">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19335EC">
            <w:pPr>
              <w:spacing w:line="240" w:lineRule="exac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678876FF">
            <w:pPr>
              <w:spacing w:line="240" w:lineRule="exact"/>
              <w:jc w:val="right"/>
              <w:rPr>
                <w:rFonts w:ascii="宋体" w:hAnsi="宋体" w:eastAsia="宋体" w:cs="宋体"/>
                <w:sz w:val="18"/>
                <w:szCs w:val="18"/>
              </w:rPr>
            </w:pPr>
            <w:r>
              <w:rPr>
                <w:rFonts w:ascii="宋体" w:hAnsi="宋体" w:eastAsia="宋体" w:cs="宋体"/>
                <w:sz w:val="18"/>
                <w:szCs w:val="18"/>
              </w:rPr>
              <w:t>433,876.52</w:t>
            </w:r>
          </w:p>
        </w:tc>
        <w:tc>
          <w:tcPr>
            <w:tcW w:w="3213" w:type="dxa"/>
            <w:tcBorders>
              <w:top w:val="single" w:color="auto" w:sz="2" w:space="0"/>
              <w:left w:val="single" w:color="auto" w:sz="2" w:space="0"/>
              <w:bottom w:val="single" w:color="auto" w:sz="2" w:space="0"/>
              <w:right w:val="single" w:color="auto" w:sz="2" w:space="0"/>
            </w:tcBorders>
            <w:vAlign w:val="center"/>
          </w:tcPr>
          <w:p w14:paraId="794A13C9">
            <w:pPr>
              <w:spacing w:line="240" w:lineRule="exact"/>
              <w:jc w:val="right"/>
              <w:rPr>
                <w:rFonts w:ascii="宋体" w:hAnsi="宋体" w:eastAsia="宋体" w:cs="宋体"/>
                <w:sz w:val="18"/>
                <w:szCs w:val="18"/>
              </w:rPr>
            </w:pPr>
            <w:r>
              <w:rPr>
                <w:rFonts w:ascii="宋体" w:hAnsi="宋体" w:eastAsia="宋体" w:cs="宋体"/>
                <w:sz w:val="18"/>
                <w:szCs w:val="18"/>
              </w:rPr>
              <w:t>393,981.98</w:t>
            </w:r>
          </w:p>
        </w:tc>
      </w:tr>
      <w:tr w14:paraId="59CF3B1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F0DA36">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7F038F6">
            <w:pPr>
              <w:spacing w:line="240" w:lineRule="exact"/>
              <w:jc w:val="right"/>
              <w:rPr>
                <w:rFonts w:ascii="宋体" w:hAnsi="宋体" w:eastAsia="宋体" w:cs="宋体"/>
                <w:sz w:val="18"/>
                <w:szCs w:val="18"/>
              </w:rPr>
            </w:pPr>
            <w:r>
              <w:rPr>
                <w:rFonts w:ascii="宋体" w:hAnsi="宋体" w:eastAsia="宋体" w:cs="宋体"/>
                <w:sz w:val="18"/>
                <w:szCs w:val="18"/>
              </w:rPr>
              <w:t>5,597,947.89</w:t>
            </w:r>
          </w:p>
        </w:tc>
        <w:tc>
          <w:tcPr>
            <w:tcW w:w="3213" w:type="dxa"/>
            <w:tcBorders>
              <w:top w:val="single" w:color="auto" w:sz="2" w:space="0"/>
              <w:left w:val="single" w:color="auto" w:sz="2" w:space="0"/>
              <w:bottom w:val="single" w:color="auto" w:sz="2" w:space="0"/>
              <w:right w:val="single" w:color="auto" w:sz="2" w:space="0"/>
            </w:tcBorders>
            <w:vAlign w:val="center"/>
          </w:tcPr>
          <w:p w14:paraId="45C60C36">
            <w:pPr>
              <w:spacing w:line="240" w:lineRule="exact"/>
              <w:jc w:val="right"/>
              <w:rPr>
                <w:rFonts w:ascii="宋体" w:hAnsi="宋体" w:eastAsia="宋体" w:cs="宋体"/>
                <w:sz w:val="18"/>
                <w:szCs w:val="18"/>
              </w:rPr>
            </w:pPr>
            <w:r>
              <w:rPr>
                <w:rFonts w:ascii="宋体" w:hAnsi="宋体" w:eastAsia="宋体" w:cs="宋体"/>
                <w:sz w:val="18"/>
                <w:szCs w:val="18"/>
              </w:rPr>
              <w:t>4,040,559.61</w:t>
            </w:r>
          </w:p>
        </w:tc>
      </w:tr>
    </w:tbl>
    <w:p w14:paraId="6D452D6F">
      <w:pPr>
        <w:spacing w:before="100" w:after="100" w:line="240" w:lineRule="exact"/>
      </w:pPr>
      <w:r>
        <w:rPr>
          <w:rFonts w:ascii="宋体" w:hAnsi="宋体" w:eastAsia="宋体" w:cs="宋体"/>
          <w:sz w:val="18"/>
          <w:szCs w:val="18"/>
        </w:rPr>
        <w:t>其他说明：</w:t>
      </w:r>
    </w:p>
    <w:p w14:paraId="37236535">
      <w:pPr>
        <w:pStyle w:val="3"/>
        <w:spacing w:after="100" w:line="280" w:lineRule="exact"/>
        <w:jc w:val="left"/>
        <w:rPr>
          <w:rFonts w:ascii="宋体" w:hAnsi="宋体" w:cs="宋体"/>
          <w:b/>
          <w:bCs/>
        </w:rPr>
      </w:pPr>
      <w:bookmarkStart w:id="353" w:name="_Toc989242"/>
      <w:r>
        <w:rPr>
          <w:rFonts w:ascii="宋体" w:hAnsi="宋体" w:cs="宋体"/>
          <w:b/>
          <w:bCs/>
        </w:rPr>
        <w:t>65、研发费用</w:t>
      </w:r>
      <w:bookmarkEnd w:id="353"/>
    </w:p>
    <w:p w14:paraId="63EE80E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12B1DE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D36E1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342CB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A4750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14E5FD35">
      <w:pPr>
        <w:spacing w:before="100" w:after="100" w:line="240" w:lineRule="exact"/>
      </w:pPr>
      <w:r>
        <w:rPr>
          <w:rFonts w:ascii="宋体" w:hAnsi="宋体" w:eastAsia="宋体" w:cs="宋体"/>
          <w:sz w:val="18"/>
          <w:szCs w:val="18"/>
        </w:rPr>
        <w:t>其他说明</w:t>
      </w:r>
    </w:p>
    <w:p w14:paraId="4CB6FE74">
      <w:pPr>
        <w:pStyle w:val="3"/>
        <w:spacing w:after="100" w:line="280" w:lineRule="exact"/>
        <w:jc w:val="left"/>
        <w:rPr>
          <w:rFonts w:ascii="宋体" w:hAnsi="宋体" w:cs="宋体"/>
          <w:b/>
          <w:bCs/>
        </w:rPr>
      </w:pPr>
      <w:bookmarkStart w:id="354" w:name="_Toc989243"/>
      <w:r>
        <w:rPr>
          <w:rFonts w:ascii="宋体" w:hAnsi="宋体" w:cs="宋体"/>
          <w:b/>
          <w:bCs/>
        </w:rPr>
        <w:t>66、财务费用</w:t>
      </w:r>
      <w:bookmarkEnd w:id="354"/>
    </w:p>
    <w:p w14:paraId="234C829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3FD249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3A4AD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553912">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7B5F2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6FE79A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170B5A1">
            <w:pPr>
              <w:spacing w:line="240" w:lineRule="exact"/>
              <w:rPr>
                <w:rFonts w:ascii="宋体" w:hAnsi="宋体" w:eastAsia="宋体" w:cs="宋体"/>
                <w:sz w:val="18"/>
                <w:szCs w:val="18"/>
              </w:rPr>
            </w:pPr>
            <w:r>
              <w:rPr>
                <w:rFonts w:ascii="宋体" w:hAnsi="宋体" w:eastAsia="宋体" w:cs="宋体"/>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2BF4AAFF">
            <w:pPr>
              <w:spacing w:line="240" w:lineRule="exact"/>
              <w:jc w:val="right"/>
              <w:rPr>
                <w:rFonts w:ascii="宋体" w:hAnsi="宋体" w:eastAsia="宋体" w:cs="宋体"/>
                <w:sz w:val="18"/>
                <w:szCs w:val="18"/>
              </w:rPr>
            </w:pPr>
            <w:r>
              <w:rPr>
                <w:rFonts w:ascii="宋体" w:hAnsi="宋体" w:eastAsia="宋体" w:cs="宋体"/>
                <w:sz w:val="18"/>
                <w:szCs w:val="18"/>
              </w:rPr>
              <w:t>280,700.00</w:t>
            </w:r>
          </w:p>
        </w:tc>
        <w:tc>
          <w:tcPr>
            <w:tcW w:w="3213" w:type="dxa"/>
            <w:tcBorders>
              <w:top w:val="single" w:color="auto" w:sz="2" w:space="0"/>
              <w:left w:val="single" w:color="auto" w:sz="2" w:space="0"/>
              <w:bottom w:val="single" w:color="auto" w:sz="2" w:space="0"/>
              <w:right w:val="single" w:color="auto" w:sz="2" w:space="0"/>
            </w:tcBorders>
            <w:vAlign w:val="center"/>
          </w:tcPr>
          <w:p w14:paraId="6450B361">
            <w:pPr>
              <w:spacing w:line="240" w:lineRule="exact"/>
              <w:jc w:val="right"/>
              <w:rPr>
                <w:rFonts w:ascii="宋体" w:hAnsi="宋体" w:eastAsia="宋体" w:cs="宋体"/>
                <w:sz w:val="18"/>
                <w:szCs w:val="18"/>
              </w:rPr>
            </w:pPr>
            <w:r>
              <w:rPr>
                <w:rFonts w:ascii="宋体" w:hAnsi="宋体" w:eastAsia="宋体" w:cs="宋体"/>
                <w:sz w:val="18"/>
                <w:szCs w:val="18"/>
              </w:rPr>
              <w:t>18,036,500.00</w:t>
            </w:r>
          </w:p>
        </w:tc>
      </w:tr>
      <w:tr w14:paraId="41E8D1A6">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B8E3809">
            <w:pPr>
              <w:spacing w:line="240" w:lineRule="exact"/>
              <w:rPr>
                <w:rFonts w:ascii="宋体" w:hAnsi="宋体" w:eastAsia="宋体" w:cs="宋体"/>
                <w:sz w:val="18"/>
                <w:szCs w:val="18"/>
              </w:rPr>
            </w:pPr>
            <w:r>
              <w:rPr>
                <w:rFonts w:ascii="宋体" w:hAnsi="宋体" w:eastAsia="宋体" w:cs="宋体"/>
                <w:sz w:val="18"/>
                <w:szCs w:val="18"/>
              </w:rPr>
              <w:t>减：利息收入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4A08A3D6">
            <w:pPr>
              <w:spacing w:line="240" w:lineRule="exact"/>
              <w:jc w:val="right"/>
              <w:rPr>
                <w:rFonts w:ascii="宋体" w:hAnsi="宋体" w:eastAsia="宋体" w:cs="宋体"/>
                <w:sz w:val="18"/>
                <w:szCs w:val="18"/>
              </w:rPr>
            </w:pPr>
            <w:r>
              <w:rPr>
                <w:rFonts w:ascii="宋体" w:hAnsi="宋体" w:eastAsia="宋体" w:cs="宋体"/>
                <w:sz w:val="18"/>
                <w:szCs w:val="18"/>
              </w:rPr>
              <w:t>543,305.34</w:t>
            </w:r>
          </w:p>
        </w:tc>
        <w:tc>
          <w:tcPr>
            <w:tcW w:w="3213" w:type="dxa"/>
            <w:tcBorders>
              <w:top w:val="single" w:color="auto" w:sz="2" w:space="0"/>
              <w:left w:val="single" w:color="auto" w:sz="2" w:space="0"/>
              <w:bottom w:val="single" w:color="auto" w:sz="2" w:space="0"/>
              <w:right w:val="single" w:color="auto" w:sz="2" w:space="0"/>
            </w:tcBorders>
            <w:vAlign w:val="center"/>
          </w:tcPr>
          <w:p w14:paraId="4882183E">
            <w:pPr>
              <w:spacing w:line="240" w:lineRule="exact"/>
              <w:jc w:val="right"/>
              <w:rPr>
                <w:rFonts w:ascii="宋体" w:hAnsi="宋体" w:eastAsia="宋体" w:cs="宋体"/>
                <w:sz w:val="18"/>
                <w:szCs w:val="18"/>
              </w:rPr>
            </w:pPr>
            <w:r>
              <w:rPr>
                <w:rFonts w:ascii="宋体" w:hAnsi="宋体" w:eastAsia="宋体" w:cs="宋体"/>
                <w:sz w:val="18"/>
                <w:szCs w:val="18"/>
              </w:rPr>
              <w:t>65,743.10</w:t>
            </w:r>
          </w:p>
        </w:tc>
      </w:tr>
      <w:tr w14:paraId="5E6153D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BBF9FF4">
            <w:pPr>
              <w:spacing w:line="240" w:lineRule="exact"/>
              <w:rPr>
                <w:rFonts w:ascii="宋体" w:hAnsi="宋体" w:eastAsia="宋体" w:cs="宋体"/>
                <w:sz w:val="18"/>
                <w:szCs w:val="18"/>
              </w:rPr>
            </w:pPr>
            <w:r>
              <w:rPr>
                <w:rFonts w:ascii="宋体" w:hAnsi="宋体" w:eastAsia="宋体" w:cs="宋体"/>
                <w:sz w:val="18"/>
                <w:szCs w:val="18"/>
              </w:rPr>
              <w:t>手续费用</w:t>
            </w:r>
          </w:p>
        </w:tc>
        <w:tc>
          <w:tcPr>
            <w:tcW w:w="3213" w:type="dxa"/>
            <w:tcBorders>
              <w:top w:val="single" w:color="auto" w:sz="2" w:space="0"/>
              <w:left w:val="single" w:color="auto" w:sz="2" w:space="0"/>
              <w:bottom w:val="single" w:color="auto" w:sz="2" w:space="0"/>
              <w:right w:val="single" w:color="auto" w:sz="2" w:space="0"/>
            </w:tcBorders>
            <w:vAlign w:val="center"/>
          </w:tcPr>
          <w:p w14:paraId="21681488">
            <w:pPr>
              <w:spacing w:line="240" w:lineRule="exact"/>
              <w:jc w:val="right"/>
              <w:rPr>
                <w:rFonts w:ascii="宋体" w:hAnsi="宋体" w:eastAsia="宋体" w:cs="宋体"/>
                <w:sz w:val="18"/>
                <w:szCs w:val="18"/>
              </w:rPr>
            </w:pPr>
            <w:r>
              <w:rPr>
                <w:rFonts w:ascii="宋体" w:hAnsi="宋体" w:eastAsia="宋体" w:cs="宋体"/>
                <w:sz w:val="18"/>
                <w:szCs w:val="18"/>
              </w:rPr>
              <w:t>11,730.05</w:t>
            </w:r>
          </w:p>
        </w:tc>
        <w:tc>
          <w:tcPr>
            <w:tcW w:w="3213" w:type="dxa"/>
            <w:tcBorders>
              <w:top w:val="single" w:color="auto" w:sz="2" w:space="0"/>
              <w:left w:val="single" w:color="auto" w:sz="2" w:space="0"/>
              <w:bottom w:val="single" w:color="auto" w:sz="2" w:space="0"/>
              <w:right w:val="single" w:color="auto" w:sz="2" w:space="0"/>
            </w:tcBorders>
            <w:vAlign w:val="center"/>
          </w:tcPr>
          <w:p w14:paraId="30E8646C">
            <w:pPr>
              <w:spacing w:line="240" w:lineRule="exact"/>
              <w:jc w:val="right"/>
              <w:rPr>
                <w:rFonts w:ascii="宋体" w:hAnsi="宋体" w:eastAsia="宋体" w:cs="宋体"/>
                <w:sz w:val="18"/>
                <w:szCs w:val="18"/>
              </w:rPr>
            </w:pPr>
            <w:r>
              <w:rPr>
                <w:rFonts w:ascii="宋体" w:hAnsi="宋体" w:eastAsia="宋体" w:cs="宋体"/>
                <w:sz w:val="18"/>
                <w:szCs w:val="18"/>
              </w:rPr>
              <w:t>14,535.13</w:t>
            </w:r>
          </w:p>
        </w:tc>
      </w:tr>
      <w:tr w14:paraId="1EDC75D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DAE37B">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655C73E">
            <w:pPr>
              <w:spacing w:line="240" w:lineRule="exact"/>
              <w:jc w:val="right"/>
              <w:rPr>
                <w:rFonts w:ascii="宋体" w:hAnsi="宋体" w:eastAsia="宋体" w:cs="宋体"/>
                <w:sz w:val="18"/>
                <w:szCs w:val="18"/>
              </w:rPr>
            </w:pPr>
            <w:r>
              <w:rPr>
                <w:rFonts w:ascii="宋体" w:hAnsi="宋体" w:eastAsia="宋体" w:cs="宋体"/>
                <w:sz w:val="18"/>
                <w:szCs w:val="18"/>
              </w:rPr>
              <w:t>-250,875.29</w:t>
            </w:r>
          </w:p>
        </w:tc>
        <w:tc>
          <w:tcPr>
            <w:tcW w:w="3213" w:type="dxa"/>
            <w:tcBorders>
              <w:top w:val="single" w:color="auto" w:sz="2" w:space="0"/>
              <w:left w:val="single" w:color="auto" w:sz="2" w:space="0"/>
              <w:bottom w:val="single" w:color="auto" w:sz="2" w:space="0"/>
              <w:right w:val="single" w:color="auto" w:sz="2" w:space="0"/>
            </w:tcBorders>
            <w:vAlign w:val="center"/>
          </w:tcPr>
          <w:p w14:paraId="43C95C08">
            <w:pPr>
              <w:spacing w:line="240" w:lineRule="exact"/>
              <w:jc w:val="right"/>
              <w:rPr>
                <w:rFonts w:ascii="宋体" w:hAnsi="宋体" w:eastAsia="宋体" w:cs="宋体"/>
                <w:sz w:val="18"/>
                <w:szCs w:val="18"/>
              </w:rPr>
            </w:pPr>
            <w:r>
              <w:rPr>
                <w:rFonts w:ascii="宋体" w:hAnsi="宋体" w:eastAsia="宋体" w:cs="宋体"/>
                <w:sz w:val="18"/>
                <w:szCs w:val="18"/>
              </w:rPr>
              <w:t>17,985,292.03</w:t>
            </w:r>
          </w:p>
        </w:tc>
      </w:tr>
    </w:tbl>
    <w:p w14:paraId="67DE5592">
      <w:pPr>
        <w:spacing w:before="100" w:after="100" w:line="240" w:lineRule="exact"/>
      </w:pPr>
      <w:r>
        <w:rPr>
          <w:rFonts w:ascii="宋体" w:hAnsi="宋体" w:eastAsia="宋体" w:cs="宋体"/>
          <w:sz w:val="18"/>
          <w:szCs w:val="18"/>
        </w:rPr>
        <w:t>其他说明</w:t>
      </w:r>
    </w:p>
    <w:p w14:paraId="279D976D">
      <w:pPr>
        <w:pStyle w:val="3"/>
        <w:spacing w:after="100" w:line="280" w:lineRule="exact"/>
        <w:jc w:val="left"/>
        <w:rPr>
          <w:rFonts w:ascii="宋体" w:hAnsi="宋体" w:cs="宋体"/>
          <w:b/>
          <w:bCs/>
        </w:rPr>
      </w:pPr>
      <w:bookmarkStart w:id="355" w:name="_Toc989244"/>
      <w:r>
        <w:rPr>
          <w:rFonts w:ascii="宋体" w:hAnsi="宋体" w:cs="宋体"/>
          <w:b/>
          <w:bCs/>
        </w:rPr>
        <w:t>67、其他收益</w:t>
      </w:r>
      <w:bookmarkEnd w:id="355"/>
    </w:p>
    <w:p w14:paraId="63C6EC3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1D3DA6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61D07A">
            <w:pPr>
              <w:spacing w:before="40" w:after="40" w:line="240" w:lineRule="exact"/>
              <w:jc w:val="center"/>
              <w:rPr>
                <w:rFonts w:ascii="宋体" w:hAnsi="宋体" w:eastAsia="宋体" w:cs="宋体"/>
                <w:sz w:val="18"/>
                <w:szCs w:val="18"/>
              </w:rPr>
            </w:pPr>
            <w:r>
              <w:rPr>
                <w:rFonts w:ascii="宋体" w:hAnsi="宋体" w:eastAsia="宋体" w:cs="宋体"/>
                <w:sz w:val="18"/>
                <w:szCs w:val="18"/>
              </w:rPr>
              <w:t>产生其他收益的来源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87BCE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65AE12">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71A1538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76F96EF">
            <w:pPr>
              <w:spacing w:line="240" w:lineRule="exact"/>
              <w:rPr>
                <w:rFonts w:ascii="宋体" w:hAnsi="宋体" w:eastAsia="宋体" w:cs="宋体"/>
                <w:sz w:val="18"/>
                <w:szCs w:val="18"/>
              </w:rPr>
            </w:pPr>
            <w:r>
              <w:rPr>
                <w:rFonts w:ascii="宋体" w:hAnsi="宋体" w:eastAsia="宋体" w:cs="宋体"/>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0EFE3B06">
            <w:pPr>
              <w:spacing w:line="240" w:lineRule="exact"/>
              <w:jc w:val="right"/>
              <w:rPr>
                <w:rFonts w:ascii="宋体" w:hAnsi="宋体" w:eastAsia="宋体" w:cs="宋体"/>
                <w:sz w:val="18"/>
                <w:szCs w:val="18"/>
              </w:rPr>
            </w:pPr>
            <w:r>
              <w:rPr>
                <w:rFonts w:ascii="宋体" w:hAnsi="宋体" w:eastAsia="宋体" w:cs="宋体"/>
                <w:sz w:val="18"/>
                <w:szCs w:val="18"/>
              </w:rPr>
              <w:t>7,128.63</w:t>
            </w:r>
          </w:p>
        </w:tc>
        <w:tc>
          <w:tcPr>
            <w:tcW w:w="3213" w:type="dxa"/>
            <w:tcBorders>
              <w:top w:val="single" w:color="auto" w:sz="2" w:space="0"/>
              <w:left w:val="single" w:color="auto" w:sz="2" w:space="0"/>
              <w:bottom w:val="single" w:color="auto" w:sz="2" w:space="0"/>
              <w:right w:val="single" w:color="auto" w:sz="2" w:space="0"/>
            </w:tcBorders>
            <w:vAlign w:val="center"/>
          </w:tcPr>
          <w:p w14:paraId="4A2B13BF">
            <w:pPr>
              <w:spacing w:line="240" w:lineRule="exact"/>
              <w:jc w:val="right"/>
              <w:rPr>
                <w:rFonts w:ascii="宋体" w:hAnsi="宋体" w:eastAsia="宋体" w:cs="宋体"/>
                <w:sz w:val="18"/>
                <w:szCs w:val="18"/>
              </w:rPr>
            </w:pPr>
            <w:r>
              <w:rPr>
                <w:rFonts w:ascii="宋体" w:hAnsi="宋体" w:eastAsia="宋体" w:cs="宋体"/>
                <w:sz w:val="18"/>
                <w:szCs w:val="18"/>
              </w:rPr>
              <w:t>159,808.41</w:t>
            </w:r>
          </w:p>
        </w:tc>
      </w:tr>
      <w:tr w14:paraId="7523709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50F9899">
            <w:pPr>
              <w:spacing w:line="240" w:lineRule="exact"/>
              <w:rPr>
                <w:rFonts w:ascii="宋体" w:hAnsi="宋体" w:eastAsia="宋体" w:cs="宋体"/>
                <w:sz w:val="18"/>
                <w:szCs w:val="18"/>
              </w:rPr>
            </w:pPr>
            <w:r>
              <w:rPr>
                <w:rFonts w:ascii="宋体" w:hAnsi="宋体" w:eastAsia="宋体" w:cs="宋体"/>
                <w:sz w:val="18"/>
                <w:szCs w:val="18"/>
              </w:rPr>
              <w:t>代扣代缴个人所得税手续费</w:t>
            </w:r>
          </w:p>
        </w:tc>
        <w:tc>
          <w:tcPr>
            <w:tcW w:w="3213" w:type="dxa"/>
            <w:tcBorders>
              <w:top w:val="single" w:color="auto" w:sz="2" w:space="0"/>
              <w:left w:val="single" w:color="auto" w:sz="2" w:space="0"/>
              <w:bottom w:val="single" w:color="auto" w:sz="2" w:space="0"/>
              <w:right w:val="single" w:color="auto" w:sz="2" w:space="0"/>
            </w:tcBorders>
            <w:vAlign w:val="center"/>
          </w:tcPr>
          <w:p w14:paraId="525E04F7">
            <w:pPr>
              <w:spacing w:line="240" w:lineRule="exact"/>
              <w:jc w:val="right"/>
              <w:rPr>
                <w:rFonts w:ascii="宋体" w:hAnsi="宋体" w:eastAsia="宋体" w:cs="宋体"/>
                <w:sz w:val="18"/>
                <w:szCs w:val="18"/>
              </w:rPr>
            </w:pPr>
            <w:r>
              <w:rPr>
                <w:rFonts w:ascii="宋体" w:hAnsi="宋体" w:eastAsia="宋体" w:cs="宋体"/>
                <w:sz w:val="18"/>
                <w:szCs w:val="18"/>
              </w:rPr>
              <w:t>8,626.84</w:t>
            </w:r>
          </w:p>
        </w:tc>
        <w:tc>
          <w:tcPr>
            <w:tcW w:w="3213" w:type="dxa"/>
            <w:tcBorders>
              <w:top w:val="single" w:color="auto" w:sz="2" w:space="0"/>
              <w:left w:val="single" w:color="auto" w:sz="2" w:space="0"/>
              <w:bottom w:val="single" w:color="auto" w:sz="2" w:space="0"/>
              <w:right w:val="single" w:color="auto" w:sz="2" w:space="0"/>
            </w:tcBorders>
            <w:vAlign w:val="center"/>
          </w:tcPr>
          <w:p w14:paraId="7BF15A55">
            <w:pPr>
              <w:spacing w:line="240" w:lineRule="exact"/>
              <w:jc w:val="right"/>
              <w:rPr>
                <w:rFonts w:ascii="宋体" w:hAnsi="宋体" w:eastAsia="宋体" w:cs="宋体"/>
                <w:sz w:val="18"/>
                <w:szCs w:val="18"/>
              </w:rPr>
            </w:pPr>
            <w:r>
              <w:rPr>
                <w:rFonts w:ascii="宋体" w:hAnsi="宋体" w:eastAsia="宋体" w:cs="宋体"/>
                <w:sz w:val="18"/>
                <w:szCs w:val="18"/>
              </w:rPr>
              <w:t>6,940.62</w:t>
            </w:r>
          </w:p>
        </w:tc>
      </w:tr>
      <w:tr w14:paraId="5F39DF2F">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BA2C7C9">
            <w:pPr>
              <w:spacing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ED76B1F">
            <w:pPr>
              <w:spacing w:line="240" w:lineRule="exact"/>
              <w:jc w:val="right"/>
              <w:rPr>
                <w:rFonts w:ascii="宋体" w:hAnsi="宋体" w:eastAsia="宋体" w:cs="宋体"/>
                <w:sz w:val="18"/>
                <w:szCs w:val="18"/>
              </w:rPr>
            </w:pPr>
            <w:r>
              <w:rPr>
                <w:rFonts w:ascii="宋体" w:hAnsi="宋体" w:eastAsia="宋体" w:cs="宋体"/>
                <w:sz w:val="18"/>
                <w:szCs w:val="18"/>
              </w:rPr>
              <w:t>15,755.47</w:t>
            </w:r>
          </w:p>
        </w:tc>
        <w:tc>
          <w:tcPr>
            <w:tcW w:w="3213" w:type="dxa"/>
            <w:tcBorders>
              <w:top w:val="single" w:color="auto" w:sz="2" w:space="0"/>
              <w:left w:val="single" w:color="auto" w:sz="2" w:space="0"/>
              <w:bottom w:val="single" w:color="auto" w:sz="2" w:space="0"/>
              <w:right w:val="single" w:color="auto" w:sz="2" w:space="0"/>
            </w:tcBorders>
            <w:vAlign w:val="center"/>
          </w:tcPr>
          <w:p w14:paraId="09355CE8">
            <w:pPr>
              <w:spacing w:line="240" w:lineRule="exact"/>
              <w:jc w:val="right"/>
              <w:rPr>
                <w:rFonts w:ascii="宋体" w:hAnsi="宋体" w:eastAsia="宋体" w:cs="宋体"/>
                <w:sz w:val="18"/>
                <w:szCs w:val="18"/>
              </w:rPr>
            </w:pPr>
            <w:r>
              <w:rPr>
                <w:rFonts w:ascii="宋体" w:hAnsi="宋体" w:eastAsia="宋体" w:cs="宋体"/>
                <w:sz w:val="18"/>
                <w:szCs w:val="18"/>
              </w:rPr>
              <w:t>166,749.03</w:t>
            </w:r>
          </w:p>
        </w:tc>
      </w:tr>
    </w:tbl>
    <w:p w14:paraId="4A340309">
      <w:pPr>
        <w:pStyle w:val="3"/>
        <w:spacing w:after="100" w:line="280" w:lineRule="exact"/>
        <w:jc w:val="left"/>
        <w:rPr>
          <w:rFonts w:ascii="宋体" w:hAnsi="宋体" w:cs="宋体"/>
          <w:b/>
          <w:bCs/>
        </w:rPr>
      </w:pPr>
      <w:bookmarkStart w:id="356" w:name="_Toc989245"/>
      <w:r>
        <w:rPr>
          <w:rFonts w:ascii="宋体" w:hAnsi="宋体" w:cs="宋体"/>
          <w:b/>
          <w:bCs/>
        </w:rPr>
        <w:t>68、净敞口套期收益</w:t>
      </w:r>
      <w:bookmarkEnd w:id="356"/>
    </w:p>
    <w:p w14:paraId="48655ED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965DC8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F5220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6FC9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B45676">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18605690">
      <w:pPr>
        <w:spacing w:before="100" w:after="100" w:line="240" w:lineRule="exact"/>
      </w:pPr>
      <w:r>
        <w:rPr>
          <w:rFonts w:ascii="宋体" w:hAnsi="宋体" w:eastAsia="宋体" w:cs="宋体"/>
          <w:sz w:val="18"/>
          <w:szCs w:val="18"/>
        </w:rPr>
        <w:t>其他说明</w:t>
      </w:r>
    </w:p>
    <w:p w14:paraId="5B55B024">
      <w:pPr>
        <w:pStyle w:val="3"/>
        <w:spacing w:after="100" w:line="280" w:lineRule="exact"/>
        <w:jc w:val="left"/>
        <w:rPr>
          <w:rFonts w:ascii="宋体" w:hAnsi="宋体" w:cs="宋体"/>
          <w:b/>
          <w:bCs/>
        </w:rPr>
      </w:pPr>
      <w:bookmarkStart w:id="357" w:name="_Toc989246"/>
      <w:r>
        <w:rPr>
          <w:rFonts w:ascii="宋体" w:hAnsi="宋体" w:cs="宋体"/>
          <w:b/>
          <w:bCs/>
        </w:rPr>
        <w:t>69、公允价值变动收益</w:t>
      </w:r>
      <w:bookmarkEnd w:id="357"/>
    </w:p>
    <w:p w14:paraId="01532BD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9F6578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C5E458">
            <w:pPr>
              <w:spacing w:before="40" w:after="40" w:line="240" w:lineRule="exact"/>
              <w:jc w:val="center"/>
              <w:rPr>
                <w:rFonts w:ascii="宋体" w:hAnsi="宋体" w:eastAsia="宋体" w:cs="宋体"/>
                <w:sz w:val="18"/>
                <w:szCs w:val="18"/>
              </w:rPr>
            </w:pPr>
            <w:r>
              <w:rPr>
                <w:rFonts w:ascii="宋体" w:hAnsi="宋体" w:eastAsia="宋体" w:cs="宋体"/>
                <w:sz w:val="18"/>
                <w:szCs w:val="18"/>
              </w:rPr>
              <w:t>产生公允价值变动收益的来源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D5ECDF">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ECF16B">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6A1E3523">
      <w:pPr>
        <w:spacing w:before="100" w:after="100" w:line="240" w:lineRule="exact"/>
      </w:pPr>
      <w:r>
        <w:rPr>
          <w:rFonts w:ascii="宋体" w:hAnsi="宋体" w:eastAsia="宋体" w:cs="宋体"/>
          <w:sz w:val="18"/>
          <w:szCs w:val="18"/>
        </w:rPr>
        <w:t>其他说明：</w:t>
      </w:r>
    </w:p>
    <w:p w14:paraId="346EE109">
      <w:pPr>
        <w:pStyle w:val="3"/>
        <w:spacing w:after="100" w:line="280" w:lineRule="exact"/>
        <w:jc w:val="left"/>
        <w:rPr>
          <w:rFonts w:ascii="宋体" w:hAnsi="宋体" w:cs="宋体"/>
          <w:b/>
          <w:bCs/>
        </w:rPr>
      </w:pPr>
      <w:bookmarkStart w:id="358" w:name="_Toc989247"/>
      <w:r>
        <w:rPr>
          <w:rFonts w:ascii="宋体" w:hAnsi="宋体" w:cs="宋体"/>
          <w:b/>
          <w:bCs/>
        </w:rPr>
        <w:t>70、投资收益</w:t>
      </w:r>
      <w:bookmarkEnd w:id="358"/>
    </w:p>
    <w:p w14:paraId="1CBBDC6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5A7174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0335D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35F59E">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1C66F9">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79ECD70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33E650">
            <w:pPr>
              <w:spacing w:before="40" w:after="40" w:line="240" w:lineRule="exact"/>
              <w:rPr>
                <w:rFonts w:ascii="宋体" w:hAnsi="宋体" w:eastAsia="宋体" w:cs="宋体"/>
                <w:sz w:val="18"/>
                <w:szCs w:val="18"/>
              </w:rPr>
            </w:pPr>
            <w:r>
              <w:rPr>
                <w:rFonts w:ascii="宋体" w:hAnsi="宋体" w:eastAsia="宋体" w:cs="宋体"/>
                <w:sz w:val="18"/>
                <w:szCs w:val="18"/>
              </w:rPr>
              <w:t>权益法核算的长期股权投资收益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501772C3">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2E9A8BAA">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605FD94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01A1A1">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FA243A0">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3F093C6C">
            <w:pPr>
              <w:spacing w:line="240" w:lineRule="exact"/>
              <w:jc w:val="right"/>
              <w:rPr>
                <w:rFonts w:ascii="宋体" w:hAnsi="宋体" w:eastAsia="宋体" w:cs="宋体"/>
                <w:sz w:val="18"/>
                <w:szCs w:val="18"/>
              </w:rPr>
            </w:pPr>
            <w:r>
              <w:rPr>
                <w:rFonts w:ascii="宋体" w:hAnsi="宋体" w:eastAsia="宋体" w:cs="宋体"/>
                <w:sz w:val="18"/>
                <w:szCs w:val="18"/>
              </w:rPr>
              <w:t>-4,034,373.17</w:t>
            </w:r>
          </w:p>
        </w:tc>
      </w:tr>
    </w:tbl>
    <w:p w14:paraId="2E99F4F9">
      <w:pPr>
        <w:spacing w:before="100" w:after="100" w:line="240" w:lineRule="exact"/>
      </w:pPr>
      <w:r>
        <w:rPr>
          <w:rFonts w:ascii="宋体" w:hAnsi="宋体" w:eastAsia="宋体" w:cs="宋体"/>
          <w:sz w:val="18"/>
          <w:szCs w:val="18"/>
        </w:rPr>
        <w:t>其他说明</w:t>
      </w:r>
    </w:p>
    <w:p w14:paraId="51DDC853">
      <w:pPr>
        <w:pStyle w:val="3"/>
        <w:spacing w:after="100" w:line="280" w:lineRule="exact"/>
        <w:jc w:val="left"/>
        <w:rPr>
          <w:rFonts w:ascii="宋体" w:hAnsi="宋体" w:cs="宋体"/>
          <w:b/>
          <w:bCs/>
        </w:rPr>
      </w:pPr>
      <w:bookmarkStart w:id="359" w:name="_Toc989248"/>
      <w:r>
        <w:rPr>
          <w:rFonts w:ascii="宋体" w:hAnsi="宋体" w:cs="宋体"/>
          <w:b/>
          <w:bCs/>
        </w:rPr>
        <w:t>71、信用减值损失</w:t>
      </w:r>
      <w:bookmarkEnd w:id="359"/>
    </w:p>
    <w:p w14:paraId="445B04E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B07F1E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D6CE5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B74FC0">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7B58BB">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E91BD2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D8CB78">
            <w:pPr>
              <w:spacing w:before="40" w:after="40" w:line="240" w:lineRule="exact"/>
              <w:rPr>
                <w:rFonts w:ascii="宋体" w:hAnsi="宋体" w:eastAsia="宋体" w:cs="宋体"/>
                <w:sz w:val="18"/>
                <w:szCs w:val="18"/>
              </w:rPr>
            </w:pPr>
            <w:r>
              <w:rPr>
                <w:rFonts w:ascii="宋体" w:hAnsi="宋体" w:eastAsia="宋体" w:cs="宋体"/>
                <w:sz w:val="18"/>
                <w:szCs w:val="18"/>
              </w:rPr>
              <w:t>其他应收款坏账损失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0A02812E">
            <w:pPr>
              <w:spacing w:line="240" w:lineRule="exact"/>
              <w:jc w:val="right"/>
              <w:rPr>
                <w:rFonts w:ascii="宋体" w:hAnsi="宋体" w:eastAsia="宋体" w:cs="宋体"/>
                <w:sz w:val="18"/>
                <w:szCs w:val="18"/>
              </w:rPr>
            </w:pPr>
            <w:r>
              <w:rPr>
                <w:rFonts w:ascii="宋体" w:hAnsi="宋体" w:eastAsia="宋体" w:cs="宋体"/>
                <w:sz w:val="18"/>
                <w:szCs w:val="18"/>
              </w:rPr>
              <w:t>-25,758.36</w:t>
            </w:r>
          </w:p>
        </w:tc>
        <w:tc>
          <w:tcPr>
            <w:tcW w:w="3213" w:type="dxa"/>
            <w:tcBorders>
              <w:top w:val="single" w:color="auto" w:sz="2" w:space="0"/>
              <w:left w:val="single" w:color="auto" w:sz="2" w:space="0"/>
              <w:bottom w:val="single" w:color="auto" w:sz="2" w:space="0"/>
              <w:right w:val="single" w:color="auto" w:sz="2" w:space="0"/>
            </w:tcBorders>
            <w:vAlign w:val="center"/>
          </w:tcPr>
          <w:p w14:paraId="1D22793C">
            <w:pPr>
              <w:spacing w:line="240" w:lineRule="exact"/>
              <w:jc w:val="right"/>
              <w:rPr>
                <w:rFonts w:ascii="宋体" w:hAnsi="宋体" w:eastAsia="宋体" w:cs="宋体"/>
                <w:sz w:val="18"/>
                <w:szCs w:val="18"/>
              </w:rPr>
            </w:pPr>
            <w:r>
              <w:rPr>
                <w:rFonts w:ascii="宋体" w:hAnsi="宋体" w:eastAsia="宋体" w:cs="宋体"/>
                <w:sz w:val="18"/>
                <w:szCs w:val="18"/>
              </w:rPr>
              <w:t>-48,342,721.44</w:t>
            </w:r>
          </w:p>
        </w:tc>
      </w:tr>
      <w:tr w14:paraId="4083CF6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81155A8">
            <w:pPr>
              <w:spacing w:line="240" w:lineRule="exact"/>
              <w:rPr>
                <w:rFonts w:ascii="宋体" w:hAnsi="宋体" w:eastAsia="宋体" w:cs="宋体"/>
                <w:sz w:val="18"/>
                <w:szCs w:val="18"/>
              </w:rPr>
            </w:pPr>
            <w:r>
              <w:rPr>
                <w:rFonts w:ascii="宋体" w:hAnsi="宋体" w:eastAsia="宋体" w:cs="宋体"/>
                <w:sz w:val="18"/>
                <w:szCs w:val="18"/>
              </w:rPr>
              <w:t>应收账款信用减值损失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5C0FF07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A89B8CF">
            <w:pPr>
              <w:spacing w:line="240" w:lineRule="exact"/>
              <w:jc w:val="right"/>
              <w:rPr>
                <w:rFonts w:ascii="宋体" w:hAnsi="宋体" w:eastAsia="宋体" w:cs="宋体"/>
                <w:sz w:val="18"/>
                <w:szCs w:val="18"/>
              </w:rPr>
            </w:pPr>
            <w:r>
              <w:rPr>
                <w:rFonts w:ascii="宋体" w:hAnsi="宋体" w:eastAsia="宋体" w:cs="宋体"/>
                <w:sz w:val="18"/>
                <w:szCs w:val="18"/>
              </w:rPr>
              <w:t>-64,701.47</w:t>
            </w:r>
          </w:p>
        </w:tc>
      </w:tr>
      <w:tr w14:paraId="0AF32ED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B80247">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D3C1430">
            <w:pPr>
              <w:spacing w:line="240" w:lineRule="exact"/>
              <w:jc w:val="right"/>
              <w:rPr>
                <w:rFonts w:ascii="宋体" w:hAnsi="宋体" w:eastAsia="宋体" w:cs="宋体"/>
                <w:sz w:val="18"/>
                <w:szCs w:val="18"/>
              </w:rPr>
            </w:pPr>
            <w:r>
              <w:rPr>
                <w:rFonts w:ascii="宋体" w:hAnsi="宋体" w:eastAsia="宋体" w:cs="宋体"/>
                <w:sz w:val="18"/>
                <w:szCs w:val="18"/>
              </w:rPr>
              <w:t>-25,758.36</w:t>
            </w:r>
          </w:p>
        </w:tc>
        <w:tc>
          <w:tcPr>
            <w:tcW w:w="3213" w:type="dxa"/>
            <w:tcBorders>
              <w:top w:val="single" w:color="auto" w:sz="2" w:space="0"/>
              <w:left w:val="single" w:color="auto" w:sz="2" w:space="0"/>
              <w:bottom w:val="single" w:color="auto" w:sz="2" w:space="0"/>
              <w:right w:val="single" w:color="auto" w:sz="2" w:space="0"/>
            </w:tcBorders>
            <w:vAlign w:val="center"/>
          </w:tcPr>
          <w:p w14:paraId="04DF70B3">
            <w:pPr>
              <w:spacing w:line="240" w:lineRule="exact"/>
              <w:jc w:val="right"/>
              <w:rPr>
                <w:rFonts w:ascii="宋体" w:hAnsi="宋体" w:eastAsia="宋体" w:cs="宋体"/>
                <w:sz w:val="18"/>
                <w:szCs w:val="18"/>
              </w:rPr>
            </w:pPr>
            <w:r>
              <w:rPr>
                <w:rFonts w:ascii="宋体" w:hAnsi="宋体" w:eastAsia="宋体" w:cs="宋体"/>
                <w:sz w:val="18"/>
                <w:szCs w:val="18"/>
              </w:rPr>
              <w:t>-48,407,422.91</w:t>
            </w:r>
          </w:p>
        </w:tc>
      </w:tr>
    </w:tbl>
    <w:p w14:paraId="04405604">
      <w:pPr>
        <w:spacing w:before="100" w:after="100" w:line="240" w:lineRule="exact"/>
      </w:pPr>
      <w:r>
        <w:rPr>
          <w:rFonts w:ascii="宋体" w:hAnsi="宋体" w:eastAsia="宋体" w:cs="宋体"/>
          <w:sz w:val="18"/>
          <w:szCs w:val="18"/>
        </w:rPr>
        <w:t>其他说明</w:t>
      </w:r>
    </w:p>
    <w:p w14:paraId="376D1F70">
      <w:pPr>
        <w:pStyle w:val="3"/>
        <w:spacing w:after="100" w:line="280" w:lineRule="exact"/>
        <w:jc w:val="left"/>
        <w:rPr>
          <w:rFonts w:ascii="宋体" w:hAnsi="宋体" w:cs="宋体"/>
          <w:b/>
          <w:bCs/>
        </w:rPr>
      </w:pPr>
      <w:bookmarkStart w:id="360" w:name="_Toc989249"/>
      <w:r>
        <w:rPr>
          <w:rFonts w:ascii="宋体" w:hAnsi="宋体" w:cs="宋体"/>
          <w:b/>
          <w:bCs/>
        </w:rPr>
        <w:t>72、资产减值损失</w:t>
      </w:r>
      <w:bookmarkEnd w:id="360"/>
    </w:p>
    <w:p w14:paraId="705BE56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3D2545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7B7DF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9C9B1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F68ED5">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22F6E97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F9D0EB">
            <w:pPr>
              <w:spacing w:before="40" w:after="40" w:line="240" w:lineRule="exact"/>
              <w:rPr>
                <w:rFonts w:ascii="宋体" w:hAnsi="宋体" w:eastAsia="宋体" w:cs="宋体"/>
                <w:sz w:val="18"/>
                <w:szCs w:val="18"/>
              </w:rPr>
            </w:pPr>
            <w:r>
              <w:rPr>
                <w:rFonts w:ascii="宋体" w:hAnsi="宋体" w:eastAsia="宋体" w:cs="宋体"/>
                <w:sz w:val="18"/>
                <w:szCs w:val="18"/>
              </w:rPr>
              <w:t>一、存货跌价损失及合同履约成本减值损失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08D075E8">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3213" w:type="dxa"/>
            <w:tcBorders>
              <w:top w:val="single" w:color="auto" w:sz="2" w:space="0"/>
              <w:left w:val="single" w:color="auto" w:sz="2" w:space="0"/>
              <w:bottom w:val="single" w:color="auto" w:sz="2" w:space="0"/>
              <w:right w:val="single" w:color="auto" w:sz="2" w:space="0"/>
            </w:tcBorders>
            <w:vAlign w:val="center"/>
          </w:tcPr>
          <w:p w14:paraId="4047F10A">
            <w:pPr>
              <w:spacing w:line="240" w:lineRule="exact"/>
              <w:jc w:val="right"/>
              <w:rPr>
                <w:rFonts w:ascii="宋体" w:hAnsi="宋体" w:eastAsia="宋体" w:cs="宋体"/>
                <w:sz w:val="18"/>
                <w:szCs w:val="18"/>
              </w:rPr>
            </w:pPr>
          </w:p>
        </w:tc>
      </w:tr>
      <w:tr w14:paraId="6F65AD1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677C74">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E1E6282">
            <w:pPr>
              <w:spacing w:line="240" w:lineRule="exact"/>
              <w:jc w:val="right"/>
              <w:rPr>
                <w:rFonts w:ascii="宋体" w:hAnsi="宋体" w:eastAsia="宋体" w:cs="宋体"/>
                <w:sz w:val="18"/>
                <w:szCs w:val="18"/>
              </w:rPr>
            </w:pPr>
            <w:r>
              <w:rPr>
                <w:rFonts w:ascii="宋体" w:hAnsi="宋体" w:eastAsia="宋体" w:cs="宋体"/>
                <w:sz w:val="18"/>
                <w:szCs w:val="18"/>
              </w:rPr>
              <w:t>23,480.00</w:t>
            </w:r>
          </w:p>
        </w:tc>
        <w:tc>
          <w:tcPr>
            <w:tcW w:w="3213" w:type="dxa"/>
            <w:tcBorders>
              <w:top w:val="single" w:color="auto" w:sz="2" w:space="0"/>
              <w:left w:val="single" w:color="auto" w:sz="2" w:space="0"/>
              <w:bottom w:val="single" w:color="auto" w:sz="2" w:space="0"/>
              <w:right w:val="single" w:color="auto" w:sz="2" w:space="0"/>
            </w:tcBorders>
            <w:vAlign w:val="center"/>
          </w:tcPr>
          <w:p w14:paraId="0EB5CC27">
            <w:pPr>
              <w:spacing w:line="240" w:lineRule="exact"/>
              <w:jc w:val="right"/>
              <w:rPr>
                <w:rFonts w:ascii="宋体" w:hAnsi="宋体" w:eastAsia="宋体" w:cs="宋体"/>
                <w:sz w:val="18"/>
                <w:szCs w:val="18"/>
              </w:rPr>
            </w:pPr>
          </w:p>
        </w:tc>
      </w:tr>
    </w:tbl>
    <w:p w14:paraId="2E6E3B5C">
      <w:pPr>
        <w:spacing w:before="100" w:after="100" w:line="240" w:lineRule="exact"/>
      </w:pPr>
      <w:r>
        <w:rPr>
          <w:rFonts w:ascii="宋体" w:hAnsi="宋体" w:eastAsia="宋体" w:cs="宋体"/>
          <w:sz w:val="18"/>
          <w:szCs w:val="18"/>
        </w:rPr>
        <w:t>其他说明：</w:t>
      </w:r>
    </w:p>
    <w:p w14:paraId="47E7287F">
      <w:pPr>
        <w:pStyle w:val="3"/>
        <w:spacing w:after="100" w:line="280" w:lineRule="exact"/>
        <w:jc w:val="left"/>
        <w:rPr>
          <w:rFonts w:ascii="宋体" w:hAnsi="宋体" w:cs="宋体"/>
          <w:b/>
          <w:bCs/>
        </w:rPr>
      </w:pPr>
      <w:bookmarkStart w:id="361" w:name="_Toc989250"/>
      <w:r>
        <w:rPr>
          <w:rFonts w:ascii="宋体" w:hAnsi="宋体" w:cs="宋体"/>
          <w:b/>
          <w:bCs/>
        </w:rPr>
        <w:t>73、资产处置收益</w:t>
      </w:r>
      <w:bookmarkEnd w:id="361"/>
    </w:p>
    <w:p w14:paraId="0A09633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5BB29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30B922">
            <w:pPr>
              <w:spacing w:before="40" w:after="40" w:line="240" w:lineRule="exact"/>
              <w:jc w:val="center"/>
              <w:rPr>
                <w:rFonts w:ascii="宋体" w:hAnsi="宋体" w:eastAsia="宋体" w:cs="宋体"/>
                <w:sz w:val="18"/>
                <w:szCs w:val="18"/>
              </w:rPr>
            </w:pPr>
            <w:r>
              <w:rPr>
                <w:rFonts w:ascii="宋体" w:hAnsi="宋体" w:eastAsia="宋体" w:cs="宋体"/>
                <w:sz w:val="18"/>
                <w:szCs w:val="18"/>
              </w:rPr>
              <w:t>资产处置收益的来源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3B1A0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616B3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1FDF23DF">
      <w:pPr>
        <w:pStyle w:val="3"/>
        <w:spacing w:after="100" w:line="280" w:lineRule="exact"/>
        <w:jc w:val="left"/>
        <w:rPr>
          <w:rFonts w:ascii="宋体" w:hAnsi="宋体" w:cs="宋体"/>
          <w:b/>
          <w:bCs/>
        </w:rPr>
      </w:pPr>
      <w:bookmarkStart w:id="362" w:name="_Toc989251"/>
      <w:r>
        <w:rPr>
          <w:rFonts w:ascii="宋体" w:hAnsi="宋体" w:cs="宋体"/>
          <w:b/>
          <w:bCs/>
        </w:rPr>
        <w:t>74、营业外收入</w:t>
      </w:r>
      <w:bookmarkEnd w:id="362"/>
    </w:p>
    <w:p w14:paraId="4E6FF3C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503FBEE">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7E739D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CA290D9">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9BA0F6">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47AC5D3">
            <w:pPr>
              <w:spacing w:before="40" w:after="40" w:line="240" w:lineRule="exact"/>
              <w:jc w:val="center"/>
              <w:rPr>
                <w:rFonts w:ascii="宋体" w:hAnsi="宋体" w:eastAsia="宋体" w:cs="宋体"/>
                <w:sz w:val="18"/>
                <w:szCs w:val="18"/>
              </w:rPr>
            </w:pPr>
            <w:r>
              <w:rPr>
                <w:rFonts w:ascii="宋体" w:hAnsi="宋体" w:eastAsia="宋体" w:cs="宋体"/>
                <w:sz w:val="18"/>
                <w:szCs w:val="18"/>
              </w:rPr>
              <w:t>计入当期非经常性损益的金额</w:t>
            </w:r>
          </w:p>
        </w:tc>
      </w:tr>
      <w:tr w14:paraId="2A67F8BD">
        <w:trPr>
          <w:trHeight w:val="240" w:hRule="atLeast"/>
        </w:trPr>
        <w:tc>
          <w:tcPr>
            <w:tcW w:w="2409" w:type="dxa"/>
            <w:tcBorders>
              <w:top w:val="single" w:color="auto" w:sz="2" w:space="0"/>
              <w:left w:val="single" w:color="auto" w:sz="2" w:space="0"/>
              <w:bottom w:val="single" w:color="auto" w:sz="2" w:space="0"/>
              <w:right w:val="single" w:color="auto" w:sz="2" w:space="0"/>
            </w:tcBorders>
            <w:vAlign w:val="center"/>
          </w:tcPr>
          <w:p w14:paraId="74E4AFDA">
            <w:pPr>
              <w:spacing w:line="240" w:lineRule="exact"/>
              <w:rPr>
                <w:rFonts w:ascii="宋体" w:hAnsi="宋体" w:eastAsia="宋体" w:cs="宋体"/>
                <w:sz w:val="18"/>
                <w:szCs w:val="18"/>
              </w:rPr>
            </w:pPr>
            <w:r>
              <w:rPr>
                <w:rFonts w:ascii="宋体" w:hAnsi="宋体" w:eastAsia="宋体" w:cs="宋体"/>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043B2899">
            <w:pPr>
              <w:spacing w:line="240" w:lineRule="exact"/>
              <w:jc w:val="right"/>
              <w:rPr>
                <w:rFonts w:ascii="宋体" w:hAnsi="宋体" w:eastAsia="宋体" w:cs="宋体"/>
                <w:sz w:val="18"/>
                <w:szCs w:val="18"/>
              </w:rPr>
            </w:pPr>
            <w:r>
              <w:rPr>
                <w:rFonts w:ascii="宋体" w:hAnsi="宋体" w:eastAsia="宋体" w:cs="宋体"/>
                <w:sz w:val="18"/>
                <w:szCs w:val="18"/>
              </w:rPr>
              <w:t>7,378,607.18</w:t>
            </w:r>
          </w:p>
        </w:tc>
        <w:tc>
          <w:tcPr>
            <w:tcW w:w="2410" w:type="dxa"/>
            <w:tcBorders>
              <w:top w:val="single" w:color="auto" w:sz="2" w:space="0"/>
              <w:left w:val="single" w:color="auto" w:sz="2" w:space="0"/>
              <w:bottom w:val="single" w:color="auto" w:sz="2" w:space="0"/>
              <w:right w:val="single" w:color="auto" w:sz="2" w:space="0"/>
            </w:tcBorders>
            <w:vAlign w:val="center"/>
          </w:tcPr>
          <w:p w14:paraId="6C91265C">
            <w:pPr>
              <w:spacing w:line="240" w:lineRule="exact"/>
              <w:jc w:val="right"/>
              <w:rPr>
                <w:rFonts w:ascii="宋体" w:hAnsi="宋体" w:eastAsia="宋体" w:cs="宋体"/>
                <w:sz w:val="18"/>
                <w:szCs w:val="18"/>
              </w:rPr>
            </w:pPr>
            <w:r>
              <w:rPr>
                <w:rFonts w:ascii="宋体" w:hAnsi="宋体" w:eastAsia="宋体" w:cs="宋体"/>
                <w:sz w:val="18"/>
                <w:szCs w:val="18"/>
              </w:rPr>
              <w:t>78,861.32</w:t>
            </w:r>
          </w:p>
        </w:tc>
        <w:tc>
          <w:tcPr>
            <w:tcW w:w="2410" w:type="dxa"/>
            <w:tcBorders>
              <w:top w:val="single" w:color="auto" w:sz="2" w:space="0"/>
              <w:left w:val="single" w:color="auto" w:sz="2" w:space="0"/>
              <w:bottom w:val="single" w:color="auto" w:sz="2" w:space="0"/>
              <w:right w:val="single" w:color="auto" w:sz="2" w:space="0"/>
            </w:tcBorders>
            <w:vAlign w:val="center"/>
          </w:tcPr>
          <w:p w14:paraId="17797AC8">
            <w:pPr>
              <w:spacing w:line="240" w:lineRule="exact"/>
              <w:jc w:val="right"/>
              <w:rPr>
                <w:rFonts w:ascii="宋体" w:hAnsi="宋体" w:eastAsia="宋体" w:cs="宋体"/>
                <w:sz w:val="18"/>
                <w:szCs w:val="18"/>
              </w:rPr>
            </w:pPr>
            <w:r>
              <w:rPr>
                <w:rFonts w:ascii="宋体" w:hAnsi="宋体" w:eastAsia="宋体" w:cs="宋体"/>
                <w:sz w:val="18"/>
                <w:szCs w:val="18"/>
              </w:rPr>
              <w:t>7,378,607.18</w:t>
            </w:r>
          </w:p>
        </w:tc>
      </w:tr>
      <w:tr w14:paraId="6CE2CB1B">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1BE3955">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9AA6771">
            <w:pPr>
              <w:spacing w:line="240" w:lineRule="exact"/>
              <w:jc w:val="right"/>
              <w:rPr>
                <w:rFonts w:ascii="宋体" w:hAnsi="宋体" w:eastAsia="宋体" w:cs="宋体"/>
                <w:sz w:val="18"/>
                <w:szCs w:val="18"/>
              </w:rPr>
            </w:pPr>
            <w:r>
              <w:rPr>
                <w:rFonts w:ascii="宋体" w:hAnsi="宋体" w:eastAsia="宋体" w:cs="宋体"/>
                <w:sz w:val="18"/>
                <w:szCs w:val="18"/>
              </w:rPr>
              <w:t>7,378,607.18</w:t>
            </w:r>
          </w:p>
        </w:tc>
        <w:tc>
          <w:tcPr>
            <w:tcW w:w="2410" w:type="dxa"/>
            <w:tcBorders>
              <w:top w:val="single" w:color="auto" w:sz="2" w:space="0"/>
              <w:left w:val="single" w:color="auto" w:sz="2" w:space="0"/>
              <w:bottom w:val="single" w:color="auto" w:sz="2" w:space="0"/>
              <w:right w:val="single" w:color="auto" w:sz="2" w:space="0"/>
            </w:tcBorders>
            <w:vAlign w:val="center"/>
          </w:tcPr>
          <w:p w14:paraId="094F33BE">
            <w:pPr>
              <w:spacing w:line="240" w:lineRule="exact"/>
              <w:jc w:val="right"/>
              <w:rPr>
                <w:rFonts w:ascii="宋体" w:hAnsi="宋体" w:eastAsia="宋体" w:cs="宋体"/>
                <w:sz w:val="18"/>
                <w:szCs w:val="18"/>
              </w:rPr>
            </w:pPr>
            <w:r>
              <w:rPr>
                <w:rFonts w:ascii="宋体" w:hAnsi="宋体" w:eastAsia="宋体" w:cs="宋体"/>
                <w:sz w:val="18"/>
                <w:szCs w:val="18"/>
              </w:rPr>
              <w:t>78,861.32</w:t>
            </w:r>
          </w:p>
        </w:tc>
        <w:tc>
          <w:tcPr>
            <w:tcW w:w="2410" w:type="dxa"/>
            <w:tcBorders>
              <w:top w:val="single" w:color="auto" w:sz="2" w:space="0"/>
              <w:left w:val="single" w:color="auto" w:sz="2" w:space="0"/>
              <w:bottom w:val="single" w:color="auto" w:sz="2" w:space="0"/>
              <w:right w:val="single" w:color="auto" w:sz="2" w:space="0"/>
            </w:tcBorders>
            <w:vAlign w:val="center"/>
          </w:tcPr>
          <w:p w14:paraId="3E80C3C2">
            <w:pPr>
              <w:spacing w:line="240" w:lineRule="exact"/>
              <w:jc w:val="right"/>
              <w:rPr>
                <w:rFonts w:ascii="宋体" w:hAnsi="宋体" w:eastAsia="宋体" w:cs="宋体"/>
                <w:sz w:val="18"/>
                <w:szCs w:val="18"/>
              </w:rPr>
            </w:pPr>
            <w:r>
              <w:rPr>
                <w:rFonts w:ascii="宋体" w:hAnsi="宋体" w:eastAsia="宋体" w:cs="宋体"/>
                <w:sz w:val="18"/>
                <w:szCs w:val="18"/>
              </w:rPr>
              <w:t>7,378,607.18</w:t>
            </w:r>
          </w:p>
        </w:tc>
      </w:tr>
    </w:tbl>
    <w:p w14:paraId="7D946E0E">
      <w:pPr>
        <w:spacing w:before="100" w:after="100" w:line="240" w:lineRule="exact"/>
      </w:pPr>
      <w:r>
        <w:rPr>
          <w:rFonts w:ascii="宋体" w:hAnsi="宋体" w:eastAsia="宋体" w:cs="宋体"/>
          <w:sz w:val="18"/>
          <w:szCs w:val="18"/>
        </w:rPr>
        <w:t>其他说明：</w:t>
      </w:r>
    </w:p>
    <w:p w14:paraId="3DFBA903">
      <w:pPr>
        <w:pStyle w:val="3"/>
        <w:spacing w:after="100" w:line="280" w:lineRule="exact"/>
        <w:jc w:val="left"/>
        <w:rPr>
          <w:rFonts w:ascii="宋体" w:hAnsi="宋体" w:cs="宋体"/>
          <w:b/>
          <w:bCs/>
        </w:rPr>
      </w:pPr>
      <w:bookmarkStart w:id="363" w:name="_Toc989252"/>
      <w:r>
        <w:rPr>
          <w:rFonts w:ascii="宋体" w:hAnsi="宋体" w:cs="宋体"/>
          <w:b/>
          <w:bCs/>
        </w:rPr>
        <w:t>75、营业外支出</w:t>
      </w:r>
      <w:bookmarkEnd w:id="363"/>
    </w:p>
    <w:p w14:paraId="7A8FACF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7CBBA08D">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4EC11A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6EA9F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37AF7F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F86AD85">
            <w:pPr>
              <w:spacing w:before="40" w:after="40" w:line="240" w:lineRule="exact"/>
              <w:jc w:val="center"/>
              <w:rPr>
                <w:rFonts w:ascii="宋体" w:hAnsi="宋体" w:eastAsia="宋体" w:cs="宋体"/>
                <w:sz w:val="18"/>
                <w:szCs w:val="18"/>
              </w:rPr>
            </w:pPr>
            <w:r>
              <w:rPr>
                <w:rFonts w:ascii="宋体" w:hAnsi="宋体" w:eastAsia="宋体" w:cs="宋体"/>
                <w:sz w:val="18"/>
                <w:szCs w:val="18"/>
              </w:rPr>
              <w:t>计入当期非经常性损益的金额</w:t>
            </w:r>
          </w:p>
        </w:tc>
      </w:tr>
      <w:tr w14:paraId="16001045">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450B4E3D">
            <w:pPr>
              <w:spacing w:before="40" w:after="40" w:line="240" w:lineRule="exact"/>
              <w:rPr>
                <w:rFonts w:ascii="宋体" w:hAnsi="宋体" w:eastAsia="宋体" w:cs="宋体"/>
                <w:sz w:val="18"/>
                <w:szCs w:val="18"/>
              </w:rPr>
            </w:pPr>
            <w:r>
              <w:rPr>
                <w:rFonts w:ascii="宋体" w:hAnsi="宋体" w:eastAsia="宋体" w:cs="宋体"/>
                <w:sz w:val="18"/>
                <w:szCs w:val="18"/>
              </w:rPr>
              <w:t>对外捐赠</w:t>
            </w:r>
          </w:p>
        </w:tc>
        <w:tc>
          <w:tcPr>
            <w:tcW w:w="2410" w:type="dxa"/>
            <w:tcBorders>
              <w:top w:val="single" w:color="auto" w:sz="2" w:space="0"/>
              <w:left w:val="single" w:color="auto" w:sz="2" w:space="0"/>
              <w:bottom w:val="single" w:color="auto" w:sz="2" w:space="0"/>
              <w:right w:val="single" w:color="auto" w:sz="2" w:space="0"/>
            </w:tcBorders>
            <w:vAlign w:val="center"/>
          </w:tcPr>
          <w:p w14:paraId="5DC54E4E">
            <w:pPr>
              <w:spacing w:line="240" w:lineRule="exact"/>
              <w:jc w:val="right"/>
              <w:rPr>
                <w:rFonts w:ascii="宋体" w:hAnsi="宋体" w:eastAsia="宋体" w:cs="宋体"/>
                <w:sz w:val="18"/>
                <w:szCs w:val="18"/>
              </w:rPr>
            </w:pPr>
            <w:r>
              <w:rPr>
                <w:rFonts w:ascii="宋体" w:hAnsi="宋体" w:eastAsia="宋体" w:cs="宋体"/>
                <w:sz w:val="18"/>
                <w:szCs w:val="18"/>
              </w:rPr>
              <w:t>51,907.50</w:t>
            </w:r>
          </w:p>
        </w:tc>
        <w:tc>
          <w:tcPr>
            <w:tcW w:w="2410" w:type="dxa"/>
            <w:tcBorders>
              <w:top w:val="single" w:color="auto" w:sz="2" w:space="0"/>
              <w:left w:val="single" w:color="auto" w:sz="2" w:space="0"/>
              <w:bottom w:val="single" w:color="auto" w:sz="2" w:space="0"/>
              <w:right w:val="single" w:color="auto" w:sz="2" w:space="0"/>
            </w:tcBorders>
            <w:vAlign w:val="center"/>
          </w:tcPr>
          <w:p w14:paraId="7559DF7F">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3E01130">
            <w:pPr>
              <w:spacing w:line="240" w:lineRule="exact"/>
              <w:jc w:val="right"/>
              <w:rPr>
                <w:rFonts w:ascii="宋体" w:hAnsi="宋体" w:eastAsia="宋体" w:cs="宋体"/>
                <w:sz w:val="18"/>
                <w:szCs w:val="18"/>
              </w:rPr>
            </w:pPr>
            <w:r>
              <w:rPr>
                <w:rFonts w:ascii="宋体" w:hAnsi="宋体" w:eastAsia="宋体" w:cs="宋体"/>
                <w:sz w:val="18"/>
                <w:szCs w:val="18"/>
              </w:rPr>
              <w:t>51,907.50</w:t>
            </w:r>
          </w:p>
        </w:tc>
      </w:tr>
      <w:tr w14:paraId="26D6A2B3">
        <w:trPr>
          <w:trHeight w:val="240" w:hRule="atLeast"/>
        </w:trPr>
        <w:tc>
          <w:tcPr>
            <w:tcW w:w="2409" w:type="dxa"/>
            <w:tcBorders>
              <w:top w:val="single" w:color="auto" w:sz="2" w:space="0"/>
              <w:left w:val="single" w:color="auto" w:sz="2" w:space="0"/>
              <w:bottom w:val="single" w:color="auto" w:sz="2" w:space="0"/>
              <w:right w:val="single" w:color="auto" w:sz="2" w:space="0"/>
            </w:tcBorders>
            <w:vAlign w:val="center"/>
          </w:tcPr>
          <w:p w14:paraId="1B7CD287">
            <w:pPr>
              <w:spacing w:line="240" w:lineRule="exact"/>
              <w:rPr>
                <w:rFonts w:ascii="宋体" w:hAnsi="宋体" w:eastAsia="宋体" w:cs="宋体"/>
                <w:sz w:val="18"/>
                <w:szCs w:val="18"/>
              </w:rPr>
            </w:pPr>
            <w:r>
              <w:rPr>
                <w:rFonts w:ascii="宋体" w:hAnsi="宋体" w:eastAsia="宋体" w:cs="宋体"/>
                <w:sz w:val="18"/>
                <w:szCs w:val="18"/>
              </w:rPr>
              <w:t>诉讼预计损失</w:t>
            </w:r>
          </w:p>
        </w:tc>
        <w:tc>
          <w:tcPr>
            <w:tcW w:w="2410" w:type="dxa"/>
            <w:tcBorders>
              <w:top w:val="single" w:color="auto" w:sz="2" w:space="0"/>
              <w:left w:val="single" w:color="auto" w:sz="2" w:space="0"/>
              <w:bottom w:val="single" w:color="auto" w:sz="2" w:space="0"/>
              <w:right w:val="single" w:color="auto" w:sz="2" w:space="0"/>
            </w:tcBorders>
            <w:vAlign w:val="center"/>
          </w:tcPr>
          <w:p w14:paraId="1EA54602">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57B80B6">
            <w:pPr>
              <w:spacing w:line="240" w:lineRule="exact"/>
              <w:jc w:val="right"/>
              <w:rPr>
                <w:rFonts w:ascii="宋体" w:hAnsi="宋体" w:eastAsia="宋体" w:cs="宋体"/>
                <w:sz w:val="18"/>
                <w:szCs w:val="18"/>
              </w:rPr>
            </w:pPr>
            <w:r>
              <w:rPr>
                <w:rFonts w:ascii="宋体" w:hAnsi="宋体" w:eastAsia="宋体" w:cs="宋体"/>
                <w:sz w:val="18"/>
                <w:szCs w:val="18"/>
              </w:rPr>
              <w:t>260,450.00</w:t>
            </w:r>
          </w:p>
        </w:tc>
        <w:tc>
          <w:tcPr>
            <w:tcW w:w="2410" w:type="dxa"/>
            <w:tcBorders>
              <w:top w:val="single" w:color="auto" w:sz="2" w:space="0"/>
              <w:left w:val="single" w:color="auto" w:sz="2" w:space="0"/>
              <w:bottom w:val="single" w:color="auto" w:sz="2" w:space="0"/>
              <w:right w:val="single" w:color="auto" w:sz="2" w:space="0"/>
            </w:tcBorders>
            <w:vAlign w:val="center"/>
          </w:tcPr>
          <w:p w14:paraId="2E05929F">
            <w:pPr>
              <w:spacing w:line="240" w:lineRule="exact"/>
              <w:jc w:val="right"/>
              <w:rPr>
                <w:rFonts w:ascii="宋体" w:hAnsi="宋体" w:eastAsia="宋体" w:cs="宋体"/>
                <w:sz w:val="18"/>
                <w:szCs w:val="18"/>
              </w:rPr>
            </w:pPr>
          </w:p>
        </w:tc>
      </w:tr>
      <w:tr w14:paraId="7E321BAD">
        <w:trPr>
          <w:trHeight w:val="240" w:hRule="atLeast"/>
        </w:trPr>
        <w:tc>
          <w:tcPr>
            <w:tcW w:w="2409" w:type="dxa"/>
            <w:tcBorders>
              <w:top w:val="single" w:color="auto" w:sz="2" w:space="0"/>
              <w:left w:val="single" w:color="auto" w:sz="2" w:space="0"/>
              <w:bottom w:val="single" w:color="auto" w:sz="2" w:space="0"/>
              <w:right w:val="single" w:color="auto" w:sz="2" w:space="0"/>
            </w:tcBorders>
            <w:vAlign w:val="center"/>
          </w:tcPr>
          <w:p w14:paraId="132C64B4">
            <w:pPr>
              <w:spacing w:line="240" w:lineRule="exact"/>
              <w:rPr>
                <w:rFonts w:ascii="宋体" w:hAnsi="宋体" w:eastAsia="宋体" w:cs="宋体"/>
                <w:sz w:val="18"/>
                <w:szCs w:val="18"/>
              </w:rPr>
            </w:pPr>
            <w:r>
              <w:rPr>
                <w:rFonts w:ascii="宋体" w:hAnsi="宋体" w:eastAsia="宋体" w:cs="宋体"/>
                <w:sz w:val="18"/>
                <w:szCs w:val="18"/>
              </w:rPr>
              <w:t>处理固定资产损失</w:t>
            </w:r>
          </w:p>
        </w:tc>
        <w:tc>
          <w:tcPr>
            <w:tcW w:w="2410" w:type="dxa"/>
            <w:tcBorders>
              <w:top w:val="single" w:color="auto" w:sz="2" w:space="0"/>
              <w:left w:val="single" w:color="auto" w:sz="2" w:space="0"/>
              <w:bottom w:val="single" w:color="auto" w:sz="2" w:space="0"/>
              <w:right w:val="single" w:color="auto" w:sz="2" w:space="0"/>
            </w:tcBorders>
            <w:vAlign w:val="center"/>
          </w:tcPr>
          <w:p w14:paraId="291FFF4B">
            <w:pPr>
              <w:spacing w:line="240" w:lineRule="exact"/>
              <w:jc w:val="right"/>
              <w:rPr>
                <w:rFonts w:ascii="宋体" w:hAnsi="宋体" w:eastAsia="宋体" w:cs="宋体"/>
                <w:sz w:val="18"/>
                <w:szCs w:val="18"/>
              </w:rPr>
            </w:pPr>
            <w:r>
              <w:rPr>
                <w:rFonts w:ascii="宋体" w:hAnsi="宋体" w:eastAsia="宋体" w:cs="宋体"/>
                <w:sz w:val="18"/>
                <w:szCs w:val="18"/>
              </w:rPr>
              <w:t>281,185.69</w:t>
            </w:r>
          </w:p>
        </w:tc>
        <w:tc>
          <w:tcPr>
            <w:tcW w:w="2410" w:type="dxa"/>
            <w:tcBorders>
              <w:top w:val="single" w:color="auto" w:sz="2" w:space="0"/>
              <w:left w:val="single" w:color="auto" w:sz="2" w:space="0"/>
              <w:bottom w:val="single" w:color="auto" w:sz="2" w:space="0"/>
              <w:right w:val="single" w:color="auto" w:sz="2" w:space="0"/>
            </w:tcBorders>
            <w:vAlign w:val="center"/>
          </w:tcPr>
          <w:p w14:paraId="4B91B909">
            <w:pPr>
              <w:spacing w:line="240" w:lineRule="exact"/>
              <w:jc w:val="right"/>
              <w:rPr>
                <w:rFonts w:ascii="宋体" w:hAnsi="宋体" w:eastAsia="宋体" w:cs="宋体"/>
                <w:sz w:val="18"/>
                <w:szCs w:val="18"/>
              </w:rPr>
            </w:pPr>
            <w:r>
              <w:rPr>
                <w:rFonts w:ascii="宋体" w:hAnsi="宋体" w:eastAsia="宋体" w:cs="宋体"/>
                <w:sz w:val="18"/>
                <w:szCs w:val="18"/>
              </w:rPr>
              <w:t>5,627,267.74</w:t>
            </w:r>
          </w:p>
        </w:tc>
        <w:tc>
          <w:tcPr>
            <w:tcW w:w="2410" w:type="dxa"/>
            <w:tcBorders>
              <w:top w:val="single" w:color="auto" w:sz="2" w:space="0"/>
              <w:left w:val="single" w:color="auto" w:sz="2" w:space="0"/>
              <w:bottom w:val="single" w:color="auto" w:sz="2" w:space="0"/>
              <w:right w:val="single" w:color="auto" w:sz="2" w:space="0"/>
            </w:tcBorders>
            <w:vAlign w:val="center"/>
          </w:tcPr>
          <w:p w14:paraId="3074717A">
            <w:pPr>
              <w:spacing w:line="240" w:lineRule="exact"/>
              <w:jc w:val="right"/>
              <w:rPr>
                <w:rFonts w:ascii="宋体" w:hAnsi="宋体" w:eastAsia="宋体" w:cs="宋体"/>
                <w:sz w:val="18"/>
                <w:szCs w:val="18"/>
              </w:rPr>
            </w:pPr>
            <w:r>
              <w:rPr>
                <w:rFonts w:ascii="宋体" w:hAnsi="宋体" w:eastAsia="宋体" w:cs="宋体"/>
                <w:sz w:val="18"/>
                <w:szCs w:val="18"/>
              </w:rPr>
              <w:t>281,185.69</w:t>
            </w:r>
          </w:p>
        </w:tc>
      </w:tr>
      <w:tr w14:paraId="02142683">
        <w:trPr>
          <w:trHeight w:val="240" w:hRule="atLeast"/>
        </w:trPr>
        <w:tc>
          <w:tcPr>
            <w:tcW w:w="2409" w:type="dxa"/>
            <w:tcBorders>
              <w:top w:val="single" w:color="auto" w:sz="2" w:space="0"/>
              <w:left w:val="single" w:color="auto" w:sz="2" w:space="0"/>
              <w:bottom w:val="single" w:color="auto" w:sz="2" w:space="0"/>
              <w:right w:val="single" w:color="auto" w:sz="2" w:space="0"/>
            </w:tcBorders>
            <w:vAlign w:val="center"/>
          </w:tcPr>
          <w:p w14:paraId="635CAB30">
            <w:pPr>
              <w:spacing w:line="240" w:lineRule="exact"/>
              <w:rPr>
                <w:rFonts w:ascii="宋体" w:hAnsi="宋体" w:eastAsia="宋体" w:cs="宋体"/>
                <w:sz w:val="18"/>
                <w:szCs w:val="18"/>
              </w:rPr>
            </w:pPr>
            <w:r>
              <w:rPr>
                <w:rFonts w:ascii="宋体" w:hAnsi="宋体" w:eastAsia="宋体" w:cs="宋体"/>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75204DA4">
            <w:pPr>
              <w:spacing w:line="240" w:lineRule="exact"/>
              <w:jc w:val="right"/>
              <w:rPr>
                <w:rFonts w:ascii="宋体" w:hAnsi="宋体" w:eastAsia="宋体" w:cs="宋体"/>
                <w:sz w:val="18"/>
                <w:szCs w:val="18"/>
              </w:rPr>
            </w:pPr>
            <w:r>
              <w:rPr>
                <w:rFonts w:ascii="宋体" w:hAnsi="宋体" w:eastAsia="宋体" w:cs="宋体"/>
                <w:sz w:val="18"/>
                <w:szCs w:val="18"/>
              </w:rPr>
              <w:t>79,684.77</w:t>
            </w:r>
          </w:p>
        </w:tc>
        <w:tc>
          <w:tcPr>
            <w:tcW w:w="2410" w:type="dxa"/>
            <w:tcBorders>
              <w:top w:val="single" w:color="auto" w:sz="2" w:space="0"/>
              <w:left w:val="single" w:color="auto" w:sz="2" w:space="0"/>
              <w:bottom w:val="single" w:color="auto" w:sz="2" w:space="0"/>
              <w:right w:val="single" w:color="auto" w:sz="2" w:space="0"/>
            </w:tcBorders>
            <w:vAlign w:val="center"/>
          </w:tcPr>
          <w:p w14:paraId="734F7A6C">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B18662A">
            <w:pPr>
              <w:spacing w:line="240" w:lineRule="exact"/>
              <w:jc w:val="right"/>
              <w:rPr>
                <w:rFonts w:ascii="宋体" w:hAnsi="宋体" w:eastAsia="宋体" w:cs="宋体"/>
                <w:sz w:val="18"/>
                <w:szCs w:val="18"/>
              </w:rPr>
            </w:pPr>
            <w:r>
              <w:rPr>
                <w:rFonts w:ascii="宋体" w:hAnsi="宋体" w:eastAsia="宋体" w:cs="宋体"/>
                <w:sz w:val="18"/>
                <w:szCs w:val="18"/>
              </w:rPr>
              <w:t>79,684.77</w:t>
            </w:r>
          </w:p>
        </w:tc>
      </w:tr>
      <w:tr w14:paraId="6EE8B34C">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A162D7B">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FDBA2E0">
            <w:pPr>
              <w:spacing w:line="240" w:lineRule="exact"/>
              <w:jc w:val="right"/>
              <w:rPr>
                <w:rFonts w:ascii="宋体" w:hAnsi="宋体" w:eastAsia="宋体" w:cs="宋体"/>
                <w:sz w:val="18"/>
                <w:szCs w:val="18"/>
              </w:rPr>
            </w:pPr>
            <w:r>
              <w:rPr>
                <w:rFonts w:ascii="宋体" w:hAnsi="宋体" w:eastAsia="宋体" w:cs="宋体"/>
                <w:sz w:val="18"/>
                <w:szCs w:val="18"/>
              </w:rPr>
              <w:t>412,777.96</w:t>
            </w:r>
          </w:p>
        </w:tc>
        <w:tc>
          <w:tcPr>
            <w:tcW w:w="2410" w:type="dxa"/>
            <w:tcBorders>
              <w:top w:val="single" w:color="auto" w:sz="2" w:space="0"/>
              <w:left w:val="single" w:color="auto" w:sz="2" w:space="0"/>
              <w:bottom w:val="single" w:color="auto" w:sz="2" w:space="0"/>
              <w:right w:val="single" w:color="auto" w:sz="2" w:space="0"/>
            </w:tcBorders>
            <w:vAlign w:val="center"/>
          </w:tcPr>
          <w:p w14:paraId="48043807">
            <w:pPr>
              <w:spacing w:line="240" w:lineRule="exact"/>
              <w:jc w:val="right"/>
              <w:rPr>
                <w:rFonts w:ascii="宋体" w:hAnsi="宋体" w:eastAsia="宋体" w:cs="宋体"/>
                <w:sz w:val="18"/>
                <w:szCs w:val="18"/>
              </w:rPr>
            </w:pPr>
            <w:r>
              <w:rPr>
                <w:rFonts w:ascii="宋体" w:hAnsi="宋体" w:eastAsia="宋体" w:cs="宋体"/>
                <w:sz w:val="18"/>
                <w:szCs w:val="18"/>
              </w:rPr>
              <w:t>5,887,717.74</w:t>
            </w:r>
          </w:p>
        </w:tc>
        <w:tc>
          <w:tcPr>
            <w:tcW w:w="2410" w:type="dxa"/>
            <w:tcBorders>
              <w:top w:val="single" w:color="auto" w:sz="2" w:space="0"/>
              <w:left w:val="single" w:color="auto" w:sz="2" w:space="0"/>
              <w:bottom w:val="single" w:color="auto" w:sz="2" w:space="0"/>
              <w:right w:val="single" w:color="auto" w:sz="2" w:space="0"/>
            </w:tcBorders>
            <w:vAlign w:val="center"/>
          </w:tcPr>
          <w:p w14:paraId="64E63769">
            <w:pPr>
              <w:spacing w:line="240" w:lineRule="exact"/>
              <w:jc w:val="right"/>
              <w:rPr>
                <w:rFonts w:ascii="宋体" w:hAnsi="宋体" w:eastAsia="宋体" w:cs="宋体"/>
                <w:sz w:val="18"/>
                <w:szCs w:val="18"/>
              </w:rPr>
            </w:pPr>
            <w:r>
              <w:rPr>
                <w:rFonts w:ascii="宋体" w:hAnsi="宋体" w:eastAsia="宋体" w:cs="宋体"/>
                <w:sz w:val="18"/>
                <w:szCs w:val="18"/>
              </w:rPr>
              <w:t>412,777.96</w:t>
            </w:r>
          </w:p>
        </w:tc>
      </w:tr>
    </w:tbl>
    <w:p w14:paraId="6C6D5641">
      <w:pPr>
        <w:spacing w:before="100" w:after="100" w:line="240" w:lineRule="exact"/>
      </w:pPr>
      <w:r>
        <w:rPr>
          <w:rFonts w:ascii="宋体" w:hAnsi="宋体" w:eastAsia="宋体" w:cs="宋体"/>
          <w:sz w:val="18"/>
          <w:szCs w:val="18"/>
        </w:rPr>
        <w:t>其他说明：</w:t>
      </w:r>
    </w:p>
    <w:p w14:paraId="68386D76">
      <w:pPr>
        <w:pStyle w:val="3"/>
        <w:spacing w:after="100" w:line="280" w:lineRule="exact"/>
        <w:jc w:val="left"/>
        <w:rPr>
          <w:rFonts w:ascii="宋体" w:hAnsi="宋体" w:cs="宋体"/>
          <w:b/>
          <w:bCs/>
        </w:rPr>
      </w:pPr>
      <w:bookmarkStart w:id="364" w:name="_Toc989253"/>
      <w:r>
        <w:rPr>
          <w:rFonts w:ascii="宋体" w:hAnsi="宋体" w:cs="宋体"/>
          <w:b/>
          <w:bCs/>
        </w:rPr>
        <w:t>76、所得税费用</w:t>
      </w:r>
      <w:bookmarkEnd w:id="364"/>
    </w:p>
    <w:p w14:paraId="57CC3F60">
      <w:pPr>
        <w:keepNext/>
        <w:keepLines/>
        <w:spacing w:before="300" w:after="100" w:line="280" w:lineRule="exact"/>
        <w:outlineLvl w:val="3"/>
        <w:rPr>
          <w:rFonts w:ascii="宋体" w:hAnsi="宋体" w:eastAsia="宋体" w:cs="宋体"/>
          <w:b/>
          <w:bCs/>
          <w:szCs w:val="21"/>
        </w:rPr>
      </w:pPr>
      <w:bookmarkStart w:id="365" w:name="_Toc989254"/>
      <w:r>
        <w:rPr>
          <w:rFonts w:ascii="宋体" w:hAnsi="宋体" w:eastAsia="宋体" w:cs="宋体"/>
          <w:b/>
          <w:bCs/>
          <w:szCs w:val="21"/>
        </w:rPr>
        <w:t>（1） 所得税费用表</w:t>
      </w:r>
      <w:bookmarkEnd w:id="365"/>
    </w:p>
    <w:p w14:paraId="51A83B3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A4D948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F471B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BA5C6E">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78CC97">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0558E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47A016">
            <w:pPr>
              <w:spacing w:before="40" w:after="40" w:line="240" w:lineRule="exact"/>
              <w:rPr>
                <w:rFonts w:ascii="宋体" w:hAnsi="宋体" w:eastAsia="宋体" w:cs="宋体"/>
                <w:sz w:val="18"/>
                <w:szCs w:val="18"/>
              </w:rPr>
            </w:pPr>
            <w:r>
              <w:rPr>
                <w:rFonts w:ascii="宋体" w:hAnsi="宋体" w:eastAsia="宋体" w:cs="宋体"/>
                <w:sz w:val="18"/>
                <w:szCs w:val="18"/>
              </w:rPr>
              <w:t>当期所得税费用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7FD549CD">
            <w:pPr>
              <w:spacing w:line="240" w:lineRule="exact"/>
              <w:jc w:val="right"/>
              <w:rPr>
                <w:rFonts w:ascii="宋体" w:hAnsi="宋体" w:eastAsia="宋体" w:cs="宋体"/>
                <w:sz w:val="18"/>
                <w:szCs w:val="18"/>
              </w:rPr>
            </w:pPr>
            <w:r>
              <w:rPr>
                <w:rFonts w:ascii="宋体" w:hAnsi="宋体" w:eastAsia="宋体" w:cs="宋体"/>
                <w:sz w:val="18"/>
                <w:szCs w:val="18"/>
              </w:rPr>
              <w:t>5,607,919.83</w:t>
            </w:r>
          </w:p>
        </w:tc>
        <w:tc>
          <w:tcPr>
            <w:tcW w:w="3213" w:type="dxa"/>
            <w:tcBorders>
              <w:top w:val="single" w:color="auto" w:sz="2" w:space="0"/>
              <w:left w:val="single" w:color="auto" w:sz="2" w:space="0"/>
              <w:bottom w:val="single" w:color="auto" w:sz="2" w:space="0"/>
              <w:right w:val="single" w:color="auto" w:sz="2" w:space="0"/>
            </w:tcBorders>
            <w:vAlign w:val="center"/>
          </w:tcPr>
          <w:p w14:paraId="347D2733">
            <w:pPr>
              <w:spacing w:line="240" w:lineRule="exact"/>
              <w:jc w:val="right"/>
              <w:rPr>
                <w:rFonts w:ascii="宋体" w:hAnsi="宋体" w:eastAsia="宋体" w:cs="宋体"/>
                <w:sz w:val="18"/>
                <w:szCs w:val="18"/>
              </w:rPr>
            </w:pPr>
            <w:r>
              <w:rPr>
                <w:rFonts w:ascii="宋体" w:hAnsi="宋体" w:eastAsia="宋体" w:cs="宋体"/>
                <w:sz w:val="18"/>
                <w:szCs w:val="18"/>
              </w:rPr>
              <w:t>2,802,115.88</w:t>
            </w:r>
          </w:p>
        </w:tc>
      </w:tr>
      <w:tr w14:paraId="75F9899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447B61">
            <w:pPr>
              <w:spacing w:before="40" w:after="40" w:line="240" w:lineRule="exact"/>
              <w:rPr>
                <w:rFonts w:ascii="宋体" w:hAnsi="宋体" w:eastAsia="宋体" w:cs="宋体"/>
                <w:sz w:val="18"/>
                <w:szCs w:val="18"/>
              </w:rPr>
            </w:pPr>
            <w:r>
              <w:rPr>
                <w:rFonts w:ascii="宋体" w:hAnsi="宋体" w:eastAsia="宋体" w:cs="宋体"/>
                <w:sz w:val="18"/>
                <w:szCs w:val="18"/>
              </w:rPr>
              <w:t>递延所得税费用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373E050A">
            <w:pPr>
              <w:spacing w:line="240" w:lineRule="exact"/>
              <w:jc w:val="right"/>
              <w:rPr>
                <w:rFonts w:ascii="宋体" w:hAnsi="宋体" w:eastAsia="宋体" w:cs="宋体"/>
                <w:sz w:val="18"/>
                <w:szCs w:val="18"/>
              </w:rPr>
            </w:pPr>
            <w:r>
              <w:rPr>
                <w:rFonts w:ascii="宋体" w:hAnsi="宋体" w:eastAsia="宋体" w:cs="宋体"/>
                <w:sz w:val="18"/>
                <w:szCs w:val="18"/>
              </w:rPr>
              <w:t>1,005.32</w:t>
            </w:r>
          </w:p>
        </w:tc>
        <w:tc>
          <w:tcPr>
            <w:tcW w:w="3213" w:type="dxa"/>
            <w:tcBorders>
              <w:top w:val="single" w:color="auto" w:sz="2" w:space="0"/>
              <w:left w:val="single" w:color="auto" w:sz="2" w:space="0"/>
              <w:bottom w:val="single" w:color="auto" w:sz="2" w:space="0"/>
              <w:right w:val="single" w:color="auto" w:sz="2" w:space="0"/>
            </w:tcBorders>
            <w:vAlign w:val="center"/>
          </w:tcPr>
          <w:p w14:paraId="61543170">
            <w:pPr>
              <w:spacing w:line="240" w:lineRule="exact"/>
              <w:jc w:val="right"/>
              <w:rPr>
                <w:rFonts w:ascii="宋体" w:hAnsi="宋体" w:eastAsia="宋体" w:cs="宋体"/>
                <w:sz w:val="18"/>
                <w:szCs w:val="18"/>
              </w:rPr>
            </w:pPr>
            <w:r>
              <w:rPr>
                <w:rFonts w:ascii="宋体" w:hAnsi="宋体" w:eastAsia="宋体" w:cs="宋体"/>
                <w:sz w:val="18"/>
                <w:szCs w:val="18"/>
              </w:rPr>
              <w:t>-4,323,378.56</w:t>
            </w:r>
          </w:p>
        </w:tc>
      </w:tr>
      <w:tr w14:paraId="0869509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20B2B7">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E74BAF8">
            <w:pPr>
              <w:spacing w:line="240" w:lineRule="exact"/>
              <w:jc w:val="right"/>
              <w:rPr>
                <w:rFonts w:ascii="宋体" w:hAnsi="宋体" w:eastAsia="宋体" w:cs="宋体"/>
                <w:sz w:val="18"/>
                <w:szCs w:val="18"/>
              </w:rPr>
            </w:pPr>
            <w:r>
              <w:rPr>
                <w:rFonts w:ascii="宋体" w:hAnsi="宋体" w:eastAsia="宋体" w:cs="宋体"/>
                <w:sz w:val="18"/>
                <w:szCs w:val="18"/>
              </w:rPr>
              <w:t>5,608,925.15</w:t>
            </w:r>
          </w:p>
        </w:tc>
        <w:tc>
          <w:tcPr>
            <w:tcW w:w="3213" w:type="dxa"/>
            <w:tcBorders>
              <w:top w:val="single" w:color="auto" w:sz="2" w:space="0"/>
              <w:left w:val="single" w:color="auto" w:sz="2" w:space="0"/>
              <w:bottom w:val="single" w:color="auto" w:sz="2" w:space="0"/>
              <w:right w:val="single" w:color="auto" w:sz="2" w:space="0"/>
            </w:tcBorders>
            <w:vAlign w:val="center"/>
          </w:tcPr>
          <w:p w14:paraId="3F35A78B">
            <w:pPr>
              <w:spacing w:line="240" w:lineRule="exact"/>
              <w:jc w:val="right"/>
              <w:rPr>
                <w:rFonts w:ascii="宋体" w:hAnsi="宋体" w:eastAsia="宋体" w:cs="宋体"/>
                <w:sz w:val="18"/>
                <w:szCs w:val="18"/>
              </w:rPr>
            </w:pPr>
            <w:r>
              <w:rPr>
                <w:rFonts w:ascii="宋体" w:hAnsi="宋体" w:eastAsia="宋体" w:cs="宋体"/>
                <w:sz w:val="18"/>
                <w:szCs w:val="18"/>
              </w:rPr>
              <w:t>-1,521,262.68</w:t>
            </w:r>
          </w:p>
        </w:tc>
      </w:tr>
    </w:tbl>
    <w:p w14:paraId="4B44B90B">
      <w:pPr>
        <w:keepNext/>
        <w:keepLines/>
        <w:spacing w:before="300" w:after="100" w:line="280" w:lineRule="exact"/>
        <w:outlineLvl w:val="3"/>
        <w:rPr>
          <w:rFonts w:ascii="宋体" w:hAnsi="宋体" w:eastAsia="宋体" w:cs="宋体"/>
          <w:b/>
          <w:bCs/>
          <w:szCs w:val="21"/>
        </w:rPr>
      </w:pPr>
      <w:bookmarkStart w:id="366" w:name="_Toc989255"/>
      <w:r>
        <w:rPr>
          <w:rFonts w:ascii="宋体" w:hAnsi="宋体" w:eastAsia="宋体" w:cs="宋体"/>
          <w:b/>
          <w:bCs/>
          <w:szCs w:val="21"/>
        </w:rPr>
        <w:t>（2） 会计利润与所得税费用调整过程</w:t>
      </w:r>
      <w:bookmarkEnd w:id="366"/>
    </w:p>
    <w:p w14:paraId="267BCA3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7C363DB7">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608828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F8569B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r>
      <w:tr w14:paraId="78BBDD4F">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7EA8F50">
            <w:pPr>
              <w:spacing w:before="40" w:after="40" w:line="240" w:lineRule="exact"/>
              <w:rPr>
                <w:rFonts w:ascii="宋体" w:hAnsi="宋体" w:eastAsia="宋体" w:cs="宋体"/>
                <w:sz w:val="18"/>
                <w:szCs w:val="18"/>
              </w:rPr>
            </w:pPr>
            <w:r>
              <w:rPr>
                <w:rFonts w:ascii="宋体" w:hAnsi="宋体" w:eastAsia="宋体" w:cs="宋体"/>
                <w:sz w:val="18"/>
                <w:szCs w:val="18"/>
              </w:rPr>
              <w:t>利润总额</w:t>
            </w:r>
          </w:p>
        </w:tc>
        <w:tc>
          <w:tcPr>
            <w:tcW w:w="4820" w:type="dxa"/>
            <w:tcBorders>
              <w:top w:val="single" w:color="auto" w:sz="2" w:space="0"/>
              <w:left w:val="single" w:color="auto" w:sz="2" w:space="0"/>
              <w:bottom w:val="single" w:color="auto" w:sz="2" w:space="0"/>
              <w:right w:val="single" w:color="auto" w:sz="2" w:space="0"/>
            </w:tcBorders>
            <w:vAlign w:val="center"/>
          </w:tcPr>
          <w:p w14:paraId="0C88D764">
            <w:pPr>
              <w:spacing w:line="240" w:lineRule="exact"/>
              <w:jc w:val="right"/>
              <w:rPr>
                <w:rFonts w:ascii="宋体" w:hAnsi="宋体" w:eastAsia="宋体" w:cs="宋体"/>
                <w:sz w:val="18"/>
                <w:szCs w:val="18"/>
              </w:rPr>
            </w:pPr>
            <w:r>
              <w:rPr>
                <w:rFonts w:ascii="宋体" w:hAnsi="宋体" w:eastAsia="宋体" w:cs="宋体"/>
                <w:sz w:val="18"/>
                <w:szCs w:val="18"/>
              </w:rPr>
              <w:t>36,798,903.53</w:t>
            </w:r>
          </w:p>
        </w:tc>
      </w:tr>
      <w:tr w14:paraId="66B76393">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A261290">
            <w:pPr>
              <w:spacing w:before="40" w:after="40" w:line="240" w:lineRule="exact"/>
              <w:rPr>
                <w:rFonts w:ascii="宋体" w:hAnsi="宋体" w:eastAsia="宋体" w:cs="宋体"/>
                <w:sz w:val="18"/>
                <w:szCs w:val="18"/>
              </w:rPr>
            </w:pPr>
            <w:r>
              <w:rPr>
                <w:rFonts w:ascii="宋体" w:hAnsi="宋体" w:eastAsia="宋体" w:cs="宋体"/>
                <w:sz w:val="18"/>
                <w:szCs w:val="18"/>
              </w:rPr>
              <w:t>按法定/适用税率计算的所得税费用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01A309B0">
            <w:pPr>
              <w:spacing w:line="240" w:lineRule="exact"/>
              <w:jc w:val="right"/>
              <w:rPr>
                <w:rFonts w:ascii="宋体" w:hAnsi="宋体" w:eastAsia="宋体" w:cs="宋体"/>
                <w:sz w:val="18"/>
                <w:szCs w:val="18"/>
              </w:rPr>
            </w:pPr>
            <w:r>
              <w:rPr>
                <w:rFonts w:ascii="宋体" w:hAnsi="宋体" w:eastAsia="宋体" w:cs="宋体"/>
                <w:sz w:val="18"/>
                <w:szCs w:val="18"/>
              </w:rPr>
              <w:t>5,519,835.53</w:t>
            </w:r>
          </w:p>
        </w:tc>
      </w:tr>
      <w:tr w14:paraId="5955401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473F8EA">
            <w:pPr>
              <w:spacing w:before="40" w:after="40" w:line="240" w:lineRule="exact"/>
              <w:rPr>
                <w:rFonts w:ascii="宋体" w:hAnsi="宋体" w:eastAsia="宋体" w:cs="宋体"/>
                <w:sz w:val="18"/>
                <w:szCs w:val="18"/>
              </w:rPr>
            </w:pPr>
            <w:r>
              <w:rPr>
                <w:rFonts w:ascii="宋体" w:hAnsi="宋体" w:eastAsia="宋体" w:cs="宋体"/>
                <w:sz w:val="18"/>
                <w:szCs w:val="18"/>
              </w:rPr>
              <w:t>子公司适用不同税率的影响</w:t>
            </w:r>
          </w:p>
        </w:tc>
        <w:tc>
          <w:tcPr>
            <w:tcW w:w="4820" w:type="dxa"/>
            <w:tcBorders>
              <w:top w:val="single" w:color="auto" w:sz="2" w:space="0"/>
              <w:left w:val="single" w:color="auto" w:sz="2" w:space="0"/>
              <w:bottom w:val="single" w:color="auto" w:sz="2" w:space="0"/>
              <w:right w:val="single" w:color="auto" w:sz="2" w:space="0"/>
            </w:tcBorders>
            <w:vAlign w:val="center"/>
          </w:tcPr>
          <w:p w14:paraId="1020E747">
            <w:pPr>
              <w:spacing w:line="240" w:lineRule="exact"/>
              <w:jc w:val="right"/>
              <w:rPr>
                <w:rFonts w:ascii="宋体" w:hAnsi="宋体" w:eastAsia="宋体" w:cs="宋体"/>
                <w:sz w:val="18"/>
                <w:szCs w:val="18"/>
              </w:rPr>
            </w:pPr>
            <w:r>
              <w:rPr>
                <w:rFonts w:ascii="宋体" w:hAnsi="宋体" w:eastAsia="宋体" w:cs="宋体"/>
                <w:sz w:val="18"/>
                <w:szCs w:val="18"/>
              </w:rPr>
              <w:t>-3,187,955.59</w:t>
            </w:r>
          </w:p>
        </w:tc>
      </w:tr>
      <w:tr w14:paraId="2BD75912">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688C67D">
            <w:pPr>
              <w:spacing w:before="40" w:after="40" w:line="240" w:lineRule="exact"/>
              <w:rPr>
                <w:rFonts w:ascii="宋体" w:hAnsi="宋体" w:eastAsia="宋体" w:cs="宋体"/>
                <w:sz w:val="18"/>
                <w:szCs w:val="18"/>
              </w:rPr>
            </w:pPr>
            <w:r>
              <w:rPr>
                <w:rFonts w:ascii="宋体" w:hAnsi="宋体" w:eastAsia="宋体" w:cs="宋体"/>
                <w:sz w:val="18"/>
                <w:szCs w:val="18"/>
              </w:rPr>
              <w:t>非应税收入的影响</w:t>
            </w:r>
          </w:p>
        </w:tc>
        <w:tc>
          <w:tcPr>
            <w:tcW w:w="4820" w:type="dxa"/>
            <w:tcBorders>
              <w:top w:val="single" w:color="auto" w:sz="2" w:space="0"/>
              <w:left w:val="single" w:color="auto" w:sz="2" w:space="0"/>
              <w:bottom w:val="single" w:color="auto" w:sz="2" w:space="0"/>
              <w:right w:val="single" w:color="auto" w:sz="2" w:space="0"/>
            </w:tcBorders>
            <w:vAlign w:val="center"/>
          </w:tcPr>
          <w:p w14:paraId="38338739">
            <w:pPr>
              <w:spacing w:line="240" w:lineRule="exact"/>
              <w:jc w:val="right"/>
              <w:rPr>
                <w:rFonts w:ascii="宋体" w:hAnsi="宋体" w:eastAsia="宋体" w:cs="宋体"/>
                <w:sz w:val="18"/>
                <w:szCs w:val="18"/>
              </w:rPr>
            </w:pPr>
            <w:r>
              <w:rPr>
                <w:rFonts w:ascii="宋体" w:hAnsi="宋体" w:eastAsia="宋体" w:cs="宋体"/>
                <w:sz w:val="18"/>
                <w:szCs w:val="18"/>
              </w:rPr>
              <w:t>486,877.60</w:t>
            </w:r>
          </w:p>
        </w:tc>
      </w:tr>
      <w:tr w14:paraId="237DCC95">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F80C653">
            <w:pPr>
              <w:spacing w:before="40" w:after="40" w:line="240" w:lineRule="exact"/>
              <w:rPr>
                <w:rFonts w:ascii="宋体" w:hAnsi="宋体" w:eastAsia="宋体" w:cs="宋体"/>
                <w:sz w:val="18"/>
                <w:szCs w:val="18"/>
              </w:rPr>
            </w:pPr>
            <w:r>
              <w:rPr>
                <w:rFonts w:ascii="宋体" w:hAnsi="宋体" w:eastAsia="宋体" w:cs="宋体"/>
                <w:sz w:val="18"/>
                <w:szCs w:val="18"/>
              </w:rPr>
              <w:t>不可抵扣的成本、费用和损失的影响</w:t>
            </w:r>
          </w:p>
        </w:tc>
        <w:tc>
          <w:tcPr>
            <w:tcW w:w="4820" w:type="dxa"/>
            <w:tcBorders>
              <w:top w:val="single" w:color="auto" w:sz="2" w:space="0"/>
              <w:left w:val="single" w:color="auto" w:sz="2" w:space="0"/>
              <w:bottom w:val="single" w:color="auto" w:sz="2" w:space="0"/>
              <w:right w:val="single" w:color="auto" w:sz="2" w:space="0"/>
            </w:tcBorders>
            <w:vAlign w:val="center"/>
          </w:tcPr>
          <w:p w14:paraId="637BD30B">
            <w:pPr>
              <w:widowControl/>
              <w:spacing w:line="240" w:lineRule="auto"/>
              <w:jc w:val="right"/>
              <w:rPr>
                <w:rFonts w:ascii="宋体" w:hAnsi="宋体" w:eastAsia="宋体" w:cs="宋体"/>
                <w:sz w:val="18"/>
                <w:szCs w:val="18"/>
              </w:rPr>
            </w:pPr>
            <w:r>
              <w:rPr>
                <w:rFonts w:ascii="Times New Roman" w:hAnsi="Times New Roman" w:eastAsia="等线" w:cs="Times New Roman"/>
                <w:b/>
                <w:bCs/>
                <w:color w:val="000000"/>
                <w:sz w:val="20"/>
                <w:szCs w:val="20"/>
              </w:rPr>
              <w:t xml:space="preserve">           </w:t>
            </w:r>
            <w:r>
              <w:rPr>
                <w:rFonts w:hint="eastAsia" w:ascii="宋体" w:hAnsi="宋体" w:eastAsia="宋体" w:cs="宋体"/>
                <w:b w:val="0"/>
                <w:bCs w:val="0"/>
                <w:color w:val="000000"/>
                <w:sz w:val="18"/>
                <w:szCs w:val="18"/>
              </w:rPr>
              <w:t xml:space="preserve">     307,557.77 </w:t>
            </w:r>
          </w:p>
        </w:tc>
      </w:tr>
      <w:tr w14:paraId="4935CEC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C1E312B">
            <w:pPr>
              <w:spacing w:before="40" w:after="40" w:line="240" w:lineRule="exact"/>
              <w:rPr>
                <w:rFonts w:ascii="宋体" w:hAnsi="宋体" w:eastAsia="宋体" w:cs="宋体"/>
                <w:sz w:val="18"/>
                <w:szCs w:val="18"/>
              </w:rPr>
            </w:pPr>
            <w:r>
              <w:rPr>
                <w:rFonts w:ascii="宋体" w:hAnsi="宋体" w:eastAsia="宋体" w:cs="宋体"/>
                <w:sz w:val="18"/>
                <w:szCs w:val="18"/>
              </w:rPr>
              <w:t>本期未确认递延所得税资产的可抵扣暂时性差异或可抵扣亏损的影响</w:t>
            </w:r>
          </w:p>
        </w:tc>
        <w:tc>
          <w:tcPr>
            <w:tcW w:w="4820" w:type="dxa"/>
            <w:tcBorders>
              <w:top w:val="single" w:color="auto" w:sz="2" w:space="0"/>
              <w:left w:val="single" w:color="auto" w:sz="2" w:space="0"/>
              <w:bottom w:val="single" w:color="auto" w:sz="2" w:space="0"/>
              <w:right w:val="single" w:color="auto" w:sz="2" w:space="0"/>
            </w:tcBorders>
            <w:vAlign w:val="center"/>
          </w:tcPr>
          <w:p w14:paraId="1D510B93">
            <w:pPr>
              <w:spacing w:line="240" w:lineRule="exact"/>
              <w:jc w:val="right"/>
              <w:rPr>
                <w:rFonts w:ascii="宋体" w:hAnsi="宋体" w:eastAsia="宋体" w:cs="宋体"/>
                <w:sz w:val="18"/>
                <w:szCs w:val="18"/>
              </w:rPr>
            </w:pPr>
            <w:r>
              <w:rPr>
                <w:rFonts w:ascii="宋体" w:hAnsi="宋体" w:eastAsia="宋体" w:cs="宋体"/>
                <w:sz w:val="18"/>
                <w:szCs w:val="18"/>
              </w:rPr>
              <w:t>2,482,609.85</w:t>
            </w:r>
          </w:p>
        </w:tc>
      </w:tr>
      <w:tr w14:paraId="16100D92">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04ABA54">
            <w:pPr>
              <w:spacing w:before="40" w:after="40" w:line="240" w:lineRule="exact"/>
              <w:rPr>
                <w:rFonts w:ascii="宋体" w:hAnsi="宋体" w:eastAsia="宋体" w:cs="宋体"/>
                <w:sz w:val="18"/>
                <w:szCs w:val="18"/>
              </w:rPr>
            </w:pPr>
            <w:r>
              <w:rPr>
                <w:rFonts w:ascii="宋体" w:hAnsi="宋体" w:eastAsia="宋体" w:cs="宋体"/>
                <w:sz w:val="18"/>
                <w:szCs w:val="18"/>
              </w:rPr>
              <w:t>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3DDB0308">
            <w:pPr>
              <w:spacing w:line="240" w:lineRule="exact"/>
              <w:jc w:val="right"/>
              <w:rPr>
                <w:rFonts w:ascii="宋体" w:hAnsi="宋体" w:eastAsia="宋体" w:cs="宋体"/>
                <w:sz w:val="18"/>
                <w:szCs w:val="18"/>
              </w:rPr>
            </w:pPr>
            <w:r>
              <w:rPr>
                <w:rFonts w:ascii="宋体" w:hAnsi="宋体" w:eastAsia="宋体" w:cs="宋体"/>
                <w:sz w:val="18"/>
                <w:szCs w:val="18"/>
              </w:rPr>
              <w:t>5,608,925.15</w:t>
            </w:r>
          </w:p>
        </w:tc>
      </w:tr>
    </w:tbl>
    <w:p w14:paraId="5ABB43D6">
      <w:pPr>
        <w:spacing w:before="100" w:after="100" w:line="240" w:lineRule="exact"/>
      </w:pPr>
      <w:r>
        <w:rPr>
          <w:rFonts w:ascii="宋体" w:hAnsi="宋体" w:eastAsia="宋体" w:cs="宋体"/>
          <w:sz w:val="18"/>
          <w:szCs w:val="18"/>
        </w:rPr>
        <w:t>其他说明</w:t>
      </w:r>
    </w:p>
    <w:p w14:paraId="7A9B6A4F">
      <w:pPr>
        <w:pStyle w:val="3"/>
        <w:spacing w:after="100" w:line="280" w:lineRule="exact"/>
        <w:jc w:val="left"/>
        <w:rPr>
          <w:rFonts w:ascii="宋体" w:hAnsi="宋体" w:cs="宋体"/>
          <w:b/>
          <w:bCs/>
        </w:rPr>
      </w:pPr>
      <w:bookmarkStart w:id="367" w:name="_Toc989256"/>
      <w:r>
        <w:rPr>
          <w:rFonts w:ascii="宋体" w:hAnsi="宋体" w:cs="宋体"/>
          <w:b/>
          <w:bCs/>
        </w:rPr>
        <w:t>77、其他综合收益</w:t>
      </w:r>
      <w:bookmarkEnd w:id="367"/>
    </w:p>
    <w:p w14:paraId="3ADCA0AF">
      <w:pPr>
        <w:pStyle w:val="3"/>
        <w:spacing w:after="100" w:line="280" w:lineRule="exact"/>
        <w:jc w:val="left"/>
        <w:rPr>
          <w:rFonts w:ascii="宋体" w:hAnsi="宋体" w:cs="宋体"/>
          <w:b/>
          <w:bCs/>
        </w:rPr>
      </w:pPr>
      <w:bookmarkStart w:id="368" w:name="_Toc989257"/>
      <w:r>
        <w:rPr>
          <w:rFonts w:ascii="宋体" w:hAnsi="宋体" w:cs="宋体"/>
          <w:b/>
          <w:bCs/>
        </w:rPr>
        <w:t>78、现金流量表项目</w:t>
      </w:r>
      <w:bookmarkEnd w:id="368"/>
    </w:p>
    <w:p w14:paraId="3D0D1B36">
      <w:pPr>
        <w:keepNext/>
        <w:keepLines/>
        <w:spacing w:before="300" w:after="100" w:line="280" w:lineRule="exact"/>
        <w:outlineLvl w:val="3"/>
        <w:rPr>
          <w:rFonts w:ascii="宋体" w:hAnsi="宋体" w:eastAsia="宋体" w:cs="宋体"/>
          <w:b/>
          <w:bCs/>
          <w:szCs w:val="21"/>
        </w:rPr>
      </w:pPr>
      <w:bookmarkStart w:id="369" w:name="_Toc989258"/>
      <w:r>
        <w:rPr>
          <w:rFonts w:ascii="宋体" w:hAnsi="宋体" w:eastAsia="宋体" w:cs="宋体"/>
          <w:b/>
          <w:bCs/>
          <w:szCs w:val="21"/>
        </w:rPr>
        <w:t>（1） 与经营活动有关的现金</w:t>
      </w:r>
      <w:bookmarkEnd w:id="369"/>
    </w:p>
    <w:p w14:paraId="3AD9C4F4">
      <w:pPr>
        <w:spacing w:before="100" w:after="100" w:line="240" w:lineRule="exact"/>
        <w:rPr>
          <w:rFonts w:ascii="宋体" w:hAnsi="宋体" w:eastAsia="宋体" w:cs="宋体"/>
          <w:sz w:val="18"/>
          <w:szCs w:val="18"/>
        </w:rPr>
      </w:pPr>
      <w:r>
        <w:rPr>
          <w:rFonts w:ascii="宋体" w:hAnsi="宋体" w:eastAsia="宋体" w:cs="宋体"/>
          <w:sz w:val="18"/>
          <w:szCs w:val="18"/>
        </w:rPr>
        <w:t>收到的其他与经营活动有关的现金</w:t>
      </w:r>
    </w:p>
    <w:p w14:paraId="4F65926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EC6BBC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AEDB2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1B320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5BFB5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CA289B3">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91ECCCF">
            <w:pPr>
              <w:spacing w:line="240" w:lineRule="exac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5DA40347">
            <w:pPr>
              <w:spacing w:line="240" w:lineRule="exact"/>
              <w:jc w:val="right"/>
              <w:rPr>
                <w:rFonts w:ascii="宋体" w:hAnsi="宋体" w:eastAsia="宋体" w:cs="宋体"/>
                <w:sz w:val="18"/>
                <w:szCs w:val="18"/>
              </w:rPr>
            </w:pPr>
            <w:r>
              <w:rPr>
                <w:rFonts w:ascii="宋体" w:hAnsi="宋体" w:eastAsia="宋体" w:cs="宋体"/>
                <w:sz w:val="18"/>
                <w:szCs w:val="18"/>
              </w:rPr>
              <w:t>543,305.34</w:t>
            </w:r>
          </w:p>
        </w:tc>
        <w:tc>
          <w:tcPr>
            <w:tcW w:w="3213" w:type="dxa"/>
            <w:tcBorders>
              <w:top w:val="single" w:color="auto" w:sz="2" w:space="0"/>
              <w:left w:val="single" w:color="auto" w:sz="2" w:space="0"/>
              <w:bottom w:val="single" w:color="auto" w:sz="2" w:space="0"/>
              <w:right w:val="single" w:color="auto" w:sz="2" w:space="0"/>
            </w:tcBorders>
            <w:vAlign w:val="center"/>
          </w:tcPr>
          <w:p w14:paraId="781EB213">
            <w:pPr>
              <w:spacing w:line="240" w:lineRule="exact"/>
              <w:jc w:val="right"/>
              <w:rPr>
                <w:rFonts w:ascii="宋体" w:hAnsi="宋体" w:eastAsia="宋体" w:cs="宋体"/>
                <w:sz w:val="18"/>
                <w:szCs w:val="18"/>
              </w:rPr>
            </w:pPr>
            <w:r>
              <w:rPr>
                <w:rFonts w:ascii="宋体" w:hAnsi="宋体" w:eastAsia="宋体" w:cs="宋体"/>
                <w:sz w:val="18"/>
                <w:szCs w:val="18"/>
              </w:rPr>
              <w:t>65,743.10</w:t>
            </w:r>
          </w:p>
        </w:tc>
      </w:tr>
      <w:tr w14:paraId="57378D6A">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89692E">
            <w:pPr>
              <w:spacing w:line="240" w:lineRule="exact"/>
              <w:rPr>
                <w:rFonts w:ascii="宋体" w:hAnsi="宋体" w:eastAsia="宋体" w:cs="宋体"/>
                <w:sz w:val="18"/>
                <w:szCs w:val="18"/>
              </w:rPr>
            </w:pPr>
            <w:r>
              <w:rPr>
                <w:rFonts w:ascii="宋体" w:hAnsi="宋体" w:eastAsia="宋体" w:cs="宋体"/>
                <w:sz w:val="18"/>
                <w:szCs w:val="18"/>
              </w:rPr>
              <w:t>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3C94B253">
            <w:pPr>
              <w:spacing w:line="240" w:lineRule="exact"/>
              <w:jc w:val="right"/>
              <w:rPr>
                <w:rFonts w:ascii="宋体" w:hAnsi="宋体" w:eastAsia="宋体" w:cs="宋体"/>
                <w:sz w:val="18"/>
                <w:szCs w:val="18"/>
              </w:rPr>
            </w:pPr>
            <w:r>
              <w:rPr>
                <w:rFonts w:ascii="宋体" w:hAnsi="宋体" w:eastAsia="宋体" w:cs="宋体"/>
                <w:sz w:val="18"/>
                <w:szCs w:val="18"/>
              </w:rPr>
              <w:t>69,591.82</w:t>
            </w:r>
          </w:p>
        </w:tc>
        <w:tc>
          <w:tcPr>
            <w:tcW w:w="3213" w:type="dxa"/>
            <w:tcBorders>
              <w:top w:val="single" w:color="auto" w:sz="2" w:space="0"/>
              <w:left w:val="single" w:color="auto" w:sz="2" w:space="0"/>
              <w:bottom w:val="single" w:color="auto" w:sz="2" w:space="0"/>
              <w:right w:val="single" w:color="auto" w:sz="2" w:space="0"/>
            </w:tcBorders>
            <w:vAlign w:val="center"/>
          </w:tcPr>
          <w:p w14:paraId="2F89DEDD">
            <w:pPr>
              <w:spacing w:line="240" w:lineRule="exact"/>
              <w:jc w:val="right"/>
              <w:rPr>
                <w:rFonts w:ascii="宋体" w:hAnsi="宋体" w:eastAsia="宋体" w:cs="宋体"/>
                <w:sz w:val="18"/>
                <w:szCs w:val="18"/>
              </w:rPr>
            </w:pPr>
            <w:r>
              <w:rPr>
                <w:rFonts w:ascii="宋体" w:hAnsi="宋体" w:eastAsia="宋体" w:cs="宋体"/>
                <w:sz w:val="18"/>
                <w:szCs w:val="18"/>
              </w:rPr>
              <w:t>63,237.30</w:t>
            </w:r>
          </w:p>
        </w:tc>
      </w:tr>
      <w:tr w14:paraId="433FAB9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9390024">
            <w:pPr>
              <w:spacing w:line="240" w:lineRule="exact"/>
              <w:rPr>
                <w:rFonts w:ascii="宋体" w:hAnsi="宋体" w:eastAsia="宋体" w:cs="宋体"/>
                <w:sz w:val="18"/>
                <w:szCs w:val="18"/>
              </w:rPr>
            </w:pPr>
            <w:r>
              <w:rPr>
                <w:rFonts w:ascii="宋体" w:hAnsi="宋体" w:eastAsia="宋体" w:cs="宋体"/>
                <w:sz w:val="18"/>
                <w:szCs w:val="18"/>
              </w:rPr>
              <w:t>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6AC71661">
            <w:pPr>
              <w:spacing w:line="240" w:lineRule="exact"/>
              <w:jc w:val="right"/>
              <w:rPr>
                <w:rFonts w:ascii="宋体" w:hAnsi="宋体" w:eastAsia="宋体" w:cs="宋体"/>
                <w:sz w:val="18"/>
                <w:szCs w:val="18"/>
              </w:rPr>
            </w:pPr>
            <w:r>
              <w:rPr>
                <w:rFonts w:ascii="宋体" w:hAnsi="宋体" w:eastAsia="宋体" w:cs="宋体"/>
                <w:sz w:val="18"/>
                <w:szCs w:val="18"/>
              </w:rPr>
              <w:t>15,755.47</w:t>
            </w:r>
          </w:p>
        </w:tc>
        <w:tc>
          <w:tcPr>
            <w:tcW w:w="3213" w:type="dxa"/>
            <w:tcBorders>
              <w:top w:val="single" w:color="auto" w:sz="2" w:space="0"/>
              <w:left w:val="single" w:color="auto" w:sz="2" w:space="0"/>
              <w:bottom w:val="single" w:color="auto" w:sz="2" w:space="0"/>
              <w:right w:val="single" w:color="auto" w:sz="2" w:space="0"/>
            </w:tcBorders>
            <w:vAlign w:val="center"/>
          </w:tcPr>
          <w:p w14:paraId="72B27501">
            <w:pPr>
              <w:spacing w:line="240" w:lineRule="exact"/>
              <w:jc w:val="right"/>
              <w:rPr>
                <w:rFonts w:ascii="宋体" w:hAnsi="宋体" w:eastAsia="宋体" w:cs="宋体"/>
                <w:sz w:val="18"/>
                <w:szCs w:val="18"/>
              </w:rPr>
            </w:pPr>
            <w:r>
              <w:rPr>
                <w:rFonts w:ascii="宋体" w:hAnsi="宋体" w:eastAsia="宋体" w:cs="宋体"/>
                <w:sz w:val="18"/>
                <w:szCs w:val="18"/>
              </w:rPr>
              <w:t>166,749.03</w:t>
            </w:r>
          </w:p>
        </w:tc>
      </w:tr>
      <w:tr w14:paraId="5F913134">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CA77070">
            <w:pPr>
              <w:spacing w:line="240" w:lineRule="exact"/>
              <w:rPr>
                <w:rFonts w:ascii="宋体" w:hAnsi="宋体" w:eastAsia="宋体" w:cs="宋体"/>
                <w:sz w:val="18"/>
                <w:szCs w:val="18"/>
              </w:rPr>
            </w:pPr>
            <w:r>
              <w:rPr>
                <w:rFonts w:ascii="宋体" w:hAnsi="宋体" w:eastAsia="宋体" w:cs="宋体"/>
                <w:sz w:val="18"/>
                <w:szCs w:val="18"/>
              </w:rPr>
              <w:t>往来款及其他</w:t>
            </w:r>
          </w:p>
        </w:tc>
        <w:tc>
          <w:tcPr>
            <w:tcW w:w="3213" w:type="dxa"/>
            <w:tcBorders>
              <w:top w:val="single" w:color="auto" w:sz="2" w:space="0"/>
              <w:left w:val="single" w:color="auto" w:sz="2" w:space="0"/>
              <w:bottom w:val="single" w:color="auto" w:sz="2" w:space="0"/>
              <w:right w:val="single" w:color="auto" w:sz="2" w:space="0"/>
            </w:tcBorders>
            <w:vAlign w:val="center"/>
          </w:tcPr>
          <w:p w14:paraId="3E9160B0">
            <w:pPr>
              <w:spacing w:line="240" w:lineRule="exact"/>
              <w:jc w:val="right"/>
              <w:rPr>
                <w:rFonts w:ascii="宋体" w:hAnsi="宋体" w:eastAsia="宋体" w:cs="宋体"/>
                <w:sz w:val="18"/>
                <w:szCs w:val="18"/>
              </w:rPr>
            </w:pPr>
            <w:r>
              <w:rPr>
                <w:rFonts w:ascii="宋体" w:hAnsi="宋体" w:eastAsia="宋体" w:cs="宋体"/>
                <w:sz w:val="18"/>
                <w:szCs w:val="18"/>
              </w:rPr>
              <w:t>1,025,136.98</w:t>
            </w:r>
          </w:p>
        </w:tc>
        <w:tc>
          <w:tcPr>
            <w:tcW w:w="3213" w:type="dxa"/>
            <w:tcBorders>
              <w:top w:val="single" w:color="auto" w:sz="2" w:space="0"/>
              <w:left w:val="single" w:color="auto" w:sz="2" w:space="0"/>
              <w:bottom w:val="single" w:color="auto" w:sz="2" w:space="0"/>
              <w:right w:val="single" w:color="auto" w:sz="2" w:space="0"/>
            </w:tcBorders>
            <w:vAlign w:val="center"/>
          </w:tcPr>
          <w:p w14:paraId="6A371E45">
            <w:pPr>
              <w:spacing w:line="240" w:lineRule="exact"/>
              <w:jc w:val="right"/>
              <w:rPr>
                <w:rFonts w:ascii="宋体" w:hAnsi="宋体" w:eastAsia="宋体" w:cs="宋体"/>
                <w:sz w:val="18"/>
                <w:szCs w:val="18"/>
              </w:rPr>
            </w:pPr>
            <w:r>
              <w:rPr>
                <w:rFonts w:ascii="宋体" w:hAnsi="宋体" w:eastAsia="宋体" w:cs="宋体"/>
                <w:sz w:val="18"/>
                <w:szCs w:val="18"/>
              </w:rPr>
              <w:t>2,001,170.41</w:t>
            </w:r>
          </w:p>
        </w:tc>
      </w:tr>
      <w:tr w14:paraId="2D86A49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19868F">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E4C00A7">
            <w:pPr>
              <w:spacing w:line="240" w:lineRule="exact"/>
              <w:jc w:val="right"/>
              <w:rPr>
                <w:rFonts w:ascii="宋体" w:hAnsi="宋体" w:eastAsia="宋体" w:cs="宋体"/>
                <w:sz w:val="18"/>
                <w:szCs w:val="18"/>
              </w:rPr>
            </w:pPr>
            <w:r>
              <w:rPr>
                <w:rFonts w:ascii="宋体" w:hAnsi="宋体" w:eastAsia="宋体" w:cs="宋体"/>
                <w:sz w:val="18"/>
                <w:szCs w:val="18"/>
              </w:rPr>
              <w:t>1,653,789.61</w:t>
            </w:r>
          </w:p>
        </w:tc>
        <w:tc>
          <w:tcPr>
            <w:tcW w:w="3213" w:type="dxa"/>
            <w:tcBorders>
              <w:top w:val="single" w:color="auto" w:sz="2" w:space="0"/>
              <w:left w:val="single" w:color="auto" w:sz="2" w:space="0"/>
              <w:bottom w:val="single" w:color="auto" w:sz="2" w:space="0"/>
              <w:right w:val="single" w:color="auto" w:sz="2" w:space="0"/>
            </w:tcBorders>
            <w:vAlign w:val="center"/>
          </w:tcPr>
          <w:p w14:paraId="54C1E54D">
            <w:pPr>
              <w:spacing w:line="240" w:lineRule="exact"/>
              <w:jc w:val="right"/>
              <w:rPr>
                <w:rFonts w:ascii="宋体" w:hAnsi="宋体" w:eastAsia="宋体" w:cs="宋体"/>
                <w:sz w:val="18"/>
                <w:szCs w:val="18"/>
              </w:rPr>
            </w:pPr>
            <w:r>
              <w:rPr>
                <w:rFonts w:ascii="宋体" w:hAnsi="宋体" w:eastAsia="宋体" w:cs="宋体"/>
                <w:sz w:val="18"/>
                <w:szCs w:val="18"/>
              </w:rPr>
              <w:t>2,296,899.84</w:t>
            </w:r>
          </w:p>
        </w:tc>
      </w:tr>
    </w:tbl>
    <w:p w14:paraId="0B381A2E">
      <w:pPr>
        <w:spacing w:before="100" w:after="100" w:line="240" w:lineRule="exact"/>
      </w:pPr>
      <w:r>
        <w:rPr>
          <w:rFonts w:ascii="宋体" w:hAnsi="宋体" w:eastAsia="宋体" w:cs="宋体"/>
          <w:sz w:val="18"/>
          <w:szCs w:val="18"/>
        </w:rPr>
        <w:t>收到的其他与经营活动有关的现金说明：</w:t>
      </w:r>
    </w:p>
    <w:p w14:paraId="7D66BE71">
      <w:pPr>
        <w:spacing w:before="100" w:after="100" w:line="240" w:lineRule="exact"/>
        <w:rPr>
          <w:rFonts w:ascii="宋体" w:hAnsi="宋体" w:eastAsia="宋体" w:cs="宋体"/>
          <w:sz w:val="18"/>
          <w:szCs w:val="18"/>
        </w:rPr>
      </w:pPr>
      <w:r>
        <w:rPr>
          <w:rFonts w:ascii="宋体" w:hAnsi="宋体" w:eastAsia="宋体" w:cs="宋体"/>
          <w:sz w:val="18"/>
          <w:szCs w:val="18"/>
        </w:rPr>
        <w:t>支付的其他与经营活动有关的现金</w:t>
      </w:r>
    </w:p>
    <w:p w14:paraId="69A4FF7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1229E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E87EC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543AE8">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64D37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7D87219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BDDF49B">
            <w:pPr>
              <w:spacing w:line="240" w:lineRule="exact"/>
              <w:rPr>
                <w:rFonts w:ascii="宋体" w:hAnsi="宋体" w:eastAsia="宋体" w:cs="宋体"/>
                <w:sz w:val="18"/>
                <w:szCs w:val="18"/>
              </w:rPr>
            </w:pPr>
            <w:r>
              <w:rPr>
                <w:rFonts w:ascii="宋体" w:hAnsi="宋体" w:eastAsia="宋体" w:cs="宋体"/>
                <w:sz w:val="18"/>
                <w:szCs w:val="18"/>
              </w:rPr>
              <w:t>费用支出</w:t>
            </w:r>
          </w:p>
        </w:tc>
        <w:tc>
          <w:tcPr>
            <w:tcW w:w="3213" w:type="dxa"/>
            <w:tcBorders>
              <w:top w:val="single" w:color="auto" w:sz="2" w:space="0"/>
              <w:left w:val="single" w:color="auto" w:sz="2" w:space="0"/>
              <w:bottom w:val="single" w:color="auto" w:sz="2" w:space="0"/>
              <w:right w:val="single" w:color="auto" w:sz="2" w:space="0"/>
            </w:tcBorders>
            <w:vAlign w:val="center"/>
          </w:tcPr>
          <w:p w14:paraId="6CFDC3E9">
            <w:pPr>
              <w:spacing w:line="240" w:lineRule="exact"/>
              <w:jc w:val="right"/>
              <w:rPr>
                <w:rFonts w:ascii="宋体" w:hAnsi="宋体" w:eastAsia="宋体" w:cs="宋体"/>
                <w:sz w:val="18"/>
                <w:szCs w:val="18"/>
              </w:rPr>
            </w:pPr>
            <w:r>
              <w:rPr>
                <w:rFonts w:hint="eastAsia"/>
                <w:color w:val="333333"/>
                <w:sz w:val="18"/>
                <w:szCs w:val="18"/>
                <w:shd w:val="clear" w:color="auto" w:fill="FFFFFF"/>
              </w:rPr>
              <w:t>15,709,217.09</w:t>
            </w:r>
          </w:p>
        </w:tc>
        <w:tc>
          <w:tcPr>
            <w:tcW w:w="3213" w:type="dxa"/>
            <w:tcBorders>
              <w:top w:val="single" w:color="auto" w:sz="2" w:space="0"/>
              <w:left w:val="single" w:color="auto" w:sz="2" w:space="0"/>
              <w:bottom w:val="single" w:color="auto" w:sz="2" w:space="0"/>
              <w:right w:val="single" w:color="auto" w:sz="2" w:space="0"/>
            </w:tcBorders>
            <w:vAlign w:val="center"/>
          </w:tcPr>
          <w:p w14:paraId="5E51A72C">
            <w:pPr>
              <w:spacing w:line="240" w:lineRule="exact"/>
              <w:jc w:val="right"/>
              <w:rPr>
                <w:rFonts w:ascii="宋体" w:hAnsi="宋体" w:eastAsia="宋体" w:cs="宋体"/>
                <w:sz w:val="18"/>
                <w:szCs w:val="18"/>
              </w:rPr>
            </w:pPr>
            <w:r>
              <w:rPr>
                <w:rFonts w:ascii="宋体" w:hAnsi="宋体" w:eastAsia="宋体" w:cs="宋体"/>
                <w:sz w:val="18"/>
                <w:szCs w:val="18"/>
              </w:rPr>
              <w:t>8,763,880.68</w:t>
            </w:r>
          </w:p>
        </w:tc>
      </w:tr>
      <w:tr w14:paraId="48DE675B">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421940C">
            <w:pPr>
              <w:spacing w:line="240" w:lineRule="exact"/>
              <w:rPr>
                <w:rFonts w:ascii="宋体" w:hAnsi="宋体" w:eastAsia="宋体" w:cs="宋体"/>
                <w:sz w:val="18"/>
                <w:szCs w:val="18"/>
              </w:rPr>
            </w:pPr>
            <w:r>
              <w:rPr>
                <w:rFonts w:ascii="宋体" w:hAnsi="宋体" w:eastAsia="宋体" w:cs="宋体"/>
                <w:sz w:val="18"/>
                <w:szCs w:val="18"/>
              </w:rPr>
              <w:t>往来款及其他</w:t>
            </w:r>
          </w:p>
        </w:tc>
        <w:tc>
          <w:tcPr>
            <w:tcW w:w="3213" w:type="dxa"/>
            <w:tcBorders>
              <w:top w:val="single" w:color="auto" w:sz="2" w:space="0"/>
              <w:left w:val="single" w:color="auto" w:sz="2" w:space="0"/>
              <w:bottom w:val="single" w:color="auto" w:sz="2" w:space="0"/>
              <w:right w:val="single" w:color="auto" w:sz="2" w:space="0"/>
            </w:tcBorders>
            <w:vAlign w:val="center"/>
          </w:tcPr>
          <w:p w14:paraId="57396EB1">
            <w:pPr>
              <w:spacing w:line="240" w:lineRule="exact"/>
              <w:jc w:val="right"/>
              <w:rPr>
                <w:rFonts w:ascii="宋体" w:hAnsi="宋体" w:eastAsia="宋体" w:cs="宋体"/>
                <w:sz w:val="18"/>
                <w:szCs w:val="18"/>
              </w:rPr>
            </w:pPr>
            <w:r>
              <w:rPr>
                <w:rFonts w:hint="eastAsia"/>
                <w:color w:val="333333"/>
                <w:sz w:val="18"/>
                <w:szCs w:val="18"/>
                <w:shd w:val="clear" w:color="auto" w:fill="FFFFFF"/>
              </w:rPr>
              <w:t>707,011.14</w:t>
            </w:r>
          </w:p>
        </w:tc>
        <w:tc>
          <w:tcPr>
            <w:tcW w:w="3213" w:type="dxa"/>
            <w:tcBorders>
              <w:top w:val="single" w:color="auto" w:sz="2" w:space="0"/>
              <w:left w:val="single" w:color="auto" w:sz="2" w:space="0"/>
              <w:bottom w:val="single" w:color="auto" w:sz="2" w:space="0"/>
              <w:right w:val="single" w:color="auto" w:sz="2" w:space="0"/>
            </w:tcBorders>
            <w:vAlign w:val="center"/>
          </w:tcPr>
          <w:p w14:paraId="51587070">
            <w:pPr>
              <w:spacing w:line="240" w:lineRule="exact"/>
              <w:jc w:val="right"/>
              <w:rPr>
                <w:rFonts w:ascii="宋体" w:hAnsi="宋体" w:eastAsia="宋体" w:cs="宋体"/>
                <w:sz w:val="18"/>
                <w:szCs w:val="18"/>
              </w:rPr>
            </w:pPr>
            <w:r>
              <w:rPr>
                <w:rFonts w:ascii="宋体" w:hAnsi="宋体" w:eastAsia="宋体" w:cs="宋体"/>
                <w:sz w:val="18"/>
                <w:szCs w:val="18"/>
              </w:rPr>
              <w:t>2,533,099.67</w:t>
            </w:r>
          </w:p>
        </w:tc>
      </w:tr>
      <w:tr w14:paraId="0013E07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2FF2C4">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581017A">
            <w:pPr>
              <w:spacing w:line="240" w:lineRule="exact"/>
              <w:jc w:val="right"/>
              <w:rPr>
                <w:rFonts w:ascii="宋体" w:hAnsi="宋体" w:eastAsia="宋体" w:cs="宋体"/>
                <w:sz w:val="18"/>
                <w:szCs w:val="18"/>
              </w:rPr>
            </w:pPr>
            <w:r>
              <w:rPr>
                <w:rFonts w:ascii="宋体" w:hAnsi="宋体" w:eastAsia="宋体" w:cs="宋体"/>
                <w:sz w:val="18"/>
                <w:szCs w:val="18"/>
              </w:rPr>
              <w:t>16,416,228.23</w:t>
            </w:r>
          </w:p>
        </w:tc>
        <w:tc>
          <w:tcPr>
            <w:tcW w:w="3213" w:type="dxa"/>
            <w:tcBorders>
              <w:top w:val="single" w:color="auto" w:sz="2" w:space="0"/>
              <w:left w:val="single" w:color="auto" w:sz="2" w:space="0"/>
              <w:bottom w:val="single" w:color="auto" w:sz="2" w:space="0"/>
              <w:right w:val="single" w:color="auto" w:sz="2" w:space="0"/>
            </w:tcBorders>
            <w:vAlign w:val="center"/>
          </w:tcPr>
          <w:p w14:paraId="6122689B">
            <w:pPr>
              <w:spacing w:line="240" w:lineRule="exact"/>
              <w:jc w:val="right"/>
              <w:rPr>
                <w:rFonts w:ascii="宋体" w:hAnsi="宋体" w:eastAsia="宋体" w:cs="宋体"/>
                <w:sz w:val="18"/>
                <w:szCs w:val="18"/>
              </w:rPr>
            </w:pPr>
            <w:r>
              <w:rPr>
                <w:rFonts w:ascii="宋体" w:hAnsi="宋体" w:eastAsia="宋体" w:cs="宋体"/>
                <w:sz w:val="18"/>
                <w:szCs w:val="18"/>
              </w:rPr>
              <w:t>11,296,980.35</w:t>
            </w:r>
          </w:p>
        </w:tc>
      </w:tr>
    </w:tbl>
    <w:p w14:paraId="53D45E05">
      <w:pPr>
        <w:spacing w:before="100" w:after="100" w:line="240" w:lineRule="exact"/>
      </w:pPr>
      <w:r>
        <w:rPr>
          <w:rFonts w:ascii="宋体" w:hAnsi="宋体" w:eastAsia="宋体" w:cs="宋体"/>
          <w:sz w:val="18"/>
          <w:szCs w:val="18"/>
        </w:rPr>
        <w:t>支付的其他与经营活动有关的现金说明：</w:t>
      </w:r>
    </w:p>
    <w:p w14:paraId="552A71C2">
      <w:pPr>
        <w:keepNext/>
        <w:keepLines/>
        <w:spacing w:before="300" w:after="100" w:line="280" w:lineRule="exact"/>
        <w:outlineLvl w:val="3"/>
        <w:rPr>
          <w:rFonts w:ascii="宋体" w:hAnsi="宋体" w:eastAsia="宋体" w:cs="宋体"/>
          <w:b/>
          <w:bCs/>
          <w:szCs w:val="21"/>
        </w:rPr>
      </w:pPr>
      <w:bookmarkStart w:id="370" w:name="_Toc989259"/>
      <w:r>
        <w:rPr>
          <w:rFonts w:ascii="宋体" w:hAnsi="宋体" w:eastAsia="宋体" w:cs="宋体"/>
          <w:b/>
          <w:bCs/>
          <w:szCs w:val="21"/>
        </w:rPr>
        <w:t>（2） 与投资活动有关的现金</w:t>
      </w:r>
      <w:bookmarkEnd w:id="370"/>
    </w:p>
    <w:p w14:paraId="585AFF8D">
      <w:pPr>
        <w:spacing w:before="100" w:after="100" w:line="240" w:lineRule="exact"/>
        <w:rPr>
          <w:rFonts w:ascii="宋体" w:hAnsi="宋体" w:eastAsia="宋体" w:cs="宋体"/>
          <w:sz w:val="18"/>
          <w:szCs w:val="18"/>
        </w:rPr>
      </w:pPr>
      <w:r>
        <w:rPr>
          <w:rFonts w:ascii="宋体" w:hAnsi="宋体" w:eastAsia="宋体" w:cs="宋体"/>
          <w:sz w:val="18"/>
          <w:szCs w:val="18"/>
        </w:rPr>
        <w:t>收到的其他与投资活动有关的现金</w:t>
      </w:r>
    </w:p>
    <w:p w14:paraId="360AB75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8534D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2751E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7DDC98">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84664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7EC21D49">
      <w:pPr>
        <w:spacing w:before="100" w:after="100" w:line="240" w:lineRule="exact"/>
        <w:rPr>
          <w:rFonts w:ascii="宋体" w:hAnsi="宋体" w:eastAsia="宋体" w:cs="宋体"/>
          <w:sz w:val="18"/>
          <w:szCs w:val="18"/>
        </w:rPr>
      </w:pPr>
      <w:r>
        <w:rPr>
          <w:rFonts w:ascii="宋体" w:hAnsi="宋体" w:eastAsia="宋体" w:cs="宋体"/>
          <w:sz w:val="18"/>
          <w:szCs w:val="18"/>
        </w:rPr>
        <w:t>收到的重要的与投资活动有关的现金</w:t>
      </w:r>
    </w:p>
    <w:p w14:paraId="77EA6BD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40164A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38B7F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F5EE2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BEE26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5AE4A9ED">
      <w:pPr>
        <w:spacing w:before="100" w:after="100" w:line="240" w:lineRule="exact"/>
      </w:pPr>
      <w:r>
        <w:rPr>
          <w:rFonts w:ascii="宋体" w:hAnsi="宋体" w:eastAsia="宋体" w:cs="宋体"/>
          <w:sz w:val="18"/>
          <w:szCs w:val="18"/>
        </w:rPr>
        <w:t>收到的其他与投资活动有关的现金说明：</w:t>
      </w:r>
    </w:p>
    <w:p w14:paraId="101BC457">
      <w:pPr>
        <w:spacing w:before="100" w:after="100" w:line="240" w:lineRule="exact"/>
        <w:rPr>
          <w:rFonts w:ascii="宋体" w:hAnsi="宋体" w:eastAsia="宋体" w:cs="宋体"/>
          <w:sz w:val="18"/>
          <w:szCs w:val="18"/>
        </w:rPr>
      </w:pPr>
      <w:r>
        <w:rPr>
          <w:rFonts w:ascii="宋体" w:hAnsi="宋体" w:eastAsia="宋体" w:cs="宋体"/>
          <w:sz w:val="18"/>
          <w:szCs w:val="18"/>
        </w:rPr>
        <w:t>支付的其他与投资活动有关的现金</w:t>
      </w:r>
    </w:p>
    <w:p w14:paraId="1447FFD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F54F8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2ECAD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27D3D4">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F610F5">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60F92504">
      <w:pPr>
        <w:spacing w:before="100" w:after="100" w:line="240" w:lineRule="exact"/>
        <w:rPr>
          <w:rFonts w:ascii="宋体" w:hAnsi="宋体" w:eastAsia="宋体" w:cs="宋体"/>
          <w:sz w:val="18"/>
          <w:szCs w:val="18"/>
        </w:rPr>
      </w:pPr>
      <w:r>
        <w:rPr>
          <w:rFonts w:ascii="宋体" w:hAnsi="宋体" w:eastAsia="宋体" w:cs="宋体"/>
          <w:sz w:val="18"/>
          <w:szCs w:val="18"/>
        </w:rPr>
        <w:t>支付的重要的与投资活动有关的现金</w:t>
      </w:r>
    </w:p>
    <w:p w14:paraId="510DFA0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C99D61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3D7D6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011F0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1123DE">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36DE147A">
      <w:pPr>
        <w:spacing w:before="100" w:after="100" w:line="240" w:lineRule="exact"/>
      </w:pPr>
      <w:r>
        <w:rPr>
          <w:rFonts w:ascii="宋体" w:hAnsi="宋体" w:eastAsia="宋体" w:cs="宋体"/>
          <w:sz w:val="18"/>
          <w:szCs w:val="18"/>
        </w:rPr>
        <w:t>支付的其他与投资活动有关的现金说明：</w:t>
      </w:r>
    </w:p>
    <w:p w14:paraId="006190AB">
      <w:pPr>
        <w:keepNext/>
        <w:keepLines/>
        <w:spacing w:before="300" w:after="100" w:line="280" w:lineRule="exact"/>
        <w:outlineLvl w:val="3"/>
        <w:rPr>
          <w:rFonts w:ascii="宋体" w:hAnsi="宋体" w:eastAsia="宋体" w:cs="宋体"/>
          <w:b/>
          <w:bCs/>
          <w:szCs w:val="21"/>
        </w:rPr>
      </w:pPr>
      <w:bookmarkStart w:id="371" w:name="_Toc989260"/>
      <w:r>
        <w:rPr>
          <w:rFonts w:ascii="宋体" w:hAnsi="宋体" w:eastAsia="宋体" w:cs="宋体"/>
          <w:b/>
          <w:bCs/>
          <w:szCs w:val="21"/>
        </w:rPr>
        <w:t>（3） 与筹资活动有关的现金</w:t>
      </w:r>
      <w:bookmarkEnd w:id="371"/>
    </w:p>
    <w:p w14:paraId="39F79FB4">
      <w:pPr>
        <w:spacing w:before="100" w:after="100" w:line="240" w:lineRule="exact"/>
        <w:rPr>
          <w:rFonts w:ascii="宋体" w:hAnsi="宋体" w:eastAsia="宋体" w:cs="宋体"/>
          <w:sz w:val="18"/>
          <w:szCs w:val="18"/>
        </w:rPr>
      </w:pPr>
      <w:r>
        <w:rPr>
          <w:rFonts w:ascii="宋体" w:hAnsi="宋体" w:eastAsia="宋体" w:cs="宋体"/>
          <w:sz w:val="18"/>
          <w:szCs w:val="18"/>
        </w:rPr>
        <w:t>收到的其他与筹资活动有关的现金</w:t>
      </w:r>
    </w:p>
    <w:p w14:paraId="6BB67CF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17DBF5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E5811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95924A">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19F94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47E5C819">
      <w:pPr>
        <w:spacing w:before="100" w:after="100" w:line="240" w:lineRule="exact"/>
      </w:pPr>
      <w:r>
        <w:rPr>
          <w:rFonts w:ascii="宋体" w:hAnsi="宋体" w:eastAsia="宋体" w:cs="宋体"/>
          <w:sz w:val="18"/>
          <w:szCs w:val="18"/>
        </w:rPr>
        <w:t>收到的其他与筹资活动有关的现金说明：</w:t>
      </w:r>
    </w:p>
    <w:p w14:paraId="611A72CC">
      <w:pPr>
        <w:spacing w:before="100" w:after="100" w:line="240" w:lineRule="exact"/>
        <w:rPr>
          <w:rFonts w:ascii="宋体" w:hAnsi="宋体" w:eastAsia="宋体" w:cs="宋体"/>
          <w:sz w:val="18"/>
          <w:szCs w:val="18"/>
        </w:rPr>
      </w:pPr>
      <w:r>
        <w:rPr>
          <w:rFonts w:ascii="宋体" w:hAnsi="宋体" w:eastAsia="宋体" w:cs="宋体"/>
          <w:sz w:val="18"/>
          <w:szCs w:val="18"/>
        </w:rPr>
        <w:t>支付的其他与筹资活动有关的现金</w:t>
      </w:r>
    </w:p>
    <w:p w14:paraId="4EB2D6E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A74AEE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EBFB4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13503F">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FA53FB">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C3B059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965E0C1">
            <w:pPr>
              <w:spacing w:line="240" w:lineRule="exact"/>
              <w:rPr>
                <w:rFonts w:ascii="宋体" w:hAnsi="宋体" w:eastAsia="宋体" w:cs="宋体"/>
                <w:sz w:val="18"/>
                <w:szCs w:val="18"/>
              </w:rPr>
            </w:pPr>
            <w:r>
              <w:rPr>
                <w:rFonts w:ascii="宋体" w:hAnsi="宋体" w:eastAsia="宋体" w:cs="宋体"/>
                <w:sz w:val="18"/>
                <w:szCs w:val="18"/>
              </w:rPr>
              <w:t>偿还款项</w:t>
            </w:r>
          </w:p>
        </w:tc>
        <w:tc>
          <w:tcPr>
            <w:tcW w:w="3213" w:type="dxa"/>
            <w:tcBorders>
              <w:top w:val="single" w:color="auto" w:sz="2" w:space="0"/>
              <w:left w:val="single" w:color="auto" w:sz="2" w:space="0"/>
              <w:bottom w:val="single" w:color="auto" w:sz="2" w:space="0"/>
              <w:right w:val="single" w:color="auto" w:sz="2" w:space="0"/>
            </w:tcBorders>
            <w:vAlign w:val="center"/>
          </w:tcPr>
          <w:p w14:paraId="346C1EF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ED7F57">
            <w:pPr>
              <w:spacing w:line="240" w:lineRule="exact"/>
              <w:jc w:val="right"/>
              <w:rPr>
                <w:rFonts w:ascii="宋体" w:hAnsi="宋体" w:eastAsia="宋体" w:cs="宋体"/>
                <w:sz w:val="18"/>
                <w:szCs w:val="18"/>
              </w:rPr>
            </w:pPr>
            <w:r>
              <w:rPr>
                <w:rFonts w:ascii="宋体" w:hAnsi="宋体" w:eastAsia="宋体" w:cs="宋体"/>
                <w:sz w:val="18"/>
                <w:szCs w:val="18"/>
              </w:rPr>
              <w:t>6,000,000.00</w:t>
            </w:r>
          </w:p>
        </w:tc>
      </w:tr>
      <w:tr w14:paraId="1A732E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53768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FF6399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0BF999">
            <w:pPr>
              <w:spacing w:line="240" w:lineRule="exact"/>
              <w:jc w:val="right"/>
              <w:rPr>
                <w:rFonts w:ascii="宋体" w:hAnsi="宋体" w:eastAsia="宋体" w:cs="宋体"/>
                <w:sz w:val="18"/>
                <w:szCs w:val="18"/>
              </w:rPr>
            </w:pPr>
            <w:r>
              <w:rPr>
                <w:rFonts w:ascii="宋体" w:hAnsi="宋体" w:eastAsia="宋体" w:cs="宋体"/>
                <w:sz w:val="18"/>
                <w:szCs w:val="18"/>
              </w:rPr>
              <w:t>6,000,000.00</w:t>
            </w:r>
          </w:p>
        </w:tc>
      </w:tr>
    </w:tbl>
    <w:p w14:paraId="74A7E3CA">
      <w:pPr>
        <w:spacing w:before="100" w:after="100" w:line="240" w:lineRule="exact"/>
      </w:pPr>
      <w:r>
        <w:rPr>
          <w:rFonts w:ascii="宋体" w:hAnsi="宋体" w:eastAsia="宋体" w:cs="宋体"/>
          <w:sz w:val="18"/>
          <w:szCs w:val="18"/>
        </w:rPr>
        <w:t>支付的其他与筹资活动有关的现金说明：</w:t>
      </w:r>
    </w:p>
    <w:p w14:paraId="6318749A">
      <w:pPr>
        <w:spacing w:before="100" w:after="100" w:line="240" w:lineRule="exact"/>
        <w:rPr>
          <w:rFonts w:ascii="宋体" w:hAnsi="宋体" w:eastAsia="宋体" w:cs="宋体"/>
          <w:sz w:val="18"/>
          <w:szCs w:val="18"/>
        </w:rPr>
      </w:pPr>
      <w:r>
        <w:rPr>
          <w:rFonts w:ascii="宋体" w:hAnsi="宋体" w:eastAsia="宋体" w:cs="宋体"/>
          <w:sz w:val="18"/>
          <w:szCs w:val="18"/>
        </w:rPr>
        <w:t>筹资活动产生的各项负债变动情况</w:t>
      </w:r>
    </w:p>
    <w:p w14:paraId="3C3E2258">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6B8611C">
      <w:pPr>
        <w:keepNext/>
        <w:keepLines/>
        <w:spacing w:before="300" w:after="100" w:line="280" w:lineRule="exact"/>
        <w:outlineLvl w:val="3"/>
        <w:rPr>
          <w:rFonts w:ascii="宋体" w:hAnsi="宋体" w:eastAsia="宋体" w:cs="宋体"/>
          <w:b/>
          <w:bCs/>
          <w:szCs w:val="21"/>
        </w:rPr>
      </w:pPr>
      <w:bookmarkStart w:id="372" w:name="_Toc989261"/>
      <w:r>
        <w:rPr>
          <w:rFonts w:ascii="宋体" w:hAnsi="宋体" w:eastAsia="宋体" w:cs="宋体"/>
          <w:b/>
          <w:bCs/>
          <w:szCs w:val="21"/>
        </w:rPr>
        <w:t>（4） 以净额列报现金流量的说明</w:t>
      </w:r>
      <w:bookmarkEnd w:id="372"/>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6ACF716">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A72528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ED4D956">
            <w:pPr>
              <w:spacing w:before="40" w:after="40" w:line="240" w:lineRule="exact"/>
              <w:jc w:val="center"/>
              <w:rPr>
                <w:rFonts w:ascii="宋体" w:hAnsi="宋体" w:eastAsia="宋体" w:cs="宋体"/>
                <w:sz w:val="18"/>
                <w:szCs w:val="18"/>
              </w:rPr>
            </w:pPr>
            <w:r>
              <w:rPr>
                <w:rFonts w:ascii="宋体" w:hAnsi="宋体" w:eastAsia="宋体" w:cs="宋体"/>
                <w:sz w:val="18"/>
                <w:szCs w:val="18"/>
              </w:rPr>
              <w:t>相关事实情况</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6A29F57">
            <w:pPr>
              <w:spacing w:before="40" w:after="40" w:line="240" w:lineRule="exact"/>
              <w:jc w:val="center"/>
              <w:rPr>
                <w:rFonts w:ascii="宋体" w:hAnsi="宋体" w:eastAsia="宋体" w:cs="宋体"/>
                <w:sz w:val="18"/>
                <w:szCs w:val="18"/>
              </w:rPr>
            </w:pPr>
            <w:r>
              <w:rPr>
                <w:rFonts w:ascii="宋体" w:hAnsi="宋体" w:eastAsia="宋体" w:cs="宋体"/>
                <w:sz w:val="18"/>
                <w:szCs w:val="18"/>
              </w:rPr>
              <w:t>采用净额列报的依据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C7CA69">
            <w:pPr>
              <w:spacing w:before="40" w:after="40" w:line="240" w:lineRule="exact"/>
              <w:jc w:val="center"/>
              <w:rPr>
                <w:rFonts w:ascii="宋体" w:hAnsi="宋体" w:eastAsia="宋体" w:cs="宋体"/>
                <w:sz w:val="18"/>
                <w:szCs w:val="18"/>
              </w:rPr>
            </w:pPr>
            <w:r>
              <w:rPr>
                <w:rFonts w:ascii="宋体" w:hAnsi="宋体" w:eastAsia="宋体" w:cs="宋体"/>
                <w:sz w:val="18"/>
                <w:szCs w:val="18"/>
              </w:rPr>
              <w:t>财务影响</w:t>
            </w:r>
          </w:p>
        </w:tc>
      </w:tr>
    </w:tbl>
    <w:p w14:paraId="4A8E9AE2">
      <w:pPr>
        <w:keepNext/>
        <w:keepLines/>
        <w:spacing w:before="300" w:after="100" w:line="280" w:lineRule="exact"/>
        <w:outlineLvl w:val="3"/>
      </w:pPr>
      <w:bookmarkStart w:id="373" w:name="_Toc989262"/>
      <w:r>
        <w:rPr>
          <w:rFonts w:ascii="宋体" w:hAnsi="宋体" w:eastAsia="宋体" w:cs="宋体"/>
          <w:b/>
          <w:bCs/>
          <w:szCs w:val="21"/>
        </w:rPr>
        <w:t>（5） 不涉及当期现金收支、但影响企业财务状况或在未来可能影响企业现金流量的重大活动及财务影响</w:t>
      </w:r>
      <w:bookmarkEnd w:id="373"/>
    </w:p>
    <w:p w14:paraId="466B3117">
      <w:pPr>
        <w:pStyle w:val="3"/>
        <w:spacing w:after="100" w:line="280" w:lineRule="exact"/>
        <w:jc w:val="left"/>
        <w:rPr>
          <w:rFonts w:ascii="宋体" w:hAnsi="宋体" w:cs="宋体"/>
          <w:b/>
          <w:bCs/>
        </w:rPr>
      </w:pPr>
      <w:bookmarkStart w:id="374" w:name="_Toc989263"/>
      <w:r>
        <w:rPr>
          <w:rFonts w:ascii="宋体" w:hAnsi="宋体" w:cs="宋体"/>
          <w:b/>
          <w:bCs/>
        </w:rPr>
        <w:t>79、现金流量表补充资料</w:t>
      </w:r>
      <w:bookmarkEnd w:id="374"/>
    </w:p>
    <w:p w14:paraId="19470F02">
      <w:pPr>
        <w:keepNext/>
        <w:keepLines/>
        <w:spacing w:before="300" w:after="100" w:line="280" w:lineRule="exact"/>
        <w:outlineLvl w:val="3"/>
        <w:rPr>
          <w:rFonts w:ascii="宋体" w:hAnsi="宋体" w:eastAsia="宋体" w:cs="宋体"/>
          <w:b/>
          <w:bCs/>
          <w:szCs w:val="21"/>
        </w:rPr>
      </w:pPr>
      <w:bookmarkStart w:id="375" w:name="_Toc989264"/>
      <w:r>
        <w:rPr>
          <w:rFonts w:ascii="宋体" w:hAnsi="宋体" w:eastAsia="宋体" w:cs="宋体"/>
          <w:b/>
          <w:bCs/>
          <w:szCs w:val="21"/>
        </w:rPr>
        <w:t>（1） 现金流量表补充资料</w:t>
      </w:r>
      <w:bookmarkEnd w:id="375"/>
    </w:p>
    <w:p w14:paraId="5617766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657750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26FE00">
            <w:pPr>
              <w:spacing w:before="40" w:after="40" w:line="240" w:lineRule="exact"/>
              <w:jc w:val="center"/>
              <w:rPr>
                <w:rFonts w:ascii="宋体" w:hAnsi="宋体" w:eastAsia="宋体" w:cs="宋体"/>
                <w:sz w:val="18"/>
                <w:szCs w:val="18"/>
              </w:rPr>
            </w:pPr>
            <w:r>
              <w:rPr>
                <w:rFonts w:ascii="宋体" w:hAnsi="宋体" w:eastAsia="宋体" w:cs="宋体"/>
                <w:sz w:val="18"/>
                <w:szCs w:val="18"/>
              </w:rPr>
              <w:t>补充资料</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EB2E00">
            <w:pPr>
              <w:spacing w:before="40" w:after="40" w:line="240" w:lineRule="exact"/>
              <w:jc w:val="center"/>
              <w:rPr>
                <w:rFonts w:ascii="宋体" w:hAnsi="宋体" w:eastAsia="宋体" w:cs="宋体"/>
                <w:sz w:val="18"/>
                <w:szCs w:val="18"/>
              </w:rPr>
            </w:pPr>
            <w:r>
              <w:rPr>
                <w:rFonts w:ascii="宋体" w:hAnsi="宋体" w:eastAsia="宋体" w:cs="宋体"/>
                <w:sz w:val="18"/>
                <w:szCs w:val="18"/>
              </w:rPr>
              <w:t>本期金额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509456">
            <w:pPr>
              <w:spacing w:before="40" w:after="40" w:line="240" w:lineRule="exact"/>
              <w:jc w:val="center"/>
              <w:rPr>
                <w:rFonts w:ascii="宋体" w:hAnsi="宋体" w:eastAsia="宋体" w:cs="宋体"/>
                <w:sz w:val="18"/>
                <w:szCs w:val="18"/>
              </w:rPr>
            </w:pPr>
            <w:r>
              <w:rPr>
                <w:rFonts w:ascii="宋体" w:hAnsi="宋体" w:eastAsia="宋体" w:cs="宋体"/>
                <w:sz w:val="18"/>
                <w:szCs w:val="18"/>
              </w:rPr>
              <w:t>上期金额</w:t>
            </w:r>
          </w:p>
        </w:tc>
      </w:tr>
      <w:tr w14:paraId="4CACB16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31091F">
            <w:pPr>
              <w:spacing w:before="40" w:after="40" w:line="240" w:lineRule="exact"/>
              <w:rPr>
                <w:rFonts w:ascii="宋体" w:hAnsi="宋体" w:eastAsia="宋体" w:cs="宋体"/>
                <w:sz w:val="18"/>
                <w:szCs w:val="18"/>
              </w:rPr>
            </w:pPr>
            <w:r>
              <w:rPr>
                <w:rFonts w:ascii="宋体" w:hAnsi="宋体" w:eastAsia="宋体" w:cs="宋体"/>
                <w:sz w:val="18"/>
                <w:szCs w:val="18"/>
              </w:rPr>
              <w:t>1．将净利润调节为经营活动现金流量：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37CEF8"/>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0BB85E"/>
        </w:tc>
      </w:tr>
      <w:tr w14:paraId="28DD252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1FCD8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净利润</w:t>
            </w:r>
          </w:p>
        </w:tc>
        <w:tc>
          <w:tcPr>
            <w:tcW w:w="3213" w:type="dxa"/>
            <w:tcBorders>
              <w:top w:val="single" w:color="auto" w:sz="2" w:space="0"/>
              <w:left w:val="single" w:color="auto" w:sz="2" w:space="0"/>
              <w:bottom w:val="single" w:color="auto" w:sz="2" w:space="0"/>
              <w:right w:val="single" w:color="auto" w:sz="2" w:space="0"/>
            </w:tcBorders>
            <w:vAlign w:val="center"/>
          </w:tcPr>
          <w:p w14:paraId="171BDA6E">
            <w:pPr>
              <w:spacing w:line="240" w:lineRule="exact"/>
              <w:jc w:val="right"/>
              <w:rPr>
                <w:rFonts w:ascii="宋体" w:hAnsi="宋体" w:eastAsia="宋体" w:cs="宋体"/>
                <w:sz w:val="18"/>
                <w:szCs w:val="18"/>
              </w:rPr>
            </w:pPr>
            <w:r>
              <w:rPr>
                <w:rFonts w:ascii="宋体" w:hAnsi="宋体" w:eastAsia="宋体" w:cs="宋体"/>
                <w:sz w:val="18"/>
                <w:szCs w:val="18"/>
              </w:rPr>
              <w:t>31,189,978.38</w:t>
            </w:r>
          </w:p>
        </w:tc>
        <w:tc>
          <w:tcPr>
            <w:tcW w:w="3213" w:type="dxa"/>
            <w:tcBorders>
              <w:top w:val="single" w:color="auto" w:sz="2" w:space="0"/>
              <w:left w:val="single" w:color="auto" w:sz="2" w:space="0"/>
              <w:bottom w:val="single" w:color="auto" w:sz="2" w:space="0"/>
              <w:right w:val="single" w:color="auto" w:sz="2" w:space="0"/>
            </w:tcBorders>
            <w:vAlign w:val="center"/>
          </w:tcPr>
          <w:p w14:paraId="22977E83">
            <w:pPr>
              <w:spacing w:line="240" w:lineRule="exact"/>
              <w:jc w:val="right"/>
              <w:rPr>
                <w:rFonts w:ascii="宋体" w:hAnsi="宋体" w:eastAsia="宋体" w:cs="宋体"/>
                <w:sz w:val="18"/>
                <w:szCs w:val="18"/>
              </w:rPr>
            </w:pPr>
            <w:r>
              <w:rPr>
                <w:rFonts w:ascii="宋体" w:hAnsi="宋体" w:eastAsia="宋体" w:cs="宋体"/>
                <w:sz w:val="18"/>
                <w:szCs w:val="18"/>
              </w:rPr>
              <w:t>-48,979,297.57</w:t>
            </w:r>
          </w:p>
        </w:tc>
      </w:tr>
      <w:tr w14:paraId="742CD16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E83B63">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加：资产减值准备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563B3176">
            <w:pPr>
              <w:spacing w:line="240" w:lineRule="exact"/>
              <w:jc w:val="right"/>
              <w:rPr>
                <w:rFonts w:ascii="宋体" w:hAnsi="宋体" w:eastAsia="宋体" w:cs="宋体"/>
                <w:sz w:val="18"/>
                <w:szCs w:val="18"/>
              </w:rPr>
            </w:pPr>
            <w:r>
              <w:rPr>
                <w:rFonts w:ascii="宋体" w:hAnsi="宋体" w:eastAsia="宋体" w:cs="宋体"/>
                <w:sz w:val="18"/>
                <w:szCs w:val="18"/>
              </w:rPr>
              <w:t>2,278.36</w:t>
            </w:r>
          </w:p>
        </w:tc>
        <w:tc>
          <w:tcPr>
            <w:tcW w:w="3213" w:type="dxa"/>
            <w:tcBorders>
              <w:top w:val="single" w:color="auto" w:sz="2" w:space="0"/>
              <w:left w:val="single" w:color="auto" w:sz="2" w:space="0"/>
              <w:bottom w:val="single" w:color="auto" w:sz="2" w:space="0"/>
              <w:right w:val="single" w:color="auto" w:sz="2" w:space="0"/>
            </w:tcBorders>
            <w:vAlign w:val="center"/>
          </w:tcPr>
          <w:p w14:paraId="37E5564E">
            <w:pPr>
              <w:spacing w:line="240" w:lineRule="exact"/>
              <w:jc w:val="right"/>
              <w:rPr>
                <w:rFonts w:ascii="宋体" w:hAnsi="宋体" w:eastAsia="宋体" w:cs="宋体"/>
                <w:sz w:val="18"/>
                <w:szCs w:val="18"/>
              </w:rPr>
            </w:pPr>
            <w:r>
              <w:rPr>
                <w:rFonts w:ascii="宋体" w:hAnsi="宋体" w:eastAsia="宋体" w:cs="宋体"/>
                <w:sz w:val="18"/>
                <w:szCs w:val="18"/>
              </w:rPr>
              <w:t>48,407,422.91</w:t>
            </w:r>
          </w:p>
        </w:tc>
      </w:tr>
      <w:tr w14:paraId="6F1E9A9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69C81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固定资产折旧、油气资产折耗、生产性生物资产折旧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532ED1D5">
            <w:pPr>
              <w:spacing w:line="240" w:lineRule="exact"/>
              <w:jc w:val="right"/>
              <w:rPr>
                <w:rFonts w:ascii="宋体" w:hAnsi="宋体" w:eastAsia="宋体" w:cs="宋体"/>
                <w:sz w:val="18"/>
                <w:szCs w:val="18"/>
              </w:rPr>
            </w:pPr>
            <w:r>
              <w:rPr>
                <w:rFonts w:ascii="宋体" w:hAnsi="宋体" w:eastAsia="宋体" w:cs="宋体"/>
                <w:sz w:val="18"/>
                <w:szCs w:val="18"/>
              </w:rPr>
              <w:t>7</w:t>
            </w:r>
            <w:r>
              <w:rPr>
                <w:rFonts w:hint="eastAsia" w:ascii="宋体" w:hAnsi="宋体" w:eastAsia="宋体" w:cs="宋体"/>
                <w:sz w:val="18"/>
                <w:szCs w:val="18"/>
                <w:lang w:val="en-US" w:eastAsia="zh-CN"/>
              </w:rPr>
              <w:t>,</w:t>
            </w:r>
            <w:r>
              <w:rPr>
                <w:rFonts w:ascii="宋体" w:hAnsi="宋体" w:eastAsia="宋体" w:cs="宋体"/>
                <w:sz w:val="18"/>
                <w:szCs w:val="18"/>
              </w:rPr>
              <w:t>940</w:t>
            </w:r>
            <w:r>
              <w:rPr>
                <w:rFonts w:hint="eastAsia" w:ascii="宋体" w:hAnsi="宋体" w:eastAsia="宋体" w:cs="宋体"/>
                <w:sz w:val="18"/>
                <w:szCs w:val="18"/>
                <w:lang w:val="en-US" w:eastAsia="zh-CN"/>
              </w:rPr>
              <w:t>,</w:t>
            </w:r>
            <w:r>
              <w:rPr>
                <w:rFonts w:ascii="宋体" w:hAnsi="宋体" w:eastAsia="宋体" w:cs="宋体"/>
                <w:sz w:val="18"/>
                <w:szCs w:val="18"/>
              </w:rPr>
              <w:t>108.25</w:t>
            </w:r>
          </w:p>
        </w:tc>
        <w:tc>
          <w:tcPr>
            <w:tcW w:w="3213" w:type="dxa"/>
            <w:tcBorders>
              <w:top w:val="single" w:color="auto" w:sz="2" w:space="0"/>
              <w:left w:val="single" w:color="auto" w:sz="2" w:space="0"/>
              <w:bottom w:val="single" w:color="auto" w:sz="2" w:space="0"/>
              <w:right w:val="single" w:color="auto" w:sz="2" w:space="0"/>
            </w:tcBorders>
            <w:vAlign w:val="center"/>
          </w:tcPr>
          <w:p w14:paraId="4634B55D">
            <w:pPr>
              <w:spacing w:line="240" w:lineRule="exact"/>
              <w:jc w:val="right"/>
              <w:rPr>
                <w:rFonts w:ascii="宋体" w:hAnsi="宋体" w:eastAsia="宋体" w:cs="宋体"/>
                <w:sz w:val="18"/>
                <w:szCs w:val="18"/>
              </w:rPr>
            </w:pPr>
            <w:r>
              <w:rPr>
                <w:rFonts w:ascii="宋体" w:hAnsi="宋体" w:eastAsia="宋体" w:cs="宋体"/>
                <w:sz w:val="18"/>
                <w:szCs w:val="18"/>
              </w:rPr>
              <w:t>8,797,244.98</w:t>
            </w:r>
          </w:p>
        </w:tc>
      </w:tr>
      <w:tr w14:paraId="382376F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1D3241">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使用权资产折旧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6F1D9F4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748BC9">
            <w:pPr>
              <w:spacing w:line="240" w:lineRule="exact"/>
              <w:jc w:val="right"/>
              <w:rPr>
                <w:rFonts w:ascii="宋体" w:hAnsi="宋体" w:eastAsia="宋体" w:cs="宋体"/>
                <w:sz w:val="18"/>
                <w:szCs w:val="18"/>
              </w:rPr>
            </w:pPr>
          </w:p>
        </w:tc>
      </w:tr>
      <w:tr w14:paraId="747894E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978625">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无形资产摊销</w:t>
            </w:r>
          </w:p>
        </w:tc>
        <w:tc>
          <w:tcPr>
            <w:tcW w:w="3213" w:type="dxa"/>
            <w:tcBorders>
              <w:top w:val="single" w:color="auto" w:sz="2" w:space="0"/>
              <w:left w:val="single" w:color="auto" w:sz="2" w:space="0"/>
              <w:bottom w:val="single" w:color="auto" w:sz="2" w:space="0"/>
              <w:right w:val="single" w:color="auto" w:sz="2" w:space="0"/>
            </w:tcBorders>
            <w:vAlign w:val="center"/>
          </w:tcPr>
          <w:p w14:paraId="27021DEC">
            <w:pPr>
              <w:spacing w:line="240" w:lineRule="exact"/>
              <w:jc w:val="right"/>
              <w:rPr>
                <w:rFonts w:ascii="宋体" w:hAnsi="宋体" w:eastAsia="宋体" w:cs="宋体"/>
                <w:sz w:val="18"/>
                <w:szCs w:val="18"/>
              </w:rPr>
            </w:pPr>
            <w:r>
              <w:rPr>
                <w:rFonts w:ascii="宋体" w:hAnsi="宋体" w:eastAsia="宋体" w:cs="宋体"/>
                <w:sz w:val="18"/>
                <w:szCs w:val="18"/>
              </w:rPr>
              <w:t>76,757.82</w:t>
            </w:r>
          </w:p>
        </w:tc>
        <w:tc>
          <w:tcPr>
            <w:tcW w:w="3213" w:type="dxa"/>
            <w:tcBorders>
              <w:top w:val="single" w:color="auto" w:sz="2" w:space="0"/>
              <w:left w:val="single" w:color="auto" w:sz="2" w:space="0"/>
              <w:bottom w:val="single" w:color="auto" w:sz="2" w:space="0"/>
              <w:right w:val="single" w:color="auto" w:sz="2" w:space="0"/>
            </w:tcBorders>
            <w:vAlign w:val="center"/>
          </w:tcPr>
          <w:p w14:paraId="1742B077">
            <w:pPr>
              <w:spacing w:line="240" w:lineRule="exact"/>
              <w:jc w:val="right"/>
              <w:rPr>
                <w:rFonts w:ascii="宋体" w:hAnsi="宋体" w:eastAsia="宋体" w:cs="宋体"/>
                <w:sz w:val="18"/>
                <w:szCs w:val="18"/>
              </w:rPr>
            </w:pPr>
            <w:r>
              <w:rPr>
                <w:rFonts w:ascii="宋体" w:hAnsi="宋体" w:eastAsia="宋体" w:cs="宋体"/>
                <w:sz w:val="18"/>
                <w:szCs w:val="18"/>
              </w:rPr>
              <w:t>76,757.82</w:t>
            </w:r>
          </w:p>
        </w:tc>
      </w:tr>
      <w:tr w14:paraId="3128D3F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F458C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长期待摊费用摊销</w:t>
            </w:r>
          </w:p>
        </w:tc>
        <w:tc>
          <w:tcPr>
            <w:tcW w:w="3213" w:type="dxa"/>
            <w:tcBorders>
              <w:top w:val="single" w:color="auto" w:sz="2" w:space="0"/>
              <w:left w:val="single" w:color="auto" w:sz="2" w:space="0"/>
              <w:bottom w:val="single" w:color="auto" w:sz="2" w:space="0"/>
              <w:right w:val="single" w:color="auto" w:sz="2" w:space="0"/>
            </w:tcBorders>
            <w:vAlign w:val="center"/>
          </w:tcPr>
          <w:p w14:paraId="48FF7B0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1F8B1F">
            <w:pPr>
              <w:spacing w:line="240" w:lineRule="exact"/>
              <w:jc w:val="right"/>
              <w:rPr>
                <w:rFonts w:ascii="宋体" w:hAnsi="宋体" w:eastAsia="宋体" w:cs="宋体"/>
                <w:sz w:val="18"/>
                <w:szCs w:val="18"/>
              </w:rPr>
            </w:pPr>
          </w:p>
        </w:tc>
      </w:tr>
      <w:tr w14:paraId="742F6A8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5985CD">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处置固定资产、无形资产和其他长期资产的损失（收益以“－”号填列）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36ECAB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647027">
            <w:pPr>
              <w:spacing w:line="240" w:lineRule="exact"/>
              <w:jc w:val="right"/>
              <w:rPr>
                <w:rFonts w:ascii="宋体" w:hAnsi="宋体" w:eastAsia="宋体" w:cs="宋体"/>
                <w:sz w:val="18"/>
                <w:szCs w:val="18"/>
              </w:rPr>
            </w:pPr>
          </w:p>
        </w:tc>
      </w:tr>
      <w:tr w14:paraId="7052086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1769A7">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固定资产报废损失（收益以“－”号填列）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F3D21FB">
            <w:pPr>
              <w:spacing w:line="240" w:lineRule="exact"/>
              <w:jc w:val="right"/>
              <w:rPr>
                <w:rFonts w:ascii="宋体" w:hAnsi="宋体" w:eastAsia="宋体" w:cs="宋体"/>
                <w:sz w:val="18"/>
                <w:szCs w:val="18"/>
              </w:rPr>
            </w:pPr>
            <w:r>
              <w:rPr>
                <w:rFonts w:ascii="宋体" w:hAnsi="宋体" w:eastAsia="宋体" w:cs="宋体"/>
                <w:sz w:val="18"/>
                <w:szCs w:val="18"/>
              </w:rPr>
              <w:t>281,185.69</w:t>
            </w:r>
          </w:p>
        </w:tc>
        <w:tc>
          <w:tcPr>
            <w:tcW w:w="3213" w:type="dxa"/>
            <w:tcBorders>
              <w:top w:val="single" w:color="auto" w:sz="2" w:space="0"/>
              <w:left w:val="single" w:color="auto" w:sz="2" w:space="0"/>
              <w:bottom w:val="single" w:color="auto" w:sz="2" w:space="0"/>
              <w:right w:val="single" w:color="auto" w:sz="2" w:space="0"/>
            </w:tcBorders>
            <w:vAlign w:val="center"/>
          </w:tcPr>
          <w:p w14:paraId="774D6CC0">
            <w:pPr>
              <w:spacing w:line="240" w:lineRule="exact"/>
              <w:jc w:val="right"/>
              <w:rPr>
                <w:rFonts w:ascii="宋体" w:hAnsi="宋体" w:eastAsia="宋体" w:cs="宋体"/>
                <w:sz w:val="18"/>
                <w:szCs w:val="18"/>
              </w:rPr>
            </w:pPr>
            <w:r>
              <w:rPr>
                <w:rFonts w:ascii="宋体" w:hAnsi="宋体" w:eastAsia="宋体" w:cs="宋体"/>
                <w:sz w:val="18"/>
                <w:szCs w:val="18"/>
              </w:rPr>
              <w:t>5,627,267.74</w:t>
            </w:r>
          </w:p>
        </w:tc>
      </w:tr>
      <w:tr w14:paraId="162C26B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18F445">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公允价值变动损失（收益以“－”号填列）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65FABF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562091">
            <w:pPr>
              <w:spacing w:line="240" w:lineRule="exact"/>
              <w:jc w:val="right"/>
              <w:rPr>
                <w:rFonts w:ascii="宋体" w:hAnsi="宋体" w:eastAsia="宋体" w:cs="宋体"/>
                <w:sz w:val="18"/>
                <w:szCs w:val="18"/>
              </w:rPr>
            </w:pPr>
          </w:p>
        </w:tc>
      </w:tr>
      <w:tr w14:paraId="72717E9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D6956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财务费用（收益以“－”号填列）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12F20A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03BCDE">
            <w:pPr>
              <w:spacing w:line="240" w:lineRule="exact"/>
              <w:jc w:val="right"/>
              <w:rPr>
                <w:rFonts w:ascii="宋体" w:hAnsi="宋体" w:eastAsia="宋体" w:cs="宋体"/>
                <w:sz w:val="18"/>
                <w:szCs w:val="18"/>
              </w:rPr>
            </w:pPr>
            <w:r>
              <w:rPr>
                <w:rFonts w:ascii="宋体" w:hAnsi="宋体" w:eastAsia="宋体" w:cs="宋体"/>
                <w:sz w:val="18"/>
                <w:szCs w:val="18"/>
              </w:rPr>
              <w:t>18,036,500.00</w:t>
            </w:r>
          </w:p>
        </w:tc>
      </w:tr>
      <w:tr w14:paraId="43D2D46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116C6D">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投资损失（收益以“－”号填列）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2794CDE">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4286AE20">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3917472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2C0210">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递延所得税资产减少（增加以“－”号填列）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557D696">
            <w:pPr>
              <w:spacing w:line="240" w:lineRule="exact"/>
              <w:jc w:val="right"/>
              <w:rPr>
                <w:rFonts w:ascii="宋体" w:hAnsi="宋体" w:eastAsia="宋体" w:cs="宋体"/>
                <w:sz w:val="18"/>
                <w:szCs w:val="18"/>
              </w:rPr>
            </w:pPr>
            <w:r>
              <w:rPr>
                <w:rFonts w:ascii="宋体" w:hAnsi="宋体" w:eastAsia="宋体" w:cs="宋体"/>
                <w:sz w:val="18"/>
                <w:szCs w:val="18"/>
              </w:rPr>
              <w:t>1,005.32</w:t>
            </w:r>
          </w:p>
        </w:tc>
        <w:tc>
          <w:tcPr>
            <w:tcW w:w="3213" w:type="dxa"/>
            <w:tcBorders>
              <w:top w:val="single" w:color="auto" w:sz="2" w:space="0"/>
              <w:left w:val="single" w:color="auto" w:sz="2" w:space="0"/>
              <w:bottom w:val="single" w:color="auto" w:sz="2" w:space="0"/>
              <w:right w:val="single" w:color="auto" w:sz="2" w:space="0"/>
            </w:tcBorders>
            <w:vAlign w:val="center"/>
          </w:tcPr>
          <w:p w14:paraId="25D009DE">
            <w:pPr>
              <w:spacing w:line="240" w:lineRule="exact"/>
              <w:jc w:val="right"/>
              <w:rPr>
                <w:rFonts w:ascii="宋体" w:hAnsi="宋体" w:eastAsia="宋体" w:cs="宋体"/>
                <w:sz w:val="18"/>
                <w:szCs w:val="18"/>
              </w:rPr>
            </w:pPr>
            <w:r>
              <w:rPr>
                <w:rFonts w:ascii="宋体" w:hAnsi="宋体" w:eastAsia="宋体" w:cs="宋体"/>
                <w:sz w:val="18"/>
                <w:szCs w:val="18"/>
              </w:rPr>
              <w:t>-4,323,378.56</w:t>
            </w:r>
          </w:p>
        </w:tc>
      </w:tr>
      <w:tr w14:paraId="4215D14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11F4F7">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递延所得税负债增加（减少以“－”号填列）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4EF985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B46866">
            <w:pPr>
              <w:spacing w:line="240" w:lineRule="exact"/>
              <w:jc w:val="right"/>
              <w:rPr>
                <w:rFonts w:ascii="宋体" w:hAnsi="宋体" w:eastAsia="宋体" w:cs="宋体"/>
                <w:sz w:val="18"/>
                <w:szCs w:val="18"/>
              </w:rPr>
            </w:pPr>
          </w:p>
        </w:tc>
      </w:tr>
      <w:tr w14:paraId="51FB7E7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0A1117">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存货的减少（增加以“－”号填列）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F3E9511">
            <w:pPr>
              <w:spacing w:line="240" w:lineRule="exact"/>
              <w:jc w:val="right"/>
              <w:rPr>
                <w:rFonts w:ascii="宋体" w:hAnsi="宋体" w:eastAsia="宋体" w:cs="宋体"/>
                <w:sz w:val="18"/>
                <w:szCs w:val="18"/>
              </w:rPr>
            </w:pPr>
            <w:r>
              <w:rPr>
                <w:rFonts w:ascii="宋体" w:hAnsi="宋体" w:eastAsia="宋体" w:cs="宋体"/>
                <w:sz w:val="18"/>
                <w:szCs w:val="18"/>
              </w:rPr>
              <w:t>5,719,151.80</w:t>
            </w:r>
          </w:p>
        </w:tc>
        <w:tc>
          <w:tcPr>
            <w:tcW w:w="3213" w:type="dxa"/>
            <w:tcBorders>
              <w:top w:val="single" w:color="auto" w:sz="2" w:space="0"/>
              <w:left w:val="single" w:color="auto" w:sz="2" w:space="0"/>
              <w:bottom w:val="single" w:color="auto" w:sz="2" w:space="0"/>
              <w:right w:val="single" w:color="auto" w:sz="2" w:space="0"/>
            </w:tcBorders>
            <w:vAlign w:val="center"/>
          </w:tcPr>
          <w:p w14:paraId="2EE994BA">
            <w:pPr>
              <w:spacing w:line="240" w:lineRule="exact"/>
              <w:jc w:val="right"/>
              <w:rPr>
                <w:rFonts w:ascii="宋体" w:hAnsi="宋体" w:eastAsia="宋体" w:cs="宋体"/>
                <w:sz w:val="18"/>
                <w:szCs w:val="18"/>
              </w:rPr>
            </w:pPr>
            <w:r>
              <w:rPr>
                <w:rFonts w:ascii="宋体" w:hAnsi="宋体" w:eastAsia="宋体" w:cs="宋体"/>
                <w:sz w:val="18"/>
                <w:szCs w:val="18"/>
              </w:rPr>
              <w:t>-7,851,509.11</w:t>
            </w:r>
          </w:p>
        </w:tc>
      </w:tr>
      <w:tr w14:paraId="5486B79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2F3502">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经营性应收项目的减少（增加以“－”号填列）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61153CA">
            <w:pPr>
              <w:spacing w:line="240" w:lineRule="exact"/>
              <w:jc w:val="right"/>
              <w:rPr>
                <w:rFonts w:ascii="宋体" w:hAnsi="宋体" w:eastAsia="宋体" w:cs="宋体"/>
                <w:sz w:val="18"/>
                <w:szCs w:val="18"/>
              </w:rPr>
            </w:pPr>
            <w:r>
              <w:rPr>
                <w:rFonts w:ascii="宋体" w:hAnsi="宋体" w:eastAsia="宋体" w:cs="宋体"/>
                <w:sz w:val="18"/>
                <w:szCs w:val="18"/>
              </w:rPr>
              <w:t>-910,370.35</w:t>
            </w:r>
          </w:p>
        </w:tc>
        <w:tc>
          <w:tcPr>
            <w:tcW w:w="3213" w:type="dxa"/>
            <w:tcBorders>
              <w:top w:val="single" w:color="auto" w:sz="2" w:space="0"/>
              <w:left w:val="single" w:color="auto" w:sz="2" w:space="0"/>
              <w:bottom w:val="single" w:color="auto" w:sz="2" w:space="0"/>
              <w:right w:val="single" w:color="auto" w:sz="2" w:space="0"/>
            </w:tcBorders>
            <w:vAlign w:val="center"/>
          </w:tcPr>
          <w:p w14:paraId="61C8197D">
            <w:pPr>
              <w:spacing w:line="240" w:lineRule="exact"/>
              <w:jc w:val="right"/>
              <w:rPr>
                <w:rFonts w:ascii="宋体" w:hAnsi="宋体" w:eastAsia="宋体" w:cs="宋体"/>
                <w:sz w:val="18"/>
                <w:szCs w:val="18"/>
              </w:rPr>
            </w:pPr>
            <w:r>
              <w:rPr>
                <w:rFonts w:ascii="宋体" w:hAnsi="宋体" w:eastAsia="宋体" w:cs="宋体"/>
                <w:sz w:val="18"/>
                <w:szCs w:val="18"/>
              </w:rPr>
              <w:t>-3,922,367.57</w:t>
            </w:r>
          </w:p>
        </w:tc>
      </w:tr>
      <w:tr w14:paraId="549ACCA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3DD3E7">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经营性应付项目的增加（减少以“－”号填列）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1F719AA">
            <w:pPr>
              <w:spacing w:line="240" w:lineRule="exact"/>
              <w:jc w:val="right"/>
              <w:rPr>
                <w:rFonts w:ascii="宋体" w:hAnsi="宋体" w:eastAsia="宋体" w:cs="宋体"/>
                <w:sz w:val="18"/>
                <w:szCs w:val="18"/>
              </w:rPr>
            </w:pPr>
            <w:r>
              <w:rPr>
                <w:rFonts w:ascii="宋体" w:hAnsi="宋体" w:eastAsia="宋体" w:cs="宋体"/>
                <w:sz w:val="18"/>
                <w:szCs w:val="18"/>
              </w:rPr>
              <w:t>-3</w:t>
            </w:r>
            <w:r>
              <w:rPr>
                <w:rFonts w:hint="eastAsia" w:ascii="宋体" w:hAnsi="宋体" w:eastAsia="宋体" w:cs="宋体"/>
                <w:sz w:val="18"/>
                <w:szCs w:val="18"/>
                <w:lang w:val="en-US" w:eastAsia="zh-CN"/>
              </w:rPr>
              <w:t>,</w:t>
            </w:r>
            <w:r>
              <w:rPr>
                <w:rFonts w:ascii="宋体" w:hAnsi="宋体" w:eastAsia="宋体" w:cs="宋体"/>
                <w:sz w:val="18"/>
                <w:szCs w:val="18"/>
              </w:rPr>
              <w:t>428</w:t>
            </w:r>
            <w:r>
              <w:rPr>
                <w:rFonts w:hint="eastAsia" w:ascii="宋体" w:hAnsi="宋体" w:eastAsia="宋体" w:cs="宋体"/>
                <w:sz w:val="18"/>
                <w:szCs w:val="18"/>
                <w:lang w:val="en-US" w:eastAsia="zh-CN"/>
              </w:rPr>
              <w:t>,</w:t>
            </w:r>
            <w:r>
              <w:rPr>
                <w:rFonts w:ascii="宋体" w:hAnsi="宋体" w:eastAsia="宋体" w:cs="宋体"/>
                <w:sz w:val="18"/>
                <w:szCs w:val="18"/>
              </w:rPr>
              <w:t>578.88</w:t>
            </w:r>
          </w:p>
        </w:tc>
        <w:tc>
          <w:tcPr>
            <w:tcW w:w="3213" w:type="dxa"/>
            <w:tcBorders>
              <w:top w:val="single" w:color="auto" w:sz="2" w:space="0"/>
              <w:left w:val="single" w:color="auto" w:sz="2" w:space="0"/>
              <w:bottom w:val="single" w:color="auto" w:sz="2" w:space="0"/>
              <w:right w:val="single" w:color="auto" w:sz="2" w:space="0"/>
            </w:tcBorders>
            <w:vAlign w:val="center"/>
          </w:tcPr>
          <w:p w14:paraId="4FA052F1">
            <w:pPr>
              <w:spacing w:line="240" w:lineRule="exact"/>
              <w:jc w:val="right"/>
              <w:rPr>
                <w:rFonts w:ascii="宋体" w:hAnsi="宋体" w:eastAsia="宋体" w:cs="宋体"/>
                <w:sz w:val="18"/>
                <w:szCs w:val="18"/>
              </w:rPr>
            </w:pPr>
            <w:r>
              <w:rPr>
                <w:rFonts w:ascii="宋体" w:hAnsi="宋体" w:eastAsia="宋体" w:cs="宋体"/>
                <w:sz w:val="18"/>
                <w:szCs w:val="18"/>
              </w:rPr>
              <w:t>-2,814,609.38</w:t>
            </w:r>
          </w:p>
        </w:tc>
      </w:tr>
      <w:tr w14:paraId="17399EB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A9179A">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5EFB43F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6C20F7">
            <w:pPr>
              <w:spacing w:line="240" w:lineRule="exact"/>
              <w:jc w:val="right"/>
              <w:rPr>
                <w:rFonts w:ascii="宋体" w:hAnsi="宋体" w:eastAsia="宋体" w:cs="宋体"/>
                <w:sz w:val="18"/>
                <w:szCs w:val="18"/>
              </w:rPr>
            </w:pPr>
          </w:p>
        </w:tc>
      </w:tr>
      <w:tr w14:paraId="54BD6A2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89A28D">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732DC22D">
            <w:pPr>
              <w:spacing w:line="240" w:lineRule="exact"/>
              <w:jc w:val="right"/>
              <w:rPr>
                <w:rFonts w:ascii="宋体" w:hAnsi="宋体" w:eastAsia="宋体" w:cs="宋体"/>
                <w:sz w:val="18"/>
                <w:szCs w:val="18"/>
              </w:rPr>
            </w:pPr>
            <w:r>
              <w:rPr>
                <w:rFonts w:ascii="宋体" w:hAnsi="宋体" w:eastAsia="宋体" w:cs="宋体"/>
                <w:sz w:val="18"/>
                <w:szCs w:val="18"/>
              </w:rPr>
              <w:t>44,117,367.06</w:t>
            </w:r>
          </w:p>
        </w:tc>
        <w:tc>
          <w:tcPr>
            <w:tcW w:w="3213" w:type="dxa"/>
            <w:tcBorders>
              <w:top w:val="single" w:color="auto" w:sz="2" w:space="0"/>
              <w:left w:val="single" w:color="auto" w:sz="2" w:space="0"/>
              <w:bottom w:val="single" w:color="auto" w:sz="2" w:space="0"/>
              <w:right w:val="single" w:color="auto" w:sz="2" w:space="0"/>
            </w:tcBorders>
            <w:vAlign w:val="center"/>
          </w:tcPr>
          <w:p w14:paraId="3D7F3913">
            <w:pPr>
              <w:spacing w:line="240" w:lineRule="exact"/>
              <w:jc w:val="right"/>
              <w:rPr>
                <w:rFonts w:ascii="宋体" w:hAnsi="宋体" w:eastAsia="宋体" w:cs="宋体"/>
                <w:sz w:val="18"/>
                <w:szCs w:val="18"/>
              </w:rPr>
            </w:pPr>
            <w:r>
              <w:rPr>
                <w:rFonts w:ascii="宋体" w:hAnsi="宋体" w:eastAsia="宋体" w:cs="宋体"/>
                <w:sz w:val="18"/>
                <w:szCs w:val="18"/>
              </w:rPr>
              <w:t>17,088,404.43</w:t>
            </w:r>
          </w:p>
        </w:tc>
      </w:tr>
      <w:tr w14:paraId="7E8E6A1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9DB190">
            <w:pPr>
              <w:spacing w:before="40" w:after="40" w:line="240" w:lineRule="exact"/>
              <w:rPr>
                <w:rFonts w:ascii="宋体" w:hAnsi="宋体" w:eastAsia="宋体" w:cs="宋体"/>
                <w:sz w:val="18"/>
                <w:szCs w:val="18"/>
              </w:rPr>
            </w:pPr>
            <w:r>
              <w:rPr>
                <w:rFonts w:ascii="宋体" w:hAnsi="宋体" w:eastAsia="宋体" w:cs="宋体"/>
                <w:sz w:val="18"/>
                <w:szCs w:val="18"/>
              </w:rPr>
              <w:t>2．不涉及现金收支的重大投资和筹资活动：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B1838F"/>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10B8CD"/>
        </w:tc>
      </w:tr>
      <w:tr w14:paraId="3F002B7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8A211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债务转为资本</w:t>
            </w:r>
          </w:p>
        </w:tc>
        <w:tc>
          <w:tcPr>
            <w:tcW w:w="3213" w:type="dxa"/>
            <w:tcBorders>
              <w:top w:val="single" w:color="auto" w:sz="2" w:space="0"/>
              <w:left w:val="single" w:color="auto" w:sz="2" w:space="0"/>
              <w:bottom w:val="single" w:color="auto" w:sz="2" w:space="0"/>
              <w:right w:val="single" w:color="auto" w:sz="2" w:space="0"/>
            </w:tcBorders>
            <w:vAlign w:val="center"/>
          </w:tcPr>
          <w:p w14:paraId="26247D0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DDFB57">
            <w:pPr>
              <w:spacing w:line="240" w:lineRule="exact"/>
              <w:jc w:val="right"/>
              <w:rPr>
                <w:rFonts w:ascii="宋体" w:hAnsi="宋体" w:eastAsia="宋体" w:cs="宋体"/>
                <w:sz w:val="18"/>
                <w:szCs w:val="18"/>
              </w:rPr>
            </w:pPr>
          </w:p>
        </w:tc>
      </w:tr>
      <w:tr w14:paraId="73E8390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9085E5">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一年内到期的可转换公司债券</w:t>
            </w:r>
          </w:p>
        </w:tc>
        <w:tc>
          <w:tcPr>
            <w:tcW w:w="3213" w:type="dxa"/>
            <w:tcBorders>
              <w:top w:val="single" w:color="auto" w:sz="2" w:space="0"/>
              <w:left w:val="single" w:color="auto" w:sz="2" w:space="0"/>
              <w:bottom w:val="single" w:color="auto" w:sz="2" w:space="0"/>
              <w:right w:val="single" w:color="auto" w:sz="2" w:space="0"/>
            </w:tcBorders>
            <w:vAlign w:val="center"/>
          </w:tcPr>
          <w:p w14:paraId="376D59D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1D4B8C">
            <w:pPr>
              <w:spacing w:line="240" w:lineRule="exact"/>
              <w:jc w:val="right"/>
              <w:rPr>
                <w:rFonts w:ascii="宋体" w:hAnsi="宋体" w:eastAsia="宋体" w:cs="宋体"/>
                <w:sz w:val="18"/>
                <w:szCs w:val="18"/>
              </w:rPr>
            </w:pPr>
          </w:p>
        </w:tc>
      </w:tr>
      <w:tr w14:paraId="0F0F18B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E00B5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融资租入固定资产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642108E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5FC4D5">
            <w:pPr>
              <w:spacing w:line="240" w:lineRule="exact"/>
              <w:jc w:val="right"/>
              <w:rPr>
                <w:rFonts w:ascii="宋体" w:hAnsi="宋体" w:eastAsia="宋体" w:cs="宋体"/>
                <w:sz w:val="18"/>
                <w:szCs w:val="18"/>
              </w:rPr>
            </w:pPr>
          </w:p>
        </w:tc>
      </w:tr>
      <w:tr w14:paraId="54B4A46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32F4B3">
            <w:pPr>
              <w:spacing w:before="40" w:after="40" w:line="240" w:lineRule="exact"/>
              <w:rPr>
                <w:rFonts w:ascii="宋体" w:hAnsi="宋体" w:eastAsia="宋体" w:cs="宋体"/>
                <w:sz w:val="18"/>
                <w:szCs w:val="18"/>
              </w:rPr>
            </w:pPr>
            <w:r>
              <w:rPr>
                <w:rFonts w:ascii="宋体" w:hAnsi="宋体" w:eastAsia="宋体" w:cs="宋体"/>
                <w:sz w:val="18"/>
                <w:szCs w:val="18"/>
              </w:rPr>
              <w:t>3．现金及现金等价物净变动情况：</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E24BEC"/>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876EDB"/>
        </w:tc>
      </w:tr>
      <w:tr w14:paraId="6D9DC3B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13928E">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现金的期末余额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56EA1F9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CA9AB3">
            <w:pPr>
              <w:spacing w:line="240" w:lineRule="exact"/>
              <w:jc w:val="right"/>
              <w:rPr>
                <w:rFonts w:ascii="宋体" w:hAnsi="宋体" w:eastAsia="宋体" w:cs="宋体"/>
                <w:sz w:val="18"/>
                <w:szCs w:val="18"/>
              </w:rPr>
            </w:pPr>
          </w:p>
        </w:tc>
      </w:tr>
      <w:tr w14:paraId="525EF79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6ABCC4">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减：现金的期初余额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11D8915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4C3376">
            <w:pPr>
              <w:spacing w:line="240" w:lineRule="exact"/>
              <w:jc w:val="right"/>
              <w:rPr>
                <w:rFonts w:ascii="宋体" w:hAnsi="宋体" w:eastAsia="宋体" w:cs="宋体"/>
                <w:sz w:val="18"/>
                <w:szCs w:val="18"/>
              </w:rPr>
            </w:pPr>
          </w:p>
        </w:tc>
      </w:tr>
      <w:tr w14:paraId="12130FA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4CCE12">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加：现金等价物的期末余额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3D8A5232">
            <w:pPr>
              <w:spacing w:line="240" w:lineRule="exact"/>
              <w:jc w:val="right"/>
              <w:rPr>
                <w:rFonts w:ascii="宋体" w:hAnsi="宋体" w:eastAsia="宋体" w:cs="宋体"/>
                <w:sz w:val="18"/>
                <w:szCs w:val="18"/>
              </w:rPr>
            </w:pPr>
            <w:r>
              <w:rPr>
                <w:rFonts w:ascii="宋体" w:hAnsi="宋体" w:eastAsia="宋体" w:cs="宋体"/>
                <w:sz w:val="18"/>
                <w:szCs w:val="18"/>
              </w:rPr>
              <w:t>576,281,707.79</w:t>
            </w:r>
          </w:p>
        </w:tc>
        <w:tc>
          <w:tcPr>
            <w:tcW w:w="3213" w:type="dxa"/>
            <w:tcBorders>
              <w:top w:val="single" w:color="auto" w:sz="2" w:space="0"/>
              <w:left w:val="single" w:color="auto" w:sz="2" w:space="0"/>
              <w:bottom w:val="single" w:color="auto" w:sz="2" w:space="0"/>
              <w:right w:val="single" w:color="auto" w:sz="2" w:space="0"/>
            </w:tcBorders>
            <w:vAlign w:val="center"/>
          </w:tcPr>
          <w:p w14:paraId="7E8010D7">
            <w:pPr>
              <w:spacing w:line="240" w:lineRule="exact"/>
              <w:jc w:val="right"/>
              <w:rPr>
                <w:rFonts w:ascii="宋体" w:hAnsi="宋体" w:eastAsia="宋体" w:cs="宋体"/>
                <w:sz w:val="18"/>
                <w:szCs w:val="18"/>
              </w:rPr>
            </w:pPr>
            <w:r>
              <w:rPr>
                <w:rFonts w:ascii="宋体" w:hAnsi="宋体" w:eastAsia="宋体" w:cs="宋体"/>
                <w:sz w:val="18"/>
                <w:szCs w:val="18"/>
              </w:rPr>
              <w:t>53,399,799.78</w:t>
            </w:r>
          </w:p>
        </w:tc>
      </w:tr>
      <w:tr w14:paraId="3074B0F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4C43C7">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减：现金等价物的期初余额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08D0CF0F">
            <w:pPr>
              <w:spacing w:line="240" w:lineRule="exact"/>
              <w:jc w:val="right"/>
              <w:rPr>
                <w:rFonts w:ascii="宋体" w:hAnsi="宋体" w:eastAsia="宋体" w:cs="宋体"/>
                <w:sz w:val="18"/>
                <w:szCs w:val="18"/>
              </w:rPr>
            </w:pPr>
            <w:r>
              <w:rPr>
                <w:rFonts w:ascii="宋体" w:hAnsi="宋体" w:eastAsia="宋体" w:cs="宋体"/>
                <w:sz w:val="18"/>
                <w:szCs w:val="18"/>
              </w:rPr>
              <w:t>544,409,358.43</w:t>
            </w:r>
          </w:p>
        </w:tc>
        <w:tc>
          <w:tcPr>
            <w:tcW w:w="3213" w:type="dxa"/>
            <w:tcBorders>
              <w:top w:val="single" w:color="auto" w:sz="2" w:space="0"/>
              <w:left w:val="single" w:color="auto" w:sz="2" w:space="0"/>
              <w:bottom w:val="single" w:color="auto" w:sz="2" w:space="0"/>
              <w:right w:val="single" w:color="auto" w:sz="2" w:space="0"/>
            </w:tcBorders>
            <w:vAlign w:val="center"/>
          </w:tcPr>
          <w:p w14:paraId="4DA43AE8">
            <w:pPr>
              <w:spacing w:line="240" w:lineRule="exact"/>
              <w:jc w:val="right"/>
              <w:rPr>
                <w:rFonts w:ascii="宋体" w:hAnsi="宋体" w:eastAsia="宋体" w:cs="宋体"/>
                <w:sz w:val="18"/>
                <w:szCs w:val="18"/>
              </w:rPr>
            </w:pPr>
            <w:r>
              <w:rPr>
                <w:rFonts w:ascii="宋体" w:hAnsi="宋体" w:eastAsia="宋体" w:cs="宋体"/>
                <w:sz w:val="18"/>
                <w:szCs w:val="18"/>
              </w:rPr>
              <w:t>89,377,583.79</w:t>
            </w:r>
          </w:p>
        </w:tc>
      </w:tr>
      <w:tr w14:paraId="14AD191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B4A981">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8D763D3">
            <w:pPr>
              <w:spacing w:line="240" w:lineRule="exact"/>
              <w:jc w:val="right"/>
              <w:rPr>
                <w:rFonts w:ascii="宋体" w:hAnsi="宋体" w:eastAsia="宋体" w:cs="宋体"/>
                <w:sz w:val="18"/>
                <w:szCs w:val="18"/>
              </w:rPr>
            </w:pPr>
            <w:r>
              <w:rPr>
                <w:rFonts w:ascii="宋体" w:hAnsi="宋体" w:eastAsia="宋体" w:cs="宋体"/>
                <w:sz w:val="18"/>
                <w:szCs w:val="18"/>
              </w:rPr>
              <w:t>31,872,349.36</w:t>
            </w:r>
          </w:p>
        </w:tc>
        <w:tc>
          <w:tcPr>
            <w:tcW w:w="3213" w:type="dxa"/>
            <w:tcBorders>
              <w:top w:val="single" w:color="auto" w:sz="2" w:space="0"/>
              <w:left w:val="single" w:color="auto" w:sz="2" w:space="0"/>
              <w:bottom w:val="single" w:color="auto" w:sz="2" w:space="0"/>
              <w:right w:val="single" w:color="auto" w:sz="2" w:space="0"/>
            </w:tcBorders>
            <w:vAlign w:val="center"/>
          </w:tcPr>
          <w:p w14:paraId="3A1D64B4">
            <w:pPr>
              <w:spacing w:line="240" w:lineRule="exact"/>
              <w:jc w:val="right"/>
              <w:rPr>
                <w:rFonts w:ascii="宋体" w:hAnsi="宋体" w:eastAsia="宋体" w:cs="宋体"/>
                <w:sz w:val="18"/>
                <w:szCs w:val="18"/>
              </w:rPr>
            </w:pPr>
            <w:r>
              <w:rPr>
                <w:rFonts w:ascii="宋体" w:hAnsi="宋体" w:eastAsia="宋体" w:cs="宋体"/>
                <w:sz w:val="18"/>
                <w:szCs w:val="18"/>
              </w:rPr>
              <w:t>-35,977,784.01</w:t>
            </w:r>
          </w:p>
        </w:tc>
      </w:tr>
    </w:tbl>
    <w:p w14:paraId="4FA78C8C">
      <w:pPr>
        <w:keepNext/>
        <w:keepLines/>
        <w:spacing w:before="300" w:after="100" w:line="280" w:lineRule="exact"/>
        <w:outlineLvl w:val="3"/>
        <w:rPr>
          <w:rFonts w:ascii="宋体" w:hAnsi="宋体" w:eastAsia="宋体" w:cs="宋体"/>
          <w:b/>
          <w:bCs/>
          <w:szCs w:val="21"/>
        </w:rPr>
      </w:pPr>
      <w:bookmarkStart w:id="376" w:name="_Toc989265"/>
      <w:r>
        <w:rPr>
          <w:rFonts w:ascii="宋体" w:hAnsi="宋体" w:eastAsia="宋体" w:cs="宋体"/>
          <w:b/>
          <w:bCs/>
          <w:szCs w:val="21"/>
        </w:rPr>
        <w:t>（2） 本期支付的取得子公司的现金净额</w:t>
      </w:r>
      <w:bookmarkEnd w:id="376"/>
    </w:p>
    <w:p w14:paraId="69C7BBD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C13354F">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7EE16E"/>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49B1220">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r>
      <w:tr w14:paraId="53F790BD">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7F0EFD0">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12CEFC8"/>
        </w:tc>
      </w:tr>
      <w:tr w14:paraId="3D68E6EA">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B788EA1">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B04ACE0"/>
        </w:tc>
      </w:tr>
      <w:tr w14:paraId="170076F1">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C6F7B2B">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BD50A7E"/>
        </w:tc>
      </w:tr>
    </w:tbl>
    <w:p w14:paraId="7004463D">
      <w:pPr>
        <w:spacing w:before="100" w:after="100" w:line="240" w:lineRule="exact"/>
      </w:pPr>
      <w:r>
        <w:rPr>
          <w:rFonts w:ascii="宋体" w:hAnsi="宋体" w:eastAsia="宋体" w:cs="宋体"/>
          <w:sz w:val="18"/>
          <w:szCs w:val="18"/>
        </w:rPr>
        <w:t>其他说明：</w:t>
      </w:r>
    </w:p>
    <w:p w14:paraId="717A9C33">
      <w:pPr>
        <w:keepNext/>
        <w:keepLines/>
        <w:spacing w:before="300" w:after="100" w:line="280" w:lineRule="exact"/>
        <w:outlineLvl w:val="3"/>
        <w:rPr>
          <w:rFonts w:ascii="宋体" w:hAnsi="宋体" w:eastAsia="宋体" w:cs="宋体"/>
          <w:b/>
          <w:bCs/>
          <w:szCs w:val="21"/>
        </w:rPr>
      </w:pPr>
      <w:bookmarkStart w:id="377" w:name="_Toc989266"/>
      <w:r>
        <w:rPr>
          <w:rFonts w:ascii="宋体" w:hAnsi="宋体" w:eastAsia="宋体" w:cs="宋体"/>
          <w:b/>
          <w:bCs/>
          <w:szCs w:val="21"/>
        </w:rPr>
        <w:t>（3） 本期收到的处置子公司的现金净额</w:t>
      </w:r>
      <w:bookmarkEnd w:id="377"/>
    </w:p>
    <w:p w14:paraId="07C7419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6540830">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22C41CF"/>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6E550A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r>
      <w:tr w14:paraId="3D807AA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0CAEB08">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3A78AB1"/>
        </w:tc>
      </w:tr>
      <w:tr w14:paraId="1938920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4EDFDB0">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929F213"/>
        </w:tc>
      </w:tr>
      <w:tr w14:paraId="4FB5EE51">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A46E931">
            <w:pPr>
              <w:spacing w:before="40" w:after="40" w:line="240" w:lineRule="exac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D6CBDAF"/>
        </w:tc>
      </w:tr>
    </w:tbl>
    <w:p w14:paraId="01B9EE6E">
      <w:pPr>
        <w:spacing w:before="100" w:after="100" w:line="240" w:lineRule="exact"/>
      </w:pPr>
      <w:r>
        <w:rPr>
          <w:rFonts w:ascii="宋体" w:hAnsi="宋体" w:eastAsia="宋体" w:cs="宋体"/>
          <w:sz w:val="18"/>
          <w:szCs w:val="18"/>
        </w:rPr>
        <w:t>其他说明：</w:t>
      </w:r>
    </w:p>
    <w:p w14:paraId="2619CA9B">
      <w:pPr>
        <w:keepNext/>
        <w:keepLines/>
        <w:spacing w:before="300" w:after="100" w:line="280" w:lineRule="exact"/>
        <w:outlineLvl w:val="3"/>
        <w:rPr>
          <w:rFonts w:ascii="宋体" w:hAnsi="宋体" w:eastAsia="宋体" w:cs="宋体"/>
          <w:b/>
          <w:bCs/>
          <w:szCs w:val="21"/>
        </w:rPr>
      </w:pPr>
      <w:bookmarkStart w:id="378" w:name="_Toc989267"/>
      <w:r>
        <w:rPr>
          <w:rFonts w:ascii="宋体" w:hAnsi="宋体" w:eastAsia="宋体" w:cs="宋体"/>
          <w:b/>
          <w:bCs/>
          <w:szCs w:val="21"/>
        </w:rPr>
        <w:t>（4） 现金和现金等价物的构成</w:t>
      </w:r>
      <w:bookmarkEnd w:id="378"/>
    </w:p>
    <w:p w14:paraId="467E633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9E7357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B0223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1CB85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D9F70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74ADED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F9FEB9">
            <w:pPr>
              <w:spacing w:before="40" w:after="40" w:line="240" w:lineRule="exact"/>
              <w:rPr>
                <w:rFonts w:ascii="宋体" w:hAnsi="宋体" w:eastAsia="宋体" w:cs="宋体"/>
                <w:sz w:val="18"/>
                <w:szCs w:val="18"/>
              </w:rPr>
            </w:pPr>
            <w:r>
              <w:rPr>
                <w:rFonts w:ascii="宋体" w:hAnsi="宋体" w:eastAsia="宋体" w:cs="宋体"/>
                <w:sz w:val="18"/>
                <w:szCs w:val="18"/>
              </w:rPr>
              <w:t>其中：库存现金</w:t>
            </w:r>
          </w:p>
        </w:tc>
        <w:tc>
          <w:tcPr>
            <w:tcW w:w="3213" w:type="dxa"/>
            <w:tcBorders>
              <w:top w:val="single" w:color="auto" w:sz="2" w:space="0"/>
              <w:left w:val="single" w:color="auto" w:sz="2" w:space="0"/>
              <w:bottom w:val="single" w:color="auto" w:sz="2" w:space="0"/>
              <w:right w:val="single" w:color="auto" w:sz="2" w:space="0"/>
            </w:tcBorders>
            <w:vAlign w:val="center"/>
          </w:tcPr>
          <w:p w14:paraId="42ADF4C5">
            <w:pPr>
              <w:spacing w:line="240" w:lineRule="exact"/>
              <w:jc w:val="right"/>
              <w:rPr>
                <w:rFonts w:ascii="宋体" w:hAnsi="宋体" w:eastAsia="宋体" w:cs="宋体"/>
                <w:sz w:val="18"/>
                <w:szCs w:val="18"/>
              </w:rPr>
            </w:pPr>
            <w:r>
              <w:rPr>
                <w:rFonts w:ascii="宋体" w:hAnsi="宋体" w:eastAsia="宋体" w:cs="宋体"/>
                <w:sz w:val="18"/>
                <w:szCs w:val="18"/>
              </w:rPr>
              <w:t>374,975.48</w:t>
            </w:r>
          </w:p>
        </w:tc>
        <w:tc>
          <w:tcPr>
            <w:tcW w:w="3213" w:type="dxa"/>
            <w:tcBorders>
              <w:top w:val="single" w:color="auto" w:sz="2" w:space="0"/>
              <w:left w:val="single" w:color="auto" w:sz="2" w:space="0"/>
              <w:bottom w:val="single" w:color="auto" w:sz="2" w:space="0"/>
              <w:right w:val="single" w:color="auto" w:sz="2" w:space="0"/>
            </w:tcBorders>
            <w:vAlign w:val="center"/>
          </w:tcPr>
          <w:p w14:paraId="2694032F">
            <w:pPr>
              <w:spacing w:line="240" w:lineRule="exact"/>
              <w:jc w:val="right"/>
              <w:rPr>
                <w:rFonts w:ascii="宋体" w:hAnsi="宋体" w:eastAsia="宋体" w:cs="宋体"/>
                <w:sz w:val="18"/>
                <w:szCs w:val="18"/>
              </w:rPr>
            </w:pPr>
            <w:r>
              <w:rPr>
                <w:rFonts w:ascii="宋体" w:hAnsi="宋体" w:eastAsia="宋体" w:cs="宋体"/>
                <w:sz w:val="18"/>
                <w:szCs w:val="18"/>
              </w:rPr>
              <w:t>621,627.01</w:t>
            </w:r>
          </w:p>
        </w:tc>
      </w:tr>
      <w:tr w14:paraId="2660B39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53C3D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可随时用于支付的银行存款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5E8D9C06">
            <w:pPr>
              <w:spacing w:line="240" w:lineRule="exact"/>
              <w:jc w:val="right"/>
              <w:rPr>
                <w:rFonts w:ascii="宋体" w:hAnsi="宋体" w:eastAsia="宋体" w:cs="宋体"/>
                <w:sz w:val="18"/>
                <w:szCs w:val="18"/>
              </w:rPr>
            </w:pPr>
            <w:r>
              <w:rPr>
                <w:rFonts w:ascii="宋体" w:hAnsi="宋体" w:eastAsia="宋体" w:cs="宋体"/>
                <w:sz w:val="18"/>
                <w:szCs w:val="18"/>
              </w:rPr>
              <w:t>575,906,732.31</w:t>
            </w:r>
          </w:p>
        </w:tc>
        <w:tc>
          <w:tcPr>
            <w:tcW w:w="3213" w:type="dxa"/>
            <w:tcBorders>
              <w:top w:val="single" w:color="auto" w:sz="2" w:space="0"/>
              <w:left w:val="single" w:color="auto" w:sz="2" w:space="0"/>
              <w:bottom w:val="single" w:color="auto" w:sz="2" w:space="0"/>
              <w:right w:val="single" w:color="auto" w:sz="2" w:space="0"/>
            </w:tcBorders>
            <w:vAlign w:val="center"/>
          </w:tcPr>
          <w:p w14:paraId="79A7687E">
            <w:pPr>
              <w:spacing w:line="240" w:lineRule="exact"/>
              <w:jc w:val="right"/>
              <w:rPr>
                <w:rFonts w:ascii="宋体" w:hAnsi="宋体" w:eastAsia="宋体" w:cs="宋体"/>
                <w:sz w:val="18"/>
                <w:szCs w:val="18"/>
              </w:rPr>
            </w:pPr>
            <w:r>
              <w:rPr>
                <w:rFonts w:ascii="宋体" w:hAnsi="宋体" w:eastAsia="宋体" w:cs="宋体"/>
                <w:sz w:val="18"/>
                <w:szCs w:val="18"/>
              </w:rPr>
              <w:t>543,787,731.42</w:t>
            </w:r>
          </w:p>
        </w:tc>
      </w:tr>
      <w:tr w14:paraId="599AA93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D59D03">
            <w:pPr>
              <w:spacing w:before="40" w:after="40" w:line="240" w:lineRule="exact"/>
              <w:rPr>
                <w:rFonts w:ascii="宋体" w:hAnsi="宋体" w:eastAsia="宋体" w:cs="宋体"/>
                <w:sz w:val="18"/>
                <w:szCs w:val="18"/>
              </w:rPr>
            </w:pPr>
            <w:r>
              <w:rPr>
                <w:rFonts w:ascii="宋体" w:hAnsi="宋体" w:eastAsia="宋体" w:cs="宋体"/>
                <w:sz w:val="18"/>
                <w:szCs w:val="18"/>
              </w:rPr>
              <w:t>二、现金等价物</w:t>
            </w:r>
          </w:p>
        </w:tc>
        <w:tc>
          <w:tcPr>
            <w:tcW w:w="3213" w:type="dxa"/>
            <w:tcBorders>
              <w:top w:val="single" w:color="auto" w:sz="2" w:space="0"/>
              <w:left w:val="single" w:color="auto" w:sz="2" w:space="0"/>
              <w:bottom w:val="single" w:color="auto" w:sz="2" w:space="0"/>
              <w:right w:val="single" w:color="auto" w:sz="2" w:space="0"/>
            </w:tcBorders>
            <w:vAlign w:val="center"/>
          </w:tcPr>
          <w:p w14:paraId="2BF5660A">
            <w:pPr>
              <w:spacing w:line="240" w:lineRule="exact"/>
              <w:jc w:val="right"/>
              <w:rPr>
                <w:rFonts w:ascii="宋体" w:hAnsi="宋体" w:eastAsia="宋体" w:cs="宋体"/>
                <w:sz w:val="18"/>
                <w:szCs w:val="18"/>
              </w:rPr>
            </w:pPr>
            <w:r>
              <w:rPr>
                <w:rFonts w:ascii="宋体" w:hAnsi="宋体" w:eastAsia="宋体" w:cs="宋体"/>
                <w:sz w:val="18"/>
                <w:szCs w:val="18"/>
              </w:rPr>
              <w:t>576,281,707.79</w:t>
            </w:r>
          </w:p>
        </w:tc>
        <w:tc>
          <w:tcPr>
            <w:tcW w:w="3213" w:type="dxa"/>
            <w:tcBorders>
              <w:top w:val="single" w:color="auto" w:sz="2" w:space="0"/>
              <w:left w:val="single" w:color="auto" w:sz="2" w:space="0"/>
              <w:bottom w:val="single" w:color="auto" w:sz="2" w:space="0"/>
              <w:right w:val="single" w:color="auto" w:sz="2" w:space="0"/>
            </w:tcBorders>
            <w:vAlign w:val="center"/>
          </w:tcPr>
          <w:p w14:paraId="00586155">
            <w:pPr>
              <w:spacing w:line="240" w:lineRule="exact"/>
              <w:jc w:val="right"/>
              <w:rPr>
                <w:rFonts w:ascii="宋体" w:hAnsi="宋体" w:eastAsia="宋体" w:cs="宋体"/>
                <w:sz w:val="18"/>
                <w:szCs w:val="18"/>
              </w:rPr>
            </w:pPr>
            <w:r>
              <w:rPr>
                <w:rFonts w:ascii="宋体" w:hAnsi="宋体" w:eastAsia="宋体" w:cs="宋体"/>
                <w:sz w:val="18"/>
                <w:szCs w:val="18"/>
              </w:rPr>
              <w:t>544,409,358.43</w:t>
            </w:r>
          </w:p>
        </w:tc>
      </w:tr>
      <w:tr w14:paraId="2C7C98B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5B34D9">
            <w:pPr>
              <w:spacing w:before="40" w:after="40" w:line="240" w:lineRule="exact"/>
              <w:rPr>
                <w:rFonts w:ascii="宋体" w:hAnsi="宋体" w:eastAsia="宋体" w:cs="宋体"/>
                <w:sz w:val="18"/>
                <w:szCs w:val="18"/>
              </w:rPr>
            </w:pPr>
            <w:r>
              <w:rPr>
                <w:rFonts w:ascii="宋体" w:hAnsi="宋体" w:eastAsia="宋体" w:cs="宋体"/>
                <w:sz w:val="18"/>
                <w:szCs w:val="18"/>
              </w:rPr>
              <w:t>三、期末现金及现金等价物余额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4F0726B9">
            <w:pPr>
              <w:spacing w:line="240" w:lineRule="exact"/>
              <w:jc w:val="right"/>
              <w:rPr>
                <w:rFonts w:ascii="宋体" w:hAnsi="宋体" w:eastAsia="宋体" w:cs="宋体"/>
                <w:sz w:val="18"/>
                <w:szCs w:val="18"/>
              </w:rPr>
            </w:pPr>
            <w:r>
              <w:rPr>
                <w:rFonts w:ascii="宋体" w:hAnsi="宋体" w:eastAsia="宋体" w:cs="宋体"/>
                <w:sz w:val="18"/>
                <w:szCs w:val="18"/>
              </w:rPr>
              <w:t>576,281,707.79</w:t>
            </w:r>
          </w:p>
        </w:tc>
        <w:tc>
          <w:tcPr>
            <w:tcW w:w="3213" w:type="dxa"/>
            <w:tcBorders>
              <w:top w:val="single" w:color="auto" w:sz="2" w:space="0"/>
              <w:left w:val="single" w:color="auto" w:sz="2" w:space="0"/>
              <w:bottom w:val="single" w:color="auto" w:sz="2" w:space="0"/>
              <w:right w:val="single" w:color="auto" w:sz="2" w:space="0"/>
            </w:tcBorders>
            <w:vAlign w:val="center"/>
          </w:tcPr>
          <w:p w14:paraId="60656265">
            <w:pPr>
              <w:spacing w:line="240" w:lineRule="exact"/>
              <w:jc w:val="right"/>
              <w:rPr>
                <w:rFonts w:ascii="宋体" w:hAnsi="宋体" w:eastAsia="宋体" w:cs="宋体"/>
                <w:sz w:val="18"/>
                <w:szCs w:val="18"/>
              </w:rPr>
            </w:pPr>
            <w:r>
              <w:rPr>
                <w:rFonts w:ascii="宋体" w:hAnsi="宋体" w:eastAsia="宋体" w:cs="宋体"/>
                <w:sz w:val="18"/>
                <w:szCs w:val="18"/>
              </w:rPr>
              <w:t>544,409,358.43</w:t>
            </w:r>
          </w:p>
        </w:tc>
      </w:tr>
    </w:tbl>
    <w:p w14:paraId="42FB0D54">
      <w:pPr>
        <w:keepNext/>
        <w:keepLines/>
        <w:spacing w:before="300" w:after="100" w:line="280" w:lineRule="exact"/>
        <w:outlineLvl w:val="3"/>
        <w:rPr>
          <w:rFonts w:ascii="宋体" w:hAnsi="宋体" w:eastAsia="宋体" w:cs="宋体"/>
          <w:b/>
          <w:bCs/>
          <w:szCs w:val="21"/>
        </w:rPr>
      </w:pPr>
      <w:bookmarkStart w:id="379" w:name="_Toc989268"/>
      <w:r>
        <w:rPr>
          <w:rFonts w:ascii="宋体" w:hAnsi="宋体" w:eastAsia="宋体" w:cs="宋体"/>
          <w:b/>
          <w:bCs/>
          <w:szCs w:val="21"/>
        </w:rPr>
        <w:t>（5） 使用范围受限但仍属于现金及现金等价物列示的情况</w:t>
      </w:r>
      <w:bookmarkEnd w:id="379"/>
    </w:p>
    <w:p w14:paraId="343B247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7F631554">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BF3822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7D4516F">
            <w:pPr>
              <w:spacing w:before="40" w:after="40" w:line="240" w:lineRule="exact"/>
              <w:jc w:val="center"/>
              <w:rPr>
                <w:rFonts w:ascii="宋体" w:hAnsi="宋体" w:eastAsia="宋体" w:cs="宋体"/>
                <w:sz w:val="18"/>
                <w:szCs w:val="18"/>
              </w:rPr>
            </w:pPr>
            <w:r>
              <w:rPr>
                <w:rFonts w:ascii="宋体" w:hAnsi="宋体" w:eastAsia="宋体" w:cs="宋体"/>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744C533">
            <w:pPr>
              <w:spacing w:before="40" w:after="40" w:line="240" w:lineRule="exact"/>
              <w:jc w:val="center"/>
              <w:rPr>
                <w:rFonts w:ascii="宋体" w:hAnsi="宋体" w:eastAsia="宋体" w:cs="宋体"/>
                <w:sz w:val="18"/>
                <w:szCs w:val="18"/>
              </w:rPr>
            </w:pPr>
            <w:r>
              <w:rPr>
                <w:rFonts w:ascii="宋体" w:hAnsi="宋体" w:eastAsia="宋体" w:cs="宋体"/>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44E0002">
            <w:pPr>
              <w:spacing w:before="40" w:after="40" w:line="240" w:lineRule="exact"/>
              <w:jc w:val="center"/>
              <w:rPr>
                <w:rFonts w:ascii="宋体" w:hAnsi="宋体" w:eastAsia="宋体" w:cs="宋体"/>
                <w:sz w:val="18"/>
                <w:szCs w:val="18"/>
              </w:rPr>
            </w:pPr>
            <w:r>
              <w:rPr>
                <w:rFonts w:ascii="宋体" w:hAnsi="宋体" w:eastAsia="宋体" w:cs="宋体"/>
                <w:sz w:val="18"/>
                <w:szCs w:val="18"/>
              </w:rPr>
              <w:t>仍属于现金及现金等价物的理由</w:t>
            </w:r>
          </w:p>
        </w:tc>
      </w:tr>
      <w:tr w14:paraId="182708C4">
        <w:trPr>
          <w:trHeight w:val="240" w:hRule="atLeast"/>
        </w:trPr>
        <w:tc>
          <w:tcPr>
            <w:tcW w:w="2409" w:type="dxa"/>
            <w:tcBorders>
              <w:top w:val="single" w:color="auto" w:sz="2" w:space="0"/>
              <w:left w:val="single" w:color="auto" w:sz="2" w:space="0"/>
              <w:bottom w:val="single" w:color="auto" w:sz="2" w:space="0"/>
              <w:right w:val="single" w:color="auto" w:sz="2" w:space="0"/>
            </w:tcBorders>
            <w:vAlign w:val="center"/>
          </w:tcPr>
          <w:p w14:paraId="17363818">
            <w:pPr>
              <w:spacing w:line="240" w:lineRule="exact"/>
              <w:rPr>
                <w:rFonts w:ascii="宋体" w:hAnsi="宋体" w:eastAsia="宋体" w:cs="宋体"/>
                <w:sz w:val="18"/>
                <w:szCs w:val="18"/>
              </w:rPr>
            </w:pPr>
            <w:r>
              <w:rPr>
                <w:rFonts w:ascii="宋体" w:hAnsi="宋体" w:eastAsia="宋体" w:cs="宋体"/>
                <w:sz w:val="18"/>
                <w:szCs w:val="18"/>
              </w:rPr>
              <w:t>货币资金</w:t>
            </w:r>
          </w:p>
        </w:tc>
        <w:tc>
          <w:tcPr>
            <w:tcW w:w="2410" w:type="dxa"/>
            <w:tcBorders>
              <w:top w:val="single" w:color="auto" w:sz="2" w:space="0"/>
              <w:left w:val="single" w:color="auto" w:sz="2" w:space="0"/>
              <w:bottom w:val="single" w:color="auto" w:sz="2" w:space="0"/>
              <w:right w:val="single" w:color="auto" w:sz="2" w:space="0"/>
            </w:tcBorders>
            <w:vAlign w:val="center"/>
          </w:tcPr>
          <w:p w14:paraId="1612BEDF">
            <w:pPr>
              <w:spacing w:line="240" w:lineRule="exact"/>
              <w:jc w:val="right"/>
              <w:rPr>
                <w:rFonts w:ascii="宋体" w:hAnsi="宋体" w:eastAsia="宋体" w:cs="宋体"/>
                <w:sz w:val="18"/>
                <w:szCs w:val="18"/>
              </w:rPr>
            </w:pPr>
            <w:r>
              <w:rPr>
                <w:rFonts w:ascii="宋体" w:hAnsi="宋体" w:eastAsia="宋体" w:cs="宋体"/>
                <w:sz w:val="18"/>
                <w:szCs w:val="18"/>
              </w:rPr>
              <w:t>4.17</w:t>
            </w:r>
          </w:p>
        </w:tc>
        <w:tc>
          <w:tcPr>
            <w:tcW w:w="2410" w:type="dxa"/>
            <w:tcBorders>
              <w:top w:val="single" w:color="auto" w:sz="2" w:space="0"/>
              <w:left w:val="single" w:color="auto" w:sz="2" w:space="0"/>
              <w:bottom w:val="single" w:color="auto" w:sz="2" w:space="0"/>
              <w:right w:val="single" w:color="auto" w:sz="2" w:space="0"/>
            </w:tcBorders>
            <w:vAlign w:val="center"/>
          </w:tcPr>
          <w:p w14:paraId="683135CB">
            <w:pPr>
              <w:spacing w:line="240" w:lineRule="exact"/>
              <w:jc w:val="right"/>
              <w:rPr>
                <w:rFonts w:ascii="宋体" w:hAnsi="宋体" w:eastAsia="宋体" w:cs="宋体"/>
                <w:sz w:val="18"/>
                <w:szCs w:val="18"/>
              </w:rPr>
            </w:pPr>
            <w:r>
              <w:rPr>
                <w:rFonts w:ascii="宋体" w:hAnsi="宋体" w:eastAsia="宋体" w:cs="宋体"/>
                <w:sz w:val="18"/>
                <w:szCs w:val="18"/>
              </w:rPr>
              <w:t>15,365.44</w:t>
            </w:r>
          </w:p>
        </w:tc>
        <w:tc>
          <w:tcPr>
            <w:tcW w:w="2410" w:type="dxa"/>
            <w:tcBorders>
              <w:top w:val="single" w:color="auto" w:sz="2" w:space="0"/>
              <w:left w:val="single" w:color="auto" w:sz="2" w:space="0"/>
              <w:bottom w:val="single" w:color="auto" w:sz="2" w:space="0"/>
              <w:right w:val="single" w:color="auto" w:sz="2" w:space="0"/>
            </w:tcBorders>
            <w:vAlign w:val="center"/>
          </w:tcPr>
          <w:p w14:paraId="42E9A335">
            <w:pPr>
              <w:spacing w:line="240" w:lineRule="exact"/>
              <w:rPr>
                <w:rFonts w:ascii="宋体" w:hAnsi="宋体" w:eastAsia="宋体" w:cs="宋体"/>
                <w:sz w:val="18"/>
                <w:szCs w:val="18"/>
              </w:rPr>
            </w:pPr>
            <w:r>
              <w:rPr>
                <w:rFonts w:ascii="宋体" w:hAnsi="宋体" w:eastAsia="宋体" w:cs="宋体"/>
                <w:sz w:val="18"/>
                <w:szCs w:val="18"/>
              </w:rPr>
              <w:t>诉讼冻结</w:t>
            </w:r>
          </w:p>
        </w:tc>
      </w:tr>
      <w:tr w14:paraId="4DCEA061">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84AF43A">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5E882FBB">
            <w:pPr>
              <w:spacing w:line="240" w:lineRule="exact"/>
              <w:jc w:val="right"/>
              <w:rPr>
                <w:rFonts w:ascii="宋体" w:hAnsi="宋体" w:eastAsia="宋体" w:cs="宋体"/>
                <w:sz w:val="18"/>
                <w:szCs w:val="18"/>
              </w:rPr>
            </w:pPr>
            <w:r>
              <w:rPr>
                <w:rFonts w:ascii="宋体" w:hAnsi="宋体" w:eastAsia="宋体" w:cs="宋体"/>
                <w:sz w:val="18"/>
                <w:szCs w:val="18"/>
              </w:rPr>
              <w:t>4.17</w:t>
            </w:r>
          </w:p>
        </w:tc>
        <w:tc>
          <w:tcPr>
            <w:tcW w:w="2410" w:type="dxa"/>
            <w:tcBorders>
              <w:top w:val="single" w:color="auto" w:sz="2" w:space="0"/>
              <w:left w:val="single" w:color="auto" w:sz="2" w:space="0"/>
              <w:bottom w:val="single" w:color="auto" w:sz="2" w:space="0"/>
              <w:right w:val="single" w:color="auto" w:sz="2" w:space="0"/>
            </w:tcBorders>
            <w:vAlign w:val="center"/>
          </w:tcPr>
          <w:p w14:paraId="299C10E5">
            <w:pPr>
              <w:spacing w:line="240" w:lineRule="exact"/>
              <w:jc w:val="right"/>
              <w:rPr>
                <w:rFonts w:ascii="宋体" w:hAnsi="宋体" w:eastAsia="宋体" w:cs="宋体"/>
                <w:sz w:val="18"/>
                <w:szCs w:val="18"/>
              </w:rPr>
            </w:pPr>
            <w:r>
              <w:rPr>
                <w:rFonts w:ascii="宋体" w:hAnsi="宋体" w:eastAsia="宋体" w:cs="宋体"/>
                <w:sz w:val="18"/>
                <w:szCs w:val="18"/>
              </w:rPr>
              <w:t>15,365.44</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340F39C"/>
        </w:tc>
      </w:tr>
    </w:tbl>
    <w:p w14:paraId="0AEB9AFC">
      <w:pPr>
        <w:keepNext/>
        <w:keepLines/>
        <w:spacing w:before="300" w:after="100" w:line="280" w:lineRule="exact"/>
        <w:outlineLvl w:val="3"/>
        <w:rPr>
          <w:rFonts w:ascii="宋体" w:hAnsi="宋体" w:eastAsia="宋体" w:cs="宋体"/>
          <w:b/>
          <w:bCs/>
          <w:szCs w:val="21"/>
        </w:rPr>
      </w:pPr>
      <w:bookmarkStart w:id="380" w:name="_Toc989269"/>
      <w:r>
        <w:rPr>
          <w:rFonts w:ascii="宋体" w:hAnsi="宋体" w:eastAsia="宋体" w:cs="宋体"/>
          <w:b/>
          <w:bCs/>
          <w:szCs w:val="21"/>
        </w:rPr>
        <w:t>（6） 不属于现金及现金等价物的货币资金</w:t>
      </w:r>
      <w:bookmarkEnd w:id="380"/>
    </w:p>
    <w:p w14:paraId="0BA55EB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7F928678">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2E2EB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C25BAD">
            <w:pPr>
              <w:spacing w:before="40" w:after="40" w:line="240" w:lineRule="exact"/>
              <w:jc w:val="center"/>
              <w:rPr>
                <w:rFonts w:ascii="宋体" w:hAnsi="宋体" w:eastAsia="宋体" w:cs="宋体"/>
                <w:sz w:val="18"/>
                <w:szCs w:val="18"/>
              </w:rPr>
            </w:pPr>
            <w:r>
              <w:rPr>
                <w:rFonts w:ascii="宋体" w:hAnsi="宋体" w:eastAsia="宋体" w:cs="宋体"/>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43BCBC">
            <w:pPr>
              <w:spacing w:before="40" w:after="40" w:line="240" w:lineRule="exact"/>
              <w:jc w:val="center"/>
              <w:rPr>
                <w:rFonts w:ascii="宋体" w:hAnsi="宋体" w:eastAsia="宋体" w:cs="宋体"/>
                <w:sz w:val="18"/>
                <w:szCs w:val="18"/>
              </w:rPr>
            </w:pPr>
            <w:r>
              <w:rPr>
                <w:rFonts w:ascii="宋体" w:hAnsi="宋体" w:eastAsia="宋体" w:cs="宋体"/>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AC5DAD">
            <w:pPr>
              <w:spacing w:before="40" w:after="40" w:line="240" w:lineRule="exact"/>
              <w:jc w:val="center"/>
              <w:rPr>
                <w:rFonts w:ascii="宋体" w:hAnsi="宋体" w:eastAsia="宋体" w:cs="宋体"/>
                <w:sz w:val="18"/>
                <w:szCs w:val="18"/>
              </w:rPr>
            </w:pPr>
            <w:r>
              <w:rPr>
                <w:rFonts w:ascii="宋体" w:hAnsi="宋体" w:eastAsia="宋体" w:cs="宋体"/>
                <w:sz w:val="18"/>
                <w:szCs w:val="18"/>
              </w:rPr>
              <w:t>不属于现金及现金等价物的理由</w:t>
            </w:r>
          </w:p>
        </w:tc>
      </w:tr>
    </w:tbl>
    <w:p w14:paraId="75F1A4FE">
      <w:pPr>
        <w:spacing w:before="100" w:after="100" w:line="240" w:lineRule="exact"/>
      </w:pPr>
      <w:r>
        <w:rPr>
          <w:rFonts w:ascii="宋体" w:hAnsi="宋体" w:eastAsia="宋体" w:cs="宋体"/>
          <w:sz w:val="18"/>
          <w:szCs w:val="18"/>
        </w:rPr>
        <w:t>其他说明：</w:t>
      </w:r>
    </w:p>
    <w:p w14:paraId="3BD298BB">
      <w:pPr>
        <w:keepNext/>
        <w:keepLines/>
        <w:spacing w:before="300" w:after="100" w:line="280" w:lineRule="exact"/>
        <w:outlineLvl w:val="3"/>
      </w:pPr>
      <w:bookmarkStart w:id="381" w:name="_Toc989270"/>
      <w:r>
        <w:rPr>
          <w:rFonts w:ascii="宋体" w:hAnsi="宋体" w:eastAsia="宋体" w:cs="宋体"/>
          <w:b/>
          <w:bCs/>
          <w:szCs w:val="21"/>
        </w:rPr>
        <w:t>（7） 其他重大活动说明</w:t>
      </w:r>
      <w:bookmarkEnd w:id="381"/>
    </w:p>
    <w:p w14:paraId="2D5A65BB">
      <w:pPr>
        <w:pStyle w:val="3"/>
        <w:spacing w:after="100" w:line="280" w:lineRule="exact"/>
        <w:jc w:val="left"/>
        <w:rPr>
          <w:rFonts w:ascii="宋体" w:hAnsi="宋体" w:cs="宋体"/>
          <w:b/>
          <w:bCs/>
        </w:rPr>
      </w:pPr>
      <w:bookmarkStart w:id="382" w:name="_Toc989271"/>
      <w:r>
        <w:rPr>
          <w:rFonts w:ascii="宋体" w:hAnsi="宋体" w:cs="宋体"/>
          <w:b/>
          <w:bCs/>
        </w:rPr>
        <w:t>80、所有者权益变动表项目注释</w:t>
      </w:r>
      <w:bookmarkEnd w:id="382"/>
    </w:p>
    <w:p w14:paraId="67B97FC0">
      <w:pPr>
        <w:spacing w:before="100" w:after="100" w:line="240" w:lineRule="exact"/>
      </w:pPr>
      <w:r>
        <w:rPr>
          <w:rFonts w:ascii="宋体" w:hAnsi="宋体" w:eastAsia="宋体" w:cs="宋体"/>
          <w:sz w:val="18"/>
          <w:szCs w:val="18"/>
        </w:rPr>
        <w:t>说明对上年年末余额进行调整的“其他”项目名称及调整金额等事项：</w:t>
      </w:r>
    </w:p>
    <w:p w14:paraId="60624969">
      <w:pPr>
        <w:pStyle w:val="3"/>
        <w:spacing w:after="100" w:line="280" w:lineRule="exact"/>
        <w:jc w:val="left"/>
        <w:rPr>
          <w:rFonts w:ascii="宋体" w:hAnsi="宋体" w:cs="宋体"/>
          <w:b/>
          <w:bCs/>
        </w:rPr>
      </w:pPr>
      <w:bookmarkStart w:id="383" w:name="_Toc989272"/>
      <w:r>
        <w:rPr>
          <w:rFonts w:ascii="宋体" w:hAnsi="宋体" w:cs="宋体"/>
          <w:b/>
          <w:bCs/>
        </w:rPr>
        <w:t>81、外币货币性项目</w:t>
      </w:r>
      <w:bookmarkEnd w:id="383"/>
    </w:p>
    <w:p w14:paraId="35A7234D">
      <w:pPr>
        <w:keepNext/>
        <w:keepLines/>
        <w:spacing w:before="300" w:after="100" w:line="280" w:lineRule="exact"/>
        <w:outlineLvl w:val="3"/>
        <w:rPr>
          <w:rFonts w:ascii="宋体" w:hAnsi="宋体" w:eastAsia="宋体" w:cs="宋体"/>
          <w:b/>
          <w:bCs/>
          <w:szCs w:val="21"/>
        </w:rPr>
      </w:pPr>
      <w:bookmarkStart w:id="384" w:name="_Toc989273"/>
      <w:r>
        <w:rPr>
          <w:rFonts w:ascii="宋体" w:hAnsi="宋体" w:eastAsia="宋体" w:cs="宋体"/>
          <w:b/>
          <w:bCs/>
          <w:szCs w:val="21"/>
        </w:rPr>
        <w:t>（1） 外币货币性项目</w:t>
      </w:r>
      <w:bookmarkEnd w:id="384"/>
    </w:p>
    <w:p w14:paraId="680218D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62027BBD">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80B2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B506907">
            <w:pPr>
              <w:spacing w:before="40" w:after="40" w:line="240" w:lineRule="exact"/>
              <w:jc w:val="center"/>
              <w:rPr>
                <w:rFonts w:ascii="宋体" w:hAnsi="宋体" w:eastAsia="宋体" w:cs="宋体"/>
                <w:sz w:val="18"/>
                <w:szCs w:val="18"/>
              </w:rPr>
            </w:pPr>
            <w:r>
              <w:rPr>
                <w:rFonts w:ascii="宋体" w:hAnsi="宋体" w:eastAsia="宋体" w:cs="宋体"/>
                <w:sz w:val="18"/>
                <w:szCs w:val="18"/>
              </w:rPr>
              <w:t>期末外币余额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DA1C65">
            <w:pPr>
              <w:spacing w:before="40" w:after="40" w:line="240" w:lineRule="exact"/>
              <w:jc w:val="center"/>
              <w:rPr>
                <w:rFonts w:ascii="宋体" w:hAnsi="宋体" w:eastAsia="宋体" w:cs="宋体"/>
                <w:sz w:val="18"/>
                <w:szCs w:val="18"/>
              </w:rPr>
            </w:pPr>
            <w:r>
              <w:rPr>
                <w:rFonts w:ascii="宋体" w:hAnsi="宋体" w:eastAsia="宋体" w:cs="宋体"/>
                <w:sz w:val="18"/>
                <w:szCs w:val="18"/>
              </w:rPr>
              <w:t>折算汇率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800310">
            <w:pPr>
              <w:spacing w:before="40" w:after="40" w:line="240" w:lineRule="exact"/>
              <w:jc w:val="center"/>
              <w:rPr>
                <w:rFonts w:ascii="宋体" w:hAnsi="宋体" w:eastAsia="宋体" w:cs="宋体"/>
                <w:sz w:val="18"/>
                <w:szCs w:val="18"/>
              </w:rPr>
            </w:pPr>
            <w:r>
              <w:rPr>
                <w:rFonts w:ascii="宋体" w:hAnsi="宋体" w:eastAsia="宋体" w:cs="宋体"/>
                <w:sz w:val="18"/>
                <w:szCs w:val="18"/>
              </w:rPr>
              <w:t>期末折算人民币余额</w:t>
            </w:r>
          </w:p>
        </w:tc>
      </w:tr>
      <w:tr w14:paraId="28A7DF0A">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51F67A">
            <w:pPr>
              <w:spacing w:before="40" w:after="40" w:line="240" w:lineRule="exact"/>
              <w:rPr>
                <w:rFonts w:ascii="宋体" w:hAnsi="宋体" w:eastAsia="宋体" w:cs="宋体"/>
                <w:sz w:val="18"/>
                <w:szCs w:val="18"/>
              </w:rPr>
            </w:pPr>
            <w:r>
              <w:rPr>
                <w:rFonts w:ascii="宋体" w:hAnsi="宋体" w:eastAsia="宋体" w:cs="宋体"/>
                <w:sz w:val="18"/>
                <w:szCs w:val="18"/>
              </w:rPr>
              <w:t>货币资金</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769609E"/>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0AC4D04"/>
        </w:tc>
        <w:tc>
          <w:tcPr>
            <w:tcW w:w="2410" w:type="dxa"/>
            <w:tcBorders>
              <w:top w:val="single" w:color="auto" w:sz="2" w:space="0"/>
              <w:left w:val="single" w:color="auto" w:sz="2" w:space="0"/>
              <w:bottom w:val="single" w:color="auto" w:sz="2" w:space="0"/>
              <w:right w:val="single" w:color="auto" w:sz="2" w:space="0"/>
            </w:tcBorders>
            <w:vAlign w:val="center"/>
          </w:tcPr>
          <w:p w14:paraId="3D134E19">
            <w:pPr>
              <w:spacing w:line="240" w:lineRule="exact"/>
              <w:jc w:val="right"/>
              <w:rPr>
                <w:rFonts w:ascii="宋体" w:hAnsi="宋体" w:eastAsia="宋体" w:cs="宋体"/>
                <w:sz w:val="18"/>
                <w:szCs w:val="18"/>
              </w:rPr>
            </w:pPr>
          </w:p>
        </w:tc>
      </w:tr>
      <w:tr w14:paraId="30020D53">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B2440D3">
            <w:pPr>
              <w:spacing w:before="40" w:after="40" w:line="240" w:lineRule="exact"/>
              <w:rPr>
                <w:rFonts w:ascii="宋体" w:hAnsi="宋体" w:eastAsia="宋体" w:cs="宋体"/>
                <w:sz w:val="18"/>
                <w:szCs w:val="18"/>
              </w:rPr>
            </w:pPr>
            <w:r>
              <w:rPr>
                <w:rFonts w:ascii="宋体" w:hAnsi="宋体" w:eastAsia="宋体" w:cs="宋体"/>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48D7AF5A">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56EDB3A">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8DCF724">
            <w:pPr>
              <w:spacing w:line="240" w:lineRule="exact"/>
              <w:jc w:val="right"/>
              <w:rPr>
                <w:rFonts w:ascii="宋体" w:hAnsi="宋体" w:eastAsia="宋体" w:cs="宋体"/>
                <w:sz w:val="18"/>
                <w:szCs w:val="18"/>
              </w:rPr>
            </w:pPr>
          </w:p>
        </w:tc>
      </w:tr>
      <w:tr w14:paraId="0AE89856">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C5FC8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1B766712">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85CD9B5">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D18C920">
            <w:pPr>
              <w:spacing w:line="240" w:lineRule="exact"/>
              <w:jc w:val="right"/>
              <w:rPr>
                <w:rFonts w:ascii="宋体" w:hAnsi="宋体" w:eastAsia="宋体" w:cs="宋体"/>
                <w:sz w:val="18"/>
                <w:szCs w:val="18"/>
              </w:rPr>
            </w:pPr>
          </w:p>
        </w:tc>
      </w:tr>
      <w:tr w14:paraId="772DA98D">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28C834">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6F9525C4">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7D6B6DB">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331C3B5">
            <w:pPr>
              <w:spacing w:line="240" w:lineRule="exact"/>
              <w:jc w:val="right"/>
              <w:rPr>
                <w:rFonts w:ascii="宋体" w:hAnsi="宋体" w:eastAsia="宋体" w:cs="宋体"/>
                <w:sz w:val="18"/>
                <w:szCs w:val="18"/>
              </w:rPr>
            </w:pPr>
          </w:p>
        </w:tc>
      </w:tr>
      <w:tr w14:paraId="6273D7AB">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DCE8C45">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7E80B41">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C04B4CC">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B98DD6F">
            <w:pPr>
              <w:spacing w:line="240" w:lineRule="exact"/>
              <w:jc w:val="right"/>
              <w:rPr>
                <w:rFonts w:ascii="宋体" w:hAnsi="宋体" w:eastAsia="宋体" w:cs="宋体"/>
                <w:sz w:val="18"/>
                <w:szCs w:val="18"/>
              </w:rPr>
            </w:pPr>
          </w:p>
        </w:tc>
      </w:tr>
      <w:tr w14:paraId="1BCF7164">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125AE24">
            <w:pPr>
              <w:spacing w:before="40" w:after="40" w:line="240" w:lineRule="exact"/>
              <w:rPr>
                <w:rFonts w:ascii="宋体" w:hAnsi="宋体" w:eastAsia="宋体" w:cs="宋体"/>
                <w:sz w:val="18"/>
                <w:szCs w:val="18"/>
              </w:rPr>
            </w:pPr>
            <w:r>
              <w:rPr>
                <w:rFonts w:ascii="宋体" w:hAnsi="宋体" w:eastAsia="宋体" w:cs="宋体"/>
                <w:sz w:val="18"/>
                <w:szCs w:val="18"/>
              </w:rPr>
              <w:t>应收账款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964795"/>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9451B49"/>
        </w:tc>
        <w:tc>
          <w:tcPr>
            <w:tcW w:w="2410" w:type="dxa"/>
            <w:tcBorders>
              <w:top w:val="single" w:color="auto" w:sz="2" w:space="0"/>
              <w:left w:val="single" w:color="auto" w:sz="2" w:space="0"/>
              <w:bottom w:val="single" w:color="auto" w:sz="2" w:space="0"/>
              <w:right w:val="single" w:color="auto" w:sz="2" w:space="0"/>
            </w:tcBorders>
            <w:vAlign w:val="center"/>
          </w:tcPr>
          <w:p w14:paraId="2B34989C">
            <w:pPr>
              <w:spacing w:line="240" w:lineRule="exact"/>
              <w:jc w:val="right"/>
              <w:rPr>
                <w:rFonts w:ascii="宋体" w:hAnsi="宋体" w:eastAsia="宋体" w:cs="宋体"/>
                <w:sz w:val="18"/>
                <w:szCs w:val="18"/>
              </w:rPr>
            </w:pPr>
          </w:p>
        </w:tc>
      </w:tr>
      <w:tr w14:paraId="50B527DB">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3DBF35">
            <w:pPr>
              <w:spacing w:before="40" w:after="40" w:line="240" w:lineRule="exact"/>
              <w:rPr>
                <w:rFonts w:ascii="宋体" w:hAnsi="宋体" w:eastAsia="宋体" w:cs="宋体"/>
                <w:sz w:val="18"/>
                <w:szCs w:val="18"/>
              </w:rPr>
            </w:pPr>
            <w:r>
              <w:rPr>
                <w:rFonts w:ascii="宋体" w:hAnsi="宋体" w:eastAsia="宋体" w:cs="宋体"/>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5BDCF85E">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7311D1E">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236F080">
            <w:pPr>
              <w:spacing w:line="240" w:lineRule="exact"/>
              <w:jc w:val="right"/>
              <w:rPr>
                <w:rFonts w:ascii="宋体" w:hAnsi="宋体" w:eastAsia="宋体" w:cs="宋体"/>
                <w:sz w:val="18"/>
                <w:szCs w:val="18"/>
              </w:rPr>
            </w:pPr>
          </w:p>
        </w:tc>
      </w:tr>
      <w:tr w14:paraId="54C18221">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C6CFBA">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761C043C">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BDB60B1">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A19398C">
            <w:pPr>
              <w:spacing w:line="240" w:lineRule="exact"/>
              <w:jc w:val="right"/>
              <w:rPr>
                <w:rFonts w:ascii="宋体" w:hAnsi="宋体" w:eastAsia="宋体" w:cs="宋体"/>
                <w:sz w:val="18"/>
                <w:szCs w:val="18"/>
              </w:rPr>
            </w:pPr>
          </w:p>
        </w:tc>
      </w:tr>
      <w:tr w14:paraId="6FFC5E09">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AA16C3">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7E380A75">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6F61F9E">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B27C6A3">
            <w:pPr>
              <w:spacing w:line="240" w:lineRule="exact"/>
              <w:jc w:val="right"/>
              <w:rPr>
                <w:rFonts w:ascii="宋体" w:hAnsi="宋体" w:eastAsia="宋体" w:cs="宋体"/>
                <w:sz w:val="18"/>
                <w:szCs w:val="18"/>
              </w:rPr>
            </w:pPr>
          </w:p>
        </w:tc>
      </w:tr>
      <w:tr w14:paraId="21680F79">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FB0852B">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1F18CDF">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AB64770">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DDF7A6B">
            <w:pPr>
              <w:spacing w:line="240" w:lineRule="exact"/>
              <w:jc w:val="right"/>
              <w:rPr>
                <w:rFonts w:ascii="宋体" w:hAnsi="宋体" w:eastAsia="宋体" w:cs="宋体"/>
                <w:sz w:val="18"/>
                <w:szCs w:val="18"/>
              </w:rPr>
            </w:pPr>
          </w:p>
        </w:tc>
      </w:tr>
      <w:tr w14:paraId="4CB68525">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0265C11">
            <w:pPr>
              <w:spacing w:before="40" w:after="40" w:line="240" w:lineRule="exact"/>
              <w:rPr>
                <w:rFonts w:ascii="宋体" w:hAnsi="宋体" w:eastAsia="宋体" w:cs="宋体"/>
                <w:sz w:val="18"/>
                <w:szCs w:val="18"/>
              </w:rPr>
            </w:pPr>
            <w:r>
              <w:rPr>
                <w:rFonts w:ascii="宋体" w:hAnsi="宋体" w:eastAsia="宋体" w:cs="宋体"/>
                <w:sz w:val="18"/>
                <w:szCs w:val="18"/>
              </w:rPr>
              <w:t>长期借款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A6BA1D"/>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3EBE60"/>
        </w:tc>
        <w:tc>
          <w:tcPr>
            <w:tcW w:w="2410" w:type="dxa"/>
            <w:tcBorders>
              <w:top w:val="single" w:color="auto" w:sz="2" w:space="0"/>
              <w:left w:val="single" w:color="auto" w:sz="2" w:space="0"/>
              <w:bottom w:val="single" w:color="auto" w:sz="2" w:space="0"/>
              <w:right w:val="single" w:color="auto" w:sz="2" w:space="0"/>
            </w:tcBorders>
            <w:vAlign w:val="center"/>
          </w:tcPr>
          <w:p w14:paraId="771A72E4">
            <w:pPr>
              <w:spacing w:line="240" w:lineRule="exact"/>
              <w:jc w:val="right"/>
              <w:rPr>
                <w:rFonts w:ascii="宋体" w:hAnsi="宋体" w:eastAsia="宋体" w:cs="宋体"/>
                <w:sz w:val="18"/>
                <w:szCs w:val="18"/>
              </w:rPr>
            </w:pPr>
          </w:p>
        </w:tc>
      </w:tr>
      <w:tr w14:paraId="5D373C9D">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11EC113">
            <w:pPr>
              <w:spacing w:before="40" w:after="40" w:line="240" w:lineRule="exact"/>
              <w:rPr>
                <w:rFonts w:ascii="宋体" w:hAnsi="宋体" w:eastAsia="宋体" w:cs="宋体"/>
                <w:sz w:val="18"/>
                <w:szCs w:val="18"/>
              </w:rPr>
            </w:pPr>
            <w:r>
              <w:rPr>
                <w:rFonts w:ascii="宋体" w:hAnsi="宋体" w:eastAsia="宋体" w:cs="宋体"/>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63E1A734">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2D863A9">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2742835">
            <w:pPr>
              <w:spacing w:line="240" w:lineRule="exact"/>
              <w:jc w:val="right"/>
              <w:rPr>
                <w:rFonts w:ascii="宋体" w:hAnsi="宋体" w:eastAsia="宋体" w:cs="宋体"/>
                <w:sz w:val="18"/>
                <w:szCs w:val="18"/>
              </w:rPr>
            </w:pPr>
          </w:p>
        </w:tc>
      </w:tr>
      <w:tr w14:paraId="05131A4C">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B1D3831">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1B016B85">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0869E3E">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7716A97">
            <w:pPr>
              <w:spacing w:line="240" w:lineRule="exact"/>
              <w:jc w:val="right"/>
              <w:rPr>
                <w:rFonts w:ascii="宋体" w:hAnsi="宋体" w:eastAsia="宋体" w:cs="宋体"/>
                <w:sz w:val="18"/>
                <w:szCs w:val="18"/>
              </w:rPr>
            </w:pPr>
          </w:p>
        </w:tc>
      </w:tr>
      <w:tr w14:paraId="2A4AB9C9">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E47741">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7FBFC171">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A6CFB2B">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1EC88D9">
            <w:pPr>
              <w:spacing w:line="240" w:lineRule="exact"/>
              <w:jc w:val="right"/>
              <w:rPr>
                <w:rFonts w:ascii="宋体" w:hAnsi="宋体" w:eastAsia="宋体" w:cs="宋体"/>
                <w:sz w:val="18"/>
                <w:szCs w:val="18"/>
              </w:rPr>
            </w:pPr>
          </w:p>
        </w:tc>
      </w:tr>
      <w:tr w14:paraId="7EAF3E54">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FC61C67">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E3C60BA">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D579A16">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4BF01A8">
            <w:pPr>
              <w:spacing w:line="240" w:lineRule="exact"/>
              <w:jc w:val="right"/>
              <w:rPr>
                <w:rFonts w:ascii="宋体" w:hAnsi="宋体" w:eastAsia="宋体" w:cs="宋体"/>
                <w:sz w:val="18"/>
                <w:szCs w:val="18"/>
              </w:rPr>
            </w:pPr>
          </w:p>
        </w:tc>
      </w:tr>
    </w:tbl>
    <w:p w14:paraId="58D95ED1">
      <w:pPr>
        <w:spacing w:before="100" w:after="100" w:line="240" w:lineRule="exact"/>
      </w:pPr>
      <w:r>
        <w:rPr>
          <w:rFonts w:ascii="宋体" w:hAnsi="宋体" w:eastAsia="宋体" w:cs="宋体"/>
          <w:sz w:val="18"/>
          <w:szCs w:val="18"/>
        </w:rPr>
        <w:t>其他说明：</w:t>
      </w:r>
    </w:p>
    <w:p w14:paraId="2617513E">
      <w:pPr>
        <w:keepNext/>
        <w:keepLines/>
        <w:spacing w:before="300" w:after="100" w:line="280" w:lineRule="exact"/>
        <w:outlineLvl w:val="3"/>
        <w:rPr>
          <w:rFonts w:ascii="宋体" w:hAnsi="宋体" w:eastAsia="宋体" w:cs="宋体"/>
          <w:b/>
          <w:bCs/>
          <w:szCs w:val="21"/>
        </w:rPr>
      </w:pPr>
      <w:bookmarkStart w:id="385" w:name="_Toc989274"/>
      <w:r>
        <w:rPr>
          <w:rFonts w:ascii="宋体" w:hAnsi="宋体" w:eastAsia="宋体" w:cs="宋体"/>
          <w:b/>
          <w:bCs/>
          <w:szCs w:val="21"/>
        </w:rPr>
        <w:t>（2） 境外经营实体说明，包括对于重要的境外经营实体，应披露其境外主要经营地、记账本位币及选择依据，记账本位币发生变化的还应披露原因。</w:t>
      </w:r>
      <w:bookmarkEnd w:id="385"/>
    </w:p>
    <w:p w14:paraId="67947EC7">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6D08E88">
      <w:pPr>
        <w:pStyle w:val="3"/>
        <w:spacing w:after="100" w:line="280" w:lineRule="exact"/>
        <w:jc w:val="left"/>
        <w:rPr>
          <w:rFonts w:ascii="宋体" w:hAnsi="宋体" w:cs="宋体"/>
          <w:b/>
          <w:bCs/>
        </w:rPr>
      </w:pPr>
      <w:bookmarkStart w:id="386" w:name="_Toc989275"/>
      <w:r>
        <w:rPr>
          <w:rFonts w:ascii="宋体" w:hAnsi="宋体" w:cs="宋体"/>
          <w:b/>
          <w:bCs/>
        </w:rPr>
        <w:t>82、租赁</w:t>
      </w:r>
      <w:bookmarkEnd w:id="386"/>
    </w:p>
    <w:p w14:paraId="49F8C302">
      <w:pPr>
        <w:keepNext/>
        <w:keepLines/>
        <w:spacing w:before="300" w:after="100" w:line="280" w:lineRule="exact"/>
        <w:outlineLvl w:val="3"/>
        <w:rPr>
          <w:rFonts w:ascii="宋体" w:hAnsi="宋体" w:eastAsia="宋体" w:cs="宋体"/>
          <w:b/>
          <w:bCs/>
          <w:szCs w:val="21"/>
        </w:rPr>
      </w:pPr>
      <w:bookmarkStart w:id="387" w:name="_Toc989276"/>
      <w:r>
        <w:rPr>
          <w:rFonts w:ascii="宋体" w:hAnsi="宋体" w:eastAsia="宋体" w:cs="宋体"/>
          <w:b/>
          <w:bCs/>
          <w:szCs w:val="21"/>
        </w:rPr>
        <w:t>（1） 本公司作为承租方</w:t>
      </w:r>
      <w:bookmarkEnd w:id="387"/>
    </w:p>
    <w:p w14:paraId="675E0821">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D6AC31D">
      <w:pPr>
        <w:keepNext/>
        <w:keepLines/>
        <w:spacing w:before="300" w:after="100" w:line="280" w:lineRule="exact"/>
        <w:outlineLvl w:val="3"/>
        <w:rPr>
          <w:rFonts w:ascii="宋体" w:hAnsi="宋体" w:eastAsia="宋体" w:cs="宋体"/>
          <w:b/>
          <w:bCs/>
          <w:szCs w:val="21"/>
        </w:rPr>
      </w:pPr>
      <w:bookmarkStart w:id="388" w:name="_Toc989277"/>
      <w:r>
        <w:rPr>
          <w:rFonts w:ascii="宋体" w:hAnsi="宋体" w:eastAsia="宋体" w:cs="宋体"/>
          <w:b/>
          <w:bCs/>
          <w:szCs w:val="21"/>
        </w:rPr>
        <w:t>（2） 本公司作为出租方</w:t>
      </w:r>
      <w:bookmarkEnd w:id="388"/>
    </w:p>
    <w:p w14:paraId="23CC034F">
      <w:pPr>
        <w:spacing w:before="100" w:after="100" w:line="240" w:lineRule="exact"/>
        <w:rPr>
          <w:rFonts w:ascii="宋体" w:hAnsi="宋体" w:eastAsia="宋体" w:cs="宋体"/>
          <w:sz w:val="18"/>
          <w:szCs w:val="18"/>
        </w:rPr>
      </w:pPr>
      <w:r>
        <w:rPr>
          <w:rFonts w:ascii="宋体" w:hAnsi="宋体" w:eastAsia="宋体" w:cs="宋体"/>
          <w:sz w:val="18"/>
          <w:szCs w:val="18"/>
        </w:rPr>
        <w:t>作为出租人的经营租赁</w:t>
      </w:r>
    </w:p>
    <w:p w14:paraId="64A7A405">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E4C481C">
      <w:pPr>
        <w:spacing w:before="100" w:after="100" w:line="240" w:lineRule="exact"/>
        <w:rPr>
          <w:rFonts w:ascii="宋体" w:hAnsi="宋体" w:eastAsia="宋体" w:cs="宋体"/>
          <w:sz w:val="18"/>
          <w:szCs w:val="18"/>
        </w:rPr>
      </w:pPr>
      <w:r>
        <w:rPr>
          <w:rFonts w:ascii="宋体" w:hAnsi="宋体" w:eastAsia="宋体" w:cs="宋体"/>
          <w:sz w:val="18"/>
          <w:szCs w:val="18"/>
        </w:rPr>
        <w:t>作为出租人的融资租赁</w:t>
      </w:r>
    </w:p>
    <w:p w14:paraId="1F770A0E">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4C9712F">
      <w:pPr>
        <w:spacing w:before="100" w:after="100" w:line="240" w:lineRule="exact"/>
        <w:rPr>
          <w:rFonts w:ascii="宋体" w:hAnsi="宋体" w:eastAsia="宋体" w:cs="宋体"/>
          <w:sz w:val="18"/>
          <w:szCs w:val="18"/>
        </w:rPr>
      </w:pPr>
      <w:r>
        <w:rPr>
          <w:rFonts w:ascii="宋体" w:hAnsi="宋体" w:eastAsia="宋体" w:cs="宋体"/>
          <w:sz w:val="18"/>
          <w:szCs w:val="18"/>
        </w:rPr>
        <w:t>未来五年每年未折现租赁收款额</w:t>
      </w:r>
    </w:p>
    <w:p w14:paraId="2F07F776">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09BDB83">
      <w:pPr>
        <w:spacing w:before="100" w:after="100" w:line="240" w:lineRule="exact"/>
      </w:pPr>
      <w:r>
        <w:rPr>
          <w:rFonts w:ascii="宋体" w:hAnsi="宋体" w:eastAsia="宋体" w:cs="宋体"/>
          <w:sz w:val="18"/>
          <w:szCs w:val="18"/>
        </w:rPr>
        <w:t>未折现租赁收款额与租赁投资净额的调节表</w:t>
      </w:r>
    </w:p>
    <w:p w14:paraId="4640F42D">
      <w:pPr>
        <w:keepNext/>
        <w:keepLines/>
        <w:spacing w:before="300" w:after="100" w:line="280" w:lineRule="exact"/>
        <w:outlineLvl w:val="3"/>
        <w:rPr>
          <w:rFonts w:ascii="宋体" w:hAnsi="宋体" w:eastAsia="宋体" w:cs="宋体"/>
          <w:b/>
          <w:bCs/>
          <w:szCs w:val="21"/>
        </w:rPr>
      </w:pPr>
      <w:bookmarkStart w:id="389" w:name="_Toc989278"/>
      <w:r>
        <w:rPr>
          <w:rFonts w:ascii="宋体" w:hAnsi="宋体" w:eastAsia="宋体" w:cs="宋体"/>
          <w:b/>
          <w:bCs/>
          <w:szCs w:val="21"/>
        </w:rPr>
        <w:t>（3） 作为生产商或经销商确认融资租赁销售损益</w:t>
      </w:r>
      <w:bookmarkEnd w:id="389"/>
    </w:p>
    <w:p w14:paraId="44E4360B">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2B95386">
      <w:pPr>
        <w:pStyle w:val="3"/>
        <w:spacing w:after="100" w:line="280" w:lineRule="exact"/>
        <w:jc w:val="left"/>
      </w:pPr>
      <w:bookmarkStart w:id="390" w:name="_Toc989279"/>
      <w:r>
        <w:rPr>
          <w:rFonts w:ascii="宋体" w:hAnsi="宋体" w:cs="宋体"/>
          <w:b/>
          <w:bCs/>
        </w:rPr>
        <w:t>83、数据资源</w:t>
      </w:r>
      <w:bookmarkEnd w:id="390"/>
    </w:p>
    <w:p w14:paraId="315BDCB5">
      <w:pPr>
        <w:pStyle w:val="3"/>
        <w:spacing w:after="100" w:line="280" w:lineRule="exact"/>
        <w:jc w:val="left"/>
      </w:pPr>
      <w:bookmarkStart w:id="391" w:name="_Toc989280"/>
      <w:r>
        <w:rPr>
          <w:rFonts w:ascii="宋体" w:hAnsi="宋体" w:cs="宋体"/>
          <w:b/>
          <w:bCs/>
        </w:rPr>
        <w:t>84、其他</w:t>
      </w:r>
      <w:bookmarkEnd w:id="391"/>
    </w:p>
    <w:p w14:paraId="2C2ED748">
      <w:pPr>
        <w:pStyle w:val="2"/>
        <w:spacing w:before="300" w:after="300" w:line="320" w:lineRule="exact"/>
        <w:rPr>
          <w:rFonts w:ascii="宋体" w:hAnsi="宋体" w:eastAsia="宋体" w:cs="宋体"/>
          <w:b/>
          <w:bCs/>
          <w:sz w:val="24"/>
          <w:szCs w:val="24"/>
        </w:rPr>
      </w:pPr>
      <w:bookmarkStart w:id="392" w:name="_Toc989281"/>
      <w:r>
        <w:rPr>
          <w:rFonts w:ascii="宋体" w:hAnsi="宋体" w:eastAsia="宋体" w:cs="宋体"/>
          <w:b/>
          <w:bCs/>
          <w:sz w:val="24"/>
          <w:szCs w:val="24"/>
        </w:rPr>
        <w:t>八、研发支出</w:t>
      </w:r>
      <w:bookmarkEnd w:id="392"/>
    </w:p>
    <w:p w14:paraId="1C05C29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666379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07081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CEA0D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FD385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2A6F9697">
      <w:pPr>
        <w:pStyle w:val="3"/>
        <w:spacing w:after="100" w:line="280" w:lineRule="exact"/>
        <w:jc w:val="left"/>
        <w:rPr>
          <w:rFonts w:ascii="宋体" w:hAnsi="宋体" w:cs="宋体"/>
          <w:b/>
          <w:bCs/>
        </w:rPr>
      </w:pPr>
      <w:bookmarkStart w:id="393" w:name="_Toc989282"/>
      <w:r>
        <w:rPr>
          <w:rFonts w:ascii="宋体" w:hAnsi="宋体" w:cs="宋体"/>
          <w:b/>
          <w:bCs/>
        </w:rPr>
        <w:t>1、符合资本化条件的研发项目</w:t>
      </w:r>
      <w:bookmarkEnd w:id="393"/>
    </w:p>
    <w:p w14:paraId="15F0E69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4D484C40">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5C9F5A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E1211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ABF5602">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9535EB8">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本期减少金额</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E65AA6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568A911">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9A20AB0"/>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881012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816926E">
            <w:pPr>
              <w:spacing w:before="40" w:after="40" w:line="240" w:lineRule="exact"/>
              <w:jc w:val="center"/>
              <w:rPr>
                <w:rFonts w:ascii="宋体" w:hAnsi="宋体" w:eastAsia="宋体" w:cs="宋体"/>
                <w:sz w:val="18"/>
                <w:szCs w:val="18"/>
              </w:rPr>
            </w:pPr>
            <w:r>
              <w:rPr>
                <w:rFonts w:ascii="宋体" w:hAnsi="宋体" w:eastAsia="宋体" w:cs="宋体"/>
                <w:sz w:val="18"/>
                <w:szCs w:val="18"/>
              </w:rPr>
              <w:t>内部开发支出</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4FC6E8F">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132A53AC">
            <w:pPr>
              <w:spacing w:line="240" w:lineRule="exact"/>
              <w:jc w:val="center"/>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9D89A5D">
            <w:pPr>
              <w:spacing w:before="40" w:after="40" w:line="240" w:lineRule="exact"/>
              <w:jc w:val="center"/>
              <w:rPr>
                <w:rFonts w:ascii="宋体" w:hAnsi="宋体" w:eastAsia="宋体" w:cs="宋体"/>
                <w:sz w:val="18"/>
                <w:szCs w:val="18"/>
              </w:rPr>
            </w:pPr>
            <w:r>
              <w:rPr>
                <w:rFonts w:ascii="宋体" w:hAnsi="宋体" w:eastAsia="宋体" w:cs="宋体"/>
                <w:sz w:val="18"/>
                <w:szCs w:val="18"/>
              </w:rPr>
              <w:t>确认为无形资产</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A6DA6B">
            <w:pPr>
              <w:spacing w:before="40" w:after="40" w:line="240" w:lineRule="exact"/>
              <w:jc w:val="center"/>
              <w:rPr>
                <w:rFonts w:ascii="宋体" w:hAnsi="宋体" w:eastAsia="宋体" w:cs="宋体"/>
                <w:sz w:val="18"/>
                <w:szCs w:val="18"/>
              </w:rPr>
            </w:pPr>
            <w:r>
              <w:rPr>
                <w:rFonts w:ascii="宋体" w:hAnsi="宋体" w:eastAsia="宋体" w:cs="宋体"/>
                <w:sz w:val="18"/>
                <w:szCs w:val="18"/>
              </w:rPr>
              <w:t>转入当期损益</w:t>
            </w:r>
          </w:p>
        </w:tc>
        <w:tc>
          <w:tcPr>
            <w:tcW w:w="1071" w:type="dxa"/>
            <w:tcBorders>
              <w:top w:val="single" w:color="auto" w:sz="2" w:space="0"/>
              <w:left w:val="single" w:color="auto" w:sz="2" w:space="0"/>
              <w:bottom w:val="single" w:color="auto" w:sz="2" w:space="0"/>
              <w:right w:val="single" w:color="auto" w:sz="2" w:space="0"/>
            </w:tcBorders>
            <w:vAlign w:val="center"/>
          </w:tcPr>
          <w:p w14:paraId="4D1625A5">
            <w:pPr>
              <w:spacing w:line="240" w:lineRule="exact"/>
              <w:jc w:val="center"/>
              <w:rPr>
                <w:rFonts w:ascii="宋体" w:hAnsi="宋体" w:eastAsia="宋体" w:cs="宋体"/>
                <w:sz w:val="18"/>
                <w:szCs w:val="18"/>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5AEFE8F"/>
        </w:tc>
      </w:tr>
      <w:tr w14:paraId="260EBF13">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B2AA0FC">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6E92A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FDDA5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AE90E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1FAB2F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B0393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8F04F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BF1ED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103D5C">
            <w:pPr>
              <w:spacing w:line="240" w:lineRule="exact"/>
              <w:jc w:val="right"/>
              <w:rPr>
                <w:rFonts w:ascii="宋体" w:hAnsi="宋体" w:eastAsia="宋体" w:cs="宋体"/>
                <w:sz w:val="18"/>
                <w:szCs w:val="18"/>
              </w:rPr>
            </w:pPr>
          </w:p>
        </w:tc>
      </w:tr>
      <w:tr w14:paraId="3E137A3D">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C50EC6">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08D497B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CD6D3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E3F57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4C438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C64F9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E8B96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1EC62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A445B8">
            <w:pPr>
              <w:spacing w:line="240" w:lineRule="exact"/>
              <w:jc w:val="right"/>
              <w:rPr>
                <w:rFonts w:ascii="宋体" w:hAnsi="宋体" w:eastAsia="宋体" w:cs="宋体"/>
                <w:sz w:val="18"/>
                <w:szCs w:val="18"/>
              </w:rPr>
            </w:pPr>
          </w:p>
        </w:tc>
      </w:tr>
    </w:tbl>
    <w:p w14:paraId="0C453A33">
      <w:pPr>
        <w:spacing w:before="100" w:after="100" w:line="240" w:lineRule="exact"/>
        <w:rPr>
          <w:rFonts w:ascii="宋体" w:hAnsi="宋体" w:eastAsia="宋体" w:cs="宋体"/>
          <w:sz w:val="18"/>
          <w:szCs w:val="18"/>
        </w:rPr>
      </w:pPr>
      <w:r>
        <w:rPr>
          <w:rFonts w:ascii="宋体" w:hAnsi="宋体" w:eastAsia="宋体" w:cs="宋体"/>
          <w:sz w:val="18"/>
          <w:szCs w:val="18"/>
        </w:rPr>
        <w:t>重要的资本化研发项目</w:t>
      </w:r>
    </w:p>
    <w:p w14:paraId="56D6674E">
      <w:pPr>
        <w:spacing w:line="0" w:lineRule="atLeast"/>
      </w:pP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629B4A0">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A45FEB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48A098">
            <w:pPr>
              <w:spacing w:before="40" w:after="40" w:line="240" w:lineRule="exact"/>
              <w:jc w:val="center"/>
              <w:rPr>
                <w:rFonts w:ascii="宋体" w:hAnsi="宋体" w:eastAsia="宋体" w:cs="宋体"/>
                <w:sz w:val="18"/>
                <w:szCs w:val="18"/>
              </w:rPr>
            </w:pPr>
            <w:r>
              <w:rPr>
                <w:rFonts w:ascii="宋体" w:hAnsi="宋体" w:eastAsia="宋体" w:cs="宋体"/>
                <w:sz w:val="18"/>
                <w:szCs w:val="18"/>
              </w:rPr>
              <w:t>研发进度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45CE64">
            <w:pPr>
              <w:spacing w:before="40" w:after="40" w:line="240" w:lineRule="exact"/>
              <w:jc w:val="center"/>
              <w:rPr>
                <w:rFonts w:ascii="宋体" w:hAnsi="宋体" w:eastAsia="宋体" w:cs="宋体"/>
                <w:sz w:val="18"/>
                <w:szCs w:val="18"/>
              </w:rPr>
            </w:pPr>
            <w:r>
              <w:rPr>
                <w:rFonts w:ascii="宋体" w:hAnsi="宋体" w:eastAsia="宋体" w:cs="宋体"/>
                <w:sz w:val="18"/>
                <w:szCs w:val="18"/>
              </w:rPr>
              <w:t>预计完成时间</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40BD71A">
            <w:pPr>
              <w:spacing w:before="40" w:after="40" w:line="240" w:lineRule="exact"/>
              <w:jc w:val="center"/>
              <w:rPr>
                <w:rFonts w:ascii="宋体" w:hAnsi="宋体" w:eastAsia="宋体" w:cs="宋体"/>
                <w:sz w:val="18"/>
                <w:szCs w:val="18"/>
              </w:rPr>
            </w:pPr>
            <w:r>
              <w:rPr>
                <w:rFonts w:ascii="宋体" w:hAnsi="宋体" w:eastAsia="宋体" w:cs="宋体"/>
                <w:sz w:val="18"/>
                <w:szCs w:val="18"/>
              </w:rPr>
              <w:t>预计经济利益产生方式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547D530">
            <w:pPr>
              <w:spacing w:before="40" w:after="40" w:line="240" w:lineRule="exact"/>
              <w:jc w:val="center"/>
              <w:rPr>
                <w:rFonts w:ascii="宋体" w:hAnsi="宋体" w:eastAsia="宋体" w:cs="宋体"/>
                <w:sz w:val="18"/>
                <w:szCs w:val="18"/>
              </w:rPr>
            </w:pPr>
            <w:r>
              <w:rPr>
                <w:rFonts w:ascii="宋体" w:hAnsi="宋体" w:eastAsia="宋体" w:cs="宋体"/>
                <w:sz w:val="18"/>
                <w:szCs w:val="18"/>
              </w:rPr>
              <w:t>开始资本化的时点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FCA7CFC">
            <w:pPr>
              <w:spacing w:before="40" w:after="40" w:line="240" w:lineRule="exact"/>
              <w:jc w:val="center"/>
              <w:rPr>
                <w:rFonts w:ascii="宋体" w:hAnsi="宋体" w:eastAsia="宋体" w:cs="宋体"/>
                <w:sz w:val="18"/>
                <w:szCs w:val="18"/>
              </w:rPr>
            </w:pPr>
            <w:r>
              <w:rPr>
                <w:rFonts w:ascii="宋体" w:hAnsi="宋体" w:eastAsia="宋体" w:cs="宋体"/>
                <w:sz w:val="18"/>
                <w:szCs w:val="18"/>
              </w:rPr>
              <w:t>开始资本化的具体依据</w:t>
            </w:r>
          </w:p>
        </w:tc>
      </w:tr>
    </w:tbl>
    <w:p w14:paraId="49033950">
      <w:pPr>
        <w:spacing w:before="100" w:after="100" w:line="240" w:lineRule="exact"/>
        <w:rPr>
          <w:rFonts w:ascii="宋体" w:hAnsi="宋体" w:eastAsia="宋体" w:cs="宋体"/>
          <w:sz w:val="18"/>
          <w:szCs w:val="18"/>
        </w:rPr>
      </w:pPr>
      <w:r>
        <w:rPr>
          <w:rFonts w:ascii="宋体" w:hAnsi="宋体" w:eastAsia="宋体" w:cs="宋体"/>
          <w:sz w:val="18"/>
          <w:szCs w:val="18"/>
        </w:rPr>
        <w:t>开发支出减值准备</w:t>
      </w:r>
    </w:p>
    <w:p w14:paraId="1BBA8E1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4B08747">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E94AD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E8EF1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12884FF">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82DCFD">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964B22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132649">
            <w:pPr>
              <w:spacing w:before="40" w:after="40" w:line="240" w:lineRule="exact"/>
              <w:jc w:val="center"/>
              <w:rPr>
                <w:rFonts w:ascii="宋体" w:hAnsi="宋体" w:eastAsia="宋体" w:cs="宋体"/>
                <w:sz w:val="18"/>
                <w:szCs w:val="18"/>
              </w:rPr>
            </w:pPr>
            <w:r>
              <w:rPr>
                <w:rFonts w:ascii="宋体" w:hAnsi="宋体" w:eastAsia="宋体" w:cs="宋体"/>
                <w:sz w:val="18"/>
                <w:szCs w:val="18"/>
              </w:rPr>
              <w:t>减值测试情况</w:t>
            </w:r>
          </w:p>
        </w:tc>
      </w:tr>
    </w:tbl>
    <w:p w14:paraId="23427095">
      <w:pPr>
        <w:pStyle w:val="3"/>
        <w:spacing w:after="100" w:line="280" w:lineRule="exact"/>
        <w:jc w:val="left"/>
        <w:rPr>
          <w:rFonts w:ascii="宋体" w:hAnsi="宋体" w:cs="宋体"/>
          <w:b/>
          <w:bCs/>
        </w:rPr>
      </w:pPr>
      <w:bookmarkStart w:id="394" w:name="_Toc989283"/>
      <w:r>
        <w:rPr>
          <w:rFonts w:ascii="宋体" w:hAnsi="宋体" w:cs="宋体"/>
          <w:b/>
          <w:bCs/>
        </w:rPr>
        <w:t>2、重要外购在研项目</w:t>
      </w:r>
      <w:bookmarkEnd w:id="394"/>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430FB9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E5CA09">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84A72A">
            <w:pPr>
              <w:spacing w:before="40" w:after="40" w:line="240" w:lineRule="exact"/>
              <w:jc w:val="center"/>
              <w:rPr>
                <w:rFonts w:ascii="宋体" w:hAnsi="宋体" w:eastAsia="宋体" w:cs="宋体"/>
                <w:sz w:val="18"/>
                <w:szCs w:val="18"/>
              </w:rPr>
            </w:pPr>
            <w:r>
              <w:rPr>
                <w:rFonts w:ascii="宋体" w:hAnsi="宋体" w:eastAsia="宋体" w:cs="宋体"/>
                <w:sz w:val="18"/>
                <w:szCs w:val="18"/>
              </w:rPr>
              <w:t>预期产生经济利益的方式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0DE5AE">
            <w:pPr>
              <w:spacing w:before="40" w:after="40" w:line="240" w:lineRule="exact"/>
              <w:jc w:val="center"/>
              <w:rPr>
                <w:rFonts w:ascii="宋体" w:hAnsi="宋体" w:eastAsia="宋体" w:cs="宋体"/>
                <w:sz w:val="18"/>
                <w:szCs w:val="18"/>
              </w:rPr>
            </w:pPr>
            <w:r>
              <w:rPr>
                <w:rFonts w:ascii="宋体" w:hAnsi="宋体" w:eastAsia="宋体" w:cs="宋体"/>
                <w:sz w:val="18"/>
                <w:szCs w:val="18"/>
              </w:rPr>
              <w:t>资本化或费用化的判断标准和具体依据</w:t>
            </w:r>
          </w:p>
        </w:tc>
      </w:tr>
    </w:tbl>
    <w:p w14:paraId="14CB9AC3">
      <w:pPr>
        <w:spacing w:before="100" w:after="100" w:line="240" w:lineRule="exact"/>
      </w:pPr>
      <w:r>
        <w:rPr>
          <w:rFonts w:ascii="宋体" w:hAnsi="宋体" w:eastAsia="宋体" w:cs="宋体"/>
          <w:sz w:val="18"/>
          <w:szCs w:val="18"/>
        </w:rPr>
        <w:t>其他说明：</w:t>
      </w:r>
    </w:p>
    <w:p w14:paraId="6E399C52">
      <w:pPr>
        <w:pStyle w:val="2"/>
        <w:spacing w:before="300" w:after="100" w:line="320" w:lineRule="exact"/>
        <w:rPr>
          <w:rFonts w:ascii="宋体" w:hAnsi="宋体" w:eastAsia="宋体" w:cs="宋体"/>
          <w:b/>
          <w:bCs/>
          <w:sz w:val="24"/>
          <w:szCs w:val="24"/>
        </w:rPr>
      </w:pPr>
      <w:bookmarkStart w:id="395" w:name="_Toc989284"/>
      <w:r>
        <w:rPr>
          <w:rFonts w:ascii="宋体" w:hAnsi="宋体" w:eastAsia="宋体" w:cs="宋体"/>
          <w:b/>
          <w:bCs/>
          <w:sz w:val="24"/>
          <w:szCs w:val="24"/>
        </w:rPr>
        <w:t>九、合并范围的变更</w:t>
      </w:r>
      <w:bookmarkEnd w:id="395"/>
    </w:p>
    <w:p w14:paraId="332EE85B">
      <w:pPr>
        <w:pStyle w:val="3"/>
        <w:spacing w:after="100" w:line="280" w:lineRule="exact"/>
        <w:jc w:val="left"/>
        <w:rPr>
          <w:rFonts w:ascii="宋体" w:hAnsi="宋体" w:cs="宋体"/>
          <w:b/>
          <w:bCs/>
        </w:rPr>
      </w:pPr>
      <w:bookmarkStart w:id="396" w:name="_Toc989285"/>
      <w:r>
        <w:rPr>
          <w:rFonts w:ascii="宋体" w:hAnsi="宋体" w:cs="宋体"/>
          <w:b/>
          <w:bCs/>
        </w:rPr>
        <w:t>1、非同一控制下企业合并</w:t>
      </w:r>
      <w:bookmarkEnd w:id="396"/>
    </w:p>
    <w:p w14:paraId="2994BA8F">
      <w:pPr>
        <w:keepNext/>
        <w:keepLines/>
        <w:spacing w:before="300" w:after="100" w:line="280" w:lineRule="exact"/>
        <w:outlineLvl w:val="3"/>
        <w:rPr>
          <w:rFonts w:ascii="宋体" w:hAnsi="宋体" w:eastAsia="宋体" w:cs="宋体"/>
          <w:b/>
          <w:bCs/>
          <w:sz w:val="18"/>
          <w:szCs w:val="18"/>
        </w:rPr>
      </w:pPr>
      <w:bookmarkStart w:id="397" w:name="_Toc989286"/>
      <w:r>
        <w:rPr>
          <w:rFonts w:ascii="宋体" w:hAnsi="宋体" w:eastAsia="宋体" w:cs="宋体"/>
          <w:b/>
          <w:bCs/>
          <w:sz w:val="18"/>
          <w:szCs w:val="18"/>
        </w:rPr>
        <w:t>（1） 本期发生的非同一控制下企业合并</w:t>
      </w:r>
      <w:bookmarkEnd w:id="397"/>
    </w:p>
    <w:p w14:paraId="49C5CF1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3"/>
        <w:gridCol w:w="964"/>
        <w:gridCol w:w="964"/>
        <w:gridCol w:w="964"/>
        <w:gridCol w:w="964"/>
        <w:gridCol w:w="964"/>
        <w:gridCol w:w="964"/>
        <w:gridCol w:w="964"/>
        <w:gridCol w:w="964"/>
        <w:gridCol w:w="964"/>
      </w:tblGrid>
      <w:tr w14:paraId="089CCF62">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4A5DE8C">
            <w:pPr>
              <w:spacing w:before="40" w:after="40" w:line="240" w:lineRule="exact"/>
              <w:jc w:val="center"/>
              <w:rPr>
                <w:rFonts w:ascii="宋体" w:hAnsi="宋体" w:eastAsia="宋体" w:cs="宋体"/>
                <w:sz w:val="18"/>
                <w:szCs w:val="18"/>
              </w:rPr>
            </w:pPr>
            <w:r>
              <w:rPr>
                <w:rFonts w:ascii="宋体" w:hAnsi="宋体" w:eastAsia="宋体" w:cs="宋体"/>
                <w:sz w:val="18"/>
                <w:szCs w:val="18"/>
              </w:rPr>
              <w:t>被购买方名称</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A57881D">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股权取得时点</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B0D7F8C">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股权取得成本</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FE314D8">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股权取得比例</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5A38D64">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股权取得方式</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E7416E2">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69EC8F9">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购买日的确定依据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490CF73">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购买日至期末被购买方的收入</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2734432">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购买日至期末被购买方的净利润</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B0C0EB4">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购买日至期末被购买方的现金流</w:t>
            </w:r>
          </w:p>
        </w:tc>
      </w:tr>
    </w:tbl>
    <w:p w14:paraId="4A229DD6">
      <w:pPr>
        <w:spacing w:before="100" w:after="100" w:line="240" w:lineRule="exact"/>
      </w:pPr>
      <w:r>
        <w:rPr>
          <w:rFonts w:ascii="宋体" w:hAnsi="宋体" w:eastAsia="宋体" w:cs="宋体"/>
          <w:sz w:val="18"/>
          <w:szCs w:val="18"/>
        </w:rPr>
        <w:t>其他说明：</w:t>
      </w:r>
    </w:p>
    <w:p w14:paraId="253CCBCD">
      <w:pPr>
        <w:keepNext/>
        <w:keepLines/>
        <w:spacing w:before="300" w:after="100" w:line="280" w:lineRule="exact"/>
        <w:outlineLvl w:val="3"/>
        <w:rPr>
          <w:rFonts w:ascii="宋体" w:hAnsi="宋体" w:eastAsia="宋体" w:cs="宋体"/>
          <w:b/>
          <w:bCs/>
          <w:sz w:val="18"/>
          <w:szCs w:val="18"/>
        </w:rPr>
      </w:pPr>
      <w:bookmarkStart w:id="398" w:name="_Toc989287"/>
      <w:r>
        <w:rPr>
          <w:rFonts w:ascii="宋体" w:hAnsi="宋体" w:eastAsia="宋体" w:cs="宋体"/>
          <w:b/>
          <w:bCs/>
          <w:sz w:val="18"/>
          <w:szCs w:val="18"/>
        </w:rPr>
        <w:t>（2） 合并成本及商誉</w:t>
      </w:r>
      <w:bookmarkEnd w:id="398"/>
    </w:p>
    <w:p w14:paraId="28634D9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7ACA80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4A38234">
            <w:pPr>
              <w:spacing w:before="40" w:after="40" w:line="240" w:lineRule="exact"/>
              <w:jc w:val="center"/>
              <w:rPr>
                <w:rFonts w:ascii="宋体" w:hAnsi="宋体" w:eastAsia="宋体" w:cs="宋体"/>
                <w:sz w:val="18"/>
                <w:szCs w:val="18"/>
              </w:rPr>
            </w:pPr>
            <w:r>
              <w:rPr>
                <w:rFonts w:ascii="宋体" w:hAnsi="宋体" w:eastAsia="宋体" w:cs="宋体"/>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0FC6C628">
            <w:pPr>
              <w:spacing w:line="240" w:lineRule="exact"/>
              <w:jc w:val="center"/>
              <w:rPr>
                <w:rFonts w:ascii="宋体" w:hAnsi="宋体" w:eastAsia="宋体" w:cs="宋体"/>
                <w:sz w:val="18"/>
                <w:szCs w:val="18"/>
              </w:rPr>
            </w:pPr>
          </w:p>
        </w:tc>
      </w:tr>
      <w:tr w14:paraId="4419715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5B6D090">
            <w:pPr>
              <w:spacing w:before="40" w:after="40" w:line="240" w:lineRule="exact"/>
              <w:rPr>
                <w:rFonts w:ascii="宋体" w:hAnsi="宋体" w:eastAsia="宋体" w:cs="宋体"/>
                <w:sz w:val="18"/>
                <w:szCs w:val="18"/>
              </w:rPr>
            </w:pPr>
            <w:r>
              <w:rPr>
                <w:rFonts w:ascii="宋体" w:hAnsi="宋体" w:eastAsia="宋体" w:cs="宋体"/>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216BEABF">
            <w:pPr>
              <w:spacing w:line="240" w:lineRule="exact"/>
              <w:jc w:val="right"/>
              <w:rPr>
                <w:rFonts w:ascii="宋体" w:hAnsi="宋体" w:eastAsia="宋体" w:cs="宋体"/>
                <w:sz w:val="18"/>
                <w:szCs w:val="18"/>
              </w:rPr>
            </w:pPr>
          </w:p>
        </w:tc>
      </w:tr>
      <w:tr w14:paraId="286698F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F1DC2D1">
            <w:pPr>
              <w:spacing w:before="40" w:after="40" w:line="240" w:lineRule="exact"/>
              <w:rPr>
                <w:rFonts w:ascii="宋体" w:hAnsi="宋体" w:eastAsia="宋体" w:cs="宋体"/>
                <w:sz w:val="18"/>
                <w:szCs w:val="18"/>
              </w:rPr>
            </w:pPr>
            <w:r>
              <w:rPr>
                <w:rFonts w:ascii="宋体" w:hAnsi="宋体" w:eastAsia="宋体" w:cs="宋体"/>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53C785D8">
            <w:pPr>
              <w:spacing w:line="240" w:lineRule="exact"/>
              <w:jc w:val="right"/>
              <w:rPr>
                <w:rFonts w:ascii="宋体" w:hAnsi="宋体" w:eastAsia="宋体" w:cs="宋体"/>
                <w:sz w:val="18"/>
                <w:szCs w:val="18"/>
              </w:rPr>
            </w:pPr>
          </w:p>
        </w:tc>
      </w:tr>
      <w:tr w14:paraId="4CDE1C8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3073259">
            <w:pPr>
              <w:spacing w:before="40" w:after="40" w:line="240" w:lineRule="exact"/>
              <w:rPr>
                <w:rFonts w:ascii="宋体" w:hAnsi="宋体" w:eastAsia="宋体" w:cs="宋体"/>
                <w:sz w:val="18"/>
                <w:szCs w:val="18"/>
              </w:rPr>
            </w:pPr>
            <w:r>
              <w:rPr>
                <w:rFonts w:ascii="宋体" w:hAnsi="宋体" w:eastAsia="宋体" w:cs="宋体"/>
                <w:sz w:val="18"/>
                <w:szCs w:val="18"/>
              </w:rPr>
              <w:t>--发行或承担的债务的公允价值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4623220D">
            <w:pPr>
              <w:spacing w:line="240" w:lineRule="exact"/>
              <w:jc w:val="right"/>
              <w:rPr>
                <w:rFonts w:ascii="宋体" w:hAnsi="宋体" w:eastAsia="宋体" w:cs="宋体"/>
                <w:sz w:val="18"/>
                <w:szCs w:val="18"/>
              </w:rPr>
            </w:pPr>
          </w:p>
        </w:tc>
      </w:tr>
      <w:tr w14:paraId="71D37DD3">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FF91C50">
            <w:pPr>
              <w:spacing w:before="40" w:after="40" w:line="240" w:lineRule="exact"/>
              <w:rPr>
                <w:rFonts w:ascii="宋体" w:hAnsi="宋体" w:eastAsia="宋体" w:cs="宋体"/>
                <w:sz w:val="18"/>
                <w:szCs w:val="18"/>
              </w:rPr>
            </w:pPr>
            <w:r>
              <w:rPr>
                <w:rFonts w:ascii="宋体" w:hAnsi="宋体" w:eastAsia="宋体" w:cs="宋体"/>
                <w:sz w:val="18"/>
                <w:szCs w:val="18"/>
              </w:rPr>
              <w:t>--发行的权益性证券的公允价值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12C02EE3">
            <w:pPr>
              <w:spacing w:line="240" w:lineRule="exact"/>
              <w:jc w:val="right"/>
              <w:rPr>
                <w:rFonts w:ascii="宋体" w:hAnsi="宋体" w:eastAsia="宋体" w:cs="宋体"/>
                <w:sz w:val="18"/>
                <w:szCs w:val="18"/>
              </w:rPr>
            </w:pPr>
          </w:p>
        </w:tc>
      </w:tr>
      <w:tr w14:paraId="620DD409">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98EECCE">
            <w:pPr>
              <w:spacing w:before="40" w:after="40" w:line="240" w:lineRule="exact"/>
              <w:rPr>
                <w:rFonts w:ascii="宋体" w:hAnsi="宋体" w:eastAsia="宋体" w:cs="宋体"/>
                <w:sz w:val="18"/>
                <w:szCs w:val="18"/>
              </w:rPr>
            </w:pPr>
            <w:r>
              <w:rPr>
                <w:rFonts w:ascii="宋体" w:hAnsi="宋体" w:eastAsia="宋体" w:cs="宋体"/>
                <w:sz w:val="18"/>
                <w:szCs w:val="18"/>
              </w:rPr>
              <w:t>--或有对价的公允价值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5B1F7D11">
            <w:pPr>
              <w:spacing w:line="240" w:lineRule="exact"/>
              <w:jc w:val="right"/>
              <w:rPr>
                <w:rFonts w:ascii="宋体" w:hAnsi="宋体" w:eastAsia="宋体" w:cs="宋体"/>
                <w:sz w:val="18"/>
                <w:szCs w:val="18"/>
              </w:rPr>
            </w:pPr>
          </w:p>
        </w:tc>
      </w:tr>
      <w:tr w14:paraId="37726444">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78C3576">
            <w:pPr>
              <w:spacing w:before="40" w:after="40" w:line="240" w:lineRule="exact"/>
              <w:rPr>
                <w:rFonts w:ascii="宋体" w:hAnsi="宋体" w:eastAsia="宋体" w:cs="宋体"/>
                <w:sz w:val="18"/>
                <w:szCs w:val="18"/>
              </w:rPr>
            </w:pPr>
            <w:r>
              <w:rPr>
                <w:rFonts w:ascii="宋体" w:hAnsi="宋体" w:eastAsia="宋体" w:cs="宋体"/>
                <w:sz w:val="18"/>
                <w:szCs w:val="18"/>
              </w:rPr>
              <w:t>--购买日之前持有的股权于购买日的公允价值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68EBC1B0">
            <w:pPr>
              <w:spacing w:line="240" w:lineRule="exact"/>
              <w:jc w:val="right"/>
              <w:rPr>
                <w:rFonts w:ascii="宋体" w:hAnsi="宋体" w:eastAsia="宋体" w:cs="宋体"/>
                <w:sz w:val="18"/>
                <w:szCs w:val="18"/>
              </w:rPr>
            </w:pPr>
          </w:p>
        </w:tc>
      </w:tr>
      <w:tr w14:paraId="6AE1C9FC">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A7D4AB0">
            <w:pPr>
              <w:spacing w:before="40" w:after="40" w:line="240" w:lineRule="exact"/>
              <w:rPr>
                <w:rFonts w:ascii="宋体" w:hAnsi="宋体" w:eastAsia="宋体" w:cs="宋体"/>
                <w:sz w:val="18"/>
                <w:szCs w:val="18"/>
              </w:rPr>
            </w:pPr>
            <w:r>
              <w:rPr>
                <w:rFonts w:ascii="宋体" w:hAnsi="宋体" w:eastAsia="宋体" w:cs="宋体"/>
                <w:sz w:val="18"/>
                <w:szCs w:val="18"/>
              </w:rPr>
              <w:t>--其他</w:t>
            </w:r>
          </w:p>
        </w:tc>
        <w:tc>
          <w:tcPr>
            <w:tcW w:w="4820" w:type="dxa"/>
            <w:tcBorders>
              <w:top w:val="single" w:color="auto" w:sz="2" w:space="0"/>
              <w:left w:val="single" w:color="auto" w:sz="2" w:space="0"/>
              <w:bottom w:val="single" w:color="auto" w:sz="2" w:space="0"/>
              <w:right w:val="single" w:color="auto" w:sz="2" w:space="0"/>
            </w:tcBorders>
            <w:vAlign w:val="center"/>
          </w:tcPr>
          <w:p w14:paraId="73A70E70">
            <w:pPr>
              <w:spacing w:line="240" w:lineRule="exact"/>
              <w:jc w:val="right"/>
              <w:rPr>
                <w:rFonts w:ascii="宋体" w:hAnsi="宋体" w:eastAsia="宋体" w:cs="宋体"/>
                <w:sz w:val="18"/>
                <w:szCs w:val="18"/>
              </w:rPr>
            </w:pPr>
          </w:p>
        </w:tc>
      </w:tr>
      <w:tr w14:paraId="307C2D6E">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0EA694">
            <w:pPr>
              <w:spacing w:before="40" w:after="40" w:line="240" w:lineRule="exact"/>
              <w:rPr>
                <w:rFonts w:ascii="宋体" w:hAnsi="宋体" w:eastAsia="宋体" w:cs="宋体"/>
                <w:sz w:val="18"/>
                <w:szCs w:val="18"/>
              </w:rPr>
            </w:pPr>
            <w:r>
              <w:rPr>
                <w:rFonts w:ascii="宋体" w:hAnsi="宋体" w:eastAsia="宋体" w:cs="宋体"/>
                <w:sz w:val="18"/>
                <w:szCs w:val="18"/>
              </w:rPr>
              <w:t>合并成本合计</w:t>
            </w:r>
          </w:p>
        </w:tc>
        <w:tc>
          <w:tcPr>
            <w:tcW w:w="4820" w:type="dxa"/>
            <w:tcBorders>
              <w:top w:val="single" w:color="auto" w:sz="2" w:space="0"/>
              <w:left w:val="single" w:color="auto" w:sz="2" w:space="0"/>
              <w:bottom w:val="single" w:color="auto" w:sz="2" w:space="0"/>
              <w:right w:val="single" w:color="auto" w:sz="2" w:space="0"/>
            </w:tcBorders>
            <w:vAlign w:val="center"/>
          </w:tcPr>
          <w:p w14:paraId="14197A79">
            <w:pPr>
              <w:spacing w:line="240" w:lineRule="exact"/>
              <w:jc w:val="right"/>
              <w:rPr>
                <w:rFonts w:ascii="宋体" w:hAnsi="宋体" w:eastAsia="宋体" w:cs="宋体"/>
                <w:sz w:val="18"/>
                <w:szCs w:val="18"/>
              </w:rPr>
            </w:pPr>
          </w:p>
        </w:tc>
      </w:tr>
      <w:tr w14:paraId="03BEC8FE">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6E794A7">
            <w:pPr>
              <w:spacing w:before="40" w:after="40" w:line="240" w:lineRule="exact"/>
              <w:rPr>
                <w:rFonts w:ascii="宋体" w:hAnsi="宋体" w:eastAsia="宋体" w:cs="宋体"/>
                <w:sz w:val="18"/>
                <w:szCs w:val="18"/>
              </w:rPr>
            </w:pPr>
            <w:r>
              <w:rPr>
                <w:rFonts w:ascii="宋体" w:hAnsi="宋体" w:eastAsia="宋体" w:cs="宋体"/>
                <w:sz w:val="18"/>
                <w:szCs w:val="18"/>
              </w:rPr>
              <w:t>减：取得的可辨认净资产公允价值份额</w:t>
            </w:r>
          </w:p>
        </w:tc>
        <w:tc>
          <w:tcPr>
            <w:tcW w:w="4820" w:type="dxa"/>
            <w:tcBorders>
              <w:top w:val="single" w:color="auto" w:sz="2" w:space="0"/>
              <w:left w:val="single" w:color="auto" w:sz="2" w:space="0"/>
              <w:bottom w:val="single" w:color="auto" w:sz="2" w:space="0"/>
              <w:right w:val="single" w:color="auto" w:sz="2" w:space="0"/>
            </w:tcBorders>
            <w:vAlign w:val="center"/>
          </w:tcPr>
          <w:p w14:paraId="1D3E8D48">
            <w:pPr>
              <w:spacing w:line="240" w:lineRule="exact"/>
              <w:jc w:val="right"/>
              <w:rPr>
                <w:rFonts w:ascii="宋体" w:hAnsi="宋体" w:eastAsia="宋体" w:cs="宋体"/>
                <w:sz w:val="18"/>
                <w:szCs w:val="18"/>
              </w:rPr>
            </w:pPr>
          </w:p>
        </w:tc>
      </w:tr>
      <w:tr w14:paraId="2F241E71">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93176D7">
            <w:pPr>
              <w:spacing w:before="40" w:after="40" w:line="240" w:lineRule="exact"/>
              <w:rPr>
                <w:rFonts w:ascii="宋体" w:hAnsi="宋体" w:eastAsia="宋体" w:cs="宋体"/>
                <w:sz w:val="18"/>
                <w:szCs w:val="18"/>
              </w:rPr>
            </w:pPr>
            <w:r>
              <w:rPr>
                <w:rFonts w:ascii="宋体" w:hAnsi="宋体" w:eastAsia="宋体" w:cs="宋体"/>
                <w:sz w:val="18"/>
                <w:szCs w:val="18"/>
              </w:rPr>
              <w:t>商誉/合并成本小于取得的可辨认净资产公允价值份额的金额</w:t>
            </w:r>
          </w:p>
        </w:tc>
        <w:tc>
          <w:tcPr>
            <w:tcW w:w="4820" w:type="dxa"/>
            <w:tcBorders>
              <w:top w:val="single" w:color="auto" w:sz="2" w:space="0"/>
              <w:left w:val="single" w:color="auto" w:sz="2" w:space="0"/>
              <w:bottom w:val="single" w:color="auto" w:sz="2" w:space="0"/>
              <w:right w:val="single" w:color="auto" w:sz="2" w:space="0"/>
            </w:tcBorders>
            <w:vAlign w:val="center"/>
          </w:tcPr>
          <w:p w14:paraId="09A8E349">
            <w:pPr>
              <w:spacing w:line="240" w:lineRule="exact"/>
              <w:jc w:val="right"/>
              <w:rPr>
                <w:rFonts w:ascii="宋体" w:hAnsi="宋体" w:eastAsia="宋体" w:cs="宋体"/>
                <w:sz w:val="18"/>
                <w:szCs w:val="18"/>
              </w:rPr>
            </w:pPr>
          </w:p>
        </w:tc>
      </w:tr>
    </w:tbl>
    <w:p w14:paraId="64A380BF">
      <w:pPr>
        <w:spacing w:before="100" w:after="100" w:line="240" w:lineRule="exact"/>
      </w:pPr>
      <w:r>
        <w:rPr>
          <w:rFonts w:ascii="宋体" w:hAnsi="宋体" w:eastAsia="宋体" w:cs="宋体"/>
          <w:sz w:val="18"/>
          <w:szCs w:val="18"/>
        </w:rPr>
        <w:t>合并成本公允价值的确定方法：</w:t>
      </w:r>
    </w:p>
    <w:p w14:paraId="129B8A32">
      <w:pPr>
        <w:spacing w:before="100" w:after="100" w:line="240" w:lineRule="exact"/>
      </w:pPr>
      <w:r>
        <w:rPr>
          <w:rFonts w:ascii="宋体" w:hAnsi="宋体" w:eastAsia="宋体" w:cs="宋体"/>
          <w:sz w:val="18"/>
          <w:szCs w:val="18"/>
        </w:rPr>
        <w:t>或有对价及其变动的说明</w:t>
      </w:r>
    </w:p>
    <w:p w14:paraId="6E8B7F51">
      <w:pPr>
        <w:spacing w:before="100" w:after="100" w:line="240" w:lineRule="exact"/>
      </w:pPr>
      <w:r>
        <w:rPr>
          <w:rFonts w:ascii="宋体" w:hAnsi="宋体" w:eastAsia="宋体" w:cs="宋体"/>
          <w:sz w:val="18"/>
          <w:szCs w:val="18"/>
        </w:rPr>
        <w:t>大额商誉形成的主要原因：</w:t>
      </w:r>
    </w:p>
    <w:p w14:paraId="3C20E03C">
      <w:pPr>
        <w:spacing w:before="100" w:after="100" w:line="240" w:lineRule="exact"/>
      </w:pPr>
      <w:r>
        <w:rPr>
          <w:rFonts w:ascii="宋体" w:hAnsi="宋体" w:eastAsia="宋体" w:cs="宋体"/>
          <w:sz w:val="18"/>
          <w:szCs w:val="18"/>
        </w:rPr>
        <w:t>其他说明：</w:t>
      </w:r>
    </w:p>
    <w:p w14:paraId="54472EDE">
      <w:pPr>
        <w:keepNext/>
        <w:keepLines/>
        <w:spacing w:before="300" w:after="100" w:line="280" w:lineRule="exact"/>
        <w:outlineLvl w:val="3"/>
        <w:rPr>
          <w:rFonts w:ascii="宋体" w:hAnsi="宋体" w:eastAsia="宋体" w:cs="宋体"/>
          <w:b/>
          <w:bCs/>
          <w:sz w:val="18"/>
          <w:szCs w:val="18"/>
        </w:rPr>
      </w:pPr>
      <w:bookmarkStart w:id="399" w:name="_Toc989288"/>
      <w:r>
        <w:rPr>
          <w:rFonts w:ascii="宋体" w:hAnsi="宋体" w:eastAsia="宋体" w:cs="宋体"/>
          <w:b/>
          <w:bCs/>
          <w:sz w:val="18"/>
          <w:szCs w:val="18"/>
        </w:rPr>
        <w:t>（3） 被购买方于购买日可辨认资产、负债</w:t>
      </w:r>
      <w:bookmarkEnd w:id="399"/>
    </w:p>
    <w:p w14:paraId="49DDE90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C38E19A">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1412DA5"/>
        </w:tc>
        <w:tc>
          <w:tcPr>
            <w:tcW w:w="6426" w:type="dxa"/>
            <w:gridSpan w:val="2"/>
            <w:tcBorders>
              <w:top w:val="single" w:color="auto" w:sz="2" w:space="0"/>
              <w:left w:val="single" w:color="auto" w:sz="2" w:space="0"/>
              <w:bottom w:val="single" w:color="auto" w:sz="2" w:space="0"/>
              <w:right w:val="single" w:color="auto" w:sz="2" w:space="0"/>
            </w:tcBorders>
            <w:vAlign w:val="center"/>
          </w:tcPr>
          <w:p w14:paraId="1C810210">
            <w:pPr>
              <w:spacing w:line="240" w:lineRule="exact"/>
              <w:jc w:val="center"/>
              <w:rPr>
                <w:rFonts w:ascii="宋体" w:hAnsi="宋体" w:eastAsia="宋体" w:cs="宋体"/>
                <w:sz w:val="18"/>
                <w:szCs w:val="18"/>
              </w:rPr>
            </w:pPr>
          </w:p>
        </w:tc>
      </w:tr>
      <w:tr w14:paraId="77FC4396">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3396D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2F1517">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购买日公允价值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4902C6">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购买日账面价值</w:t>
            </w:r>
          </w:p>
        </w:tc>
      </w:tr>
      <w:tr w14:paraId="265DF33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B9D3A5">
            <w:pPr>
              <w:spacing w:before="40" w:after="40" w:line="240" w:lineRule="exact"/>
              <w:rPr>
                <w:rFonts w:ascii="宋体" w:hAnsi="宋体" w:eastAsia="宋体" w:cs="宋体"/>
                <w:sz w:val="18"/>
                <w:szCs w:val="18"/>
              </w:rPr>
            </w:pPr>
            <w:r>
              <w:rPr>
                <w:rFonts w:ascii="宋体" w:hAnsi="宋体" w:eastAsia="宋体" w:cs="宋体"/>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2AF9280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823CA9">
            <w:pPr>
              <w:spacing w:line="240" w:lineRule="exact"/>
              <w:jc w:val="right"/>
              <w:rPr>
                <w:rFonts w:ascii="宋体" w:hAnsi="宋体" w:eastAsia="宋体" w:cs="宋体"/>
                <w:sz w:val="18"/>
                <w:szCs w:val="18"/>
              </w:rPr>
            </w:pPr>
          </w:p>
        </w:tc>
      </w:tr>
      <w:tr w14:paraId="15937F0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494ED0">
            <w:pPr>
              <w:spacing w:before="40" w:after="40" w:line="240" w:lineRule="exac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006171B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554E9A0">
            <w:pPr>
              <w:spacing w:line="240" w:lineRule="exact"/>
              <w:jc w:val="right"/>
              <w:rPr>
                <w:rFonts w:ascii="宋体" w:hAnsi="宋体" w:eastAsia="宋体" w:cs="宋体"/>
                <w:sz w:val="18"/>
                <w:szCs w:val="18"/>
              </w:rPr>
            </w:pPr>
          </w:p>
        </w:tc>
      </w:tr>
      <w:tr w14:paraId="67E5BD2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7D5150">
            <w:pPr>
              <w:spacing w:before="40" w:after="40" w:line="240" w:lineRule="exact"/>
              <w:rPr>
                <w:rFonts w:ascii="宋体" w:hAnsi="宋体" w:eastAsia="宋体" w:cs="宋体"/>
                <w:sz w:val="18"/>
                <w:szCs w:val="18"/>
              </w:rPr>
            </w:pPr>
            <w:r>
              <w:rPr>
                <w:rFonts w:ascii="宋体" w:hAnsi="宋体" w:eastAsia="宋体" w:cs="宋体"/>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20A54A1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195BDC">
            <w:pPr>
              <w:spacing w:line="240" w:lineRule="exact"/>
              <w:jc w:val="right"/>
              <w:rPr>
                <w:rFonts w:ascii="宋体" w:hAnsi="宋体" w:eastAsia="宋体" w:cs="宋体"/>
                <w:sz w:val="18"/>
                <w:szCs w:val="18"/>
              </w:rPr>
            </w:pPr>
          </w:p>
        </w:tc>
      </w:tr>
      <w:tr w14:paraId="4BEEEEB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9707F1">
            <w:pPr>
              <w:spacing w:before="40" w:after="40" w:line="240" w:lineRule="exac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0418908E">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6E4F8F">
            <w:pPr>
              <w:spacing w:line="240" w:lineRule="exact"/>
              <w:jc w:val="right"/>
              <w:rPr>
                <w:rFonts w:ascii="宋体" w:hAnsi="宋体" w:eastAsia="宋体" w:cs="宋体"/>
                <w:sz w:val="18"/>
                <w:szCs w:val="18"/>
              </w:rPr>
            </w:pPr>
          </w:p>
        </w:tc>
      </w:tr>
      <w:tr w14:paraId="486EE13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491DE1">
            <w:pPr>
              <w:spacing w:before="40" w:after="40" w:line="240" w:lineRule="exac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180BFF1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4580E7">
            <w:pPr>
              <w:spacing w:line="240" w:lineRule="exact"/>
              <w:jc w:val="right"/>
              <w:rPr>
                <w:rFonts w:ascii="宋体" w:hAnsi="宋体" w:eastAsia="宋体" w:cs="宋体"/>
                <w:sz w:val="18"/>
                <w:szCs w:val="18"/>
              </w:rPr>
            </w:pPr>
          </w:p>
        </w:tc>
      </w:tr>
      <w:tr w14:paraId="26BE680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C26613">
            <w:pPr>
              <w:spacing w:before="40" w:after="40" w:line="240" w:lineRule="exac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1CD2CD1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13555B">
            <w:pPr>
              <w:spacing w:line="240" w:lineRule="exact"/>
              <w:jc w:val="right"/>
              <w:rPr>
                <w:rFonts w:ascii="宋体" w:hAnsi="宋体" w:eastAsia="宋体" w:cs="宋体"/>
                <w:sz w:val="18"/>
                <w:szCs w:val="18"/>
              </w:rPr>
            </w:pPr>
          </w:p>
        </w:tc>
      </w:tr>
      <w:tr w14:paraId="1818144A">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1A920C4">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5AEBB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110C77">
            <w:pPr>
              <w:spacing w:line="240" w:lineRule="exact"/>
              <w:jc w:val="right"/>
              <w:rPr>
                <w:rFonts w:ascii="宋体" w:hAnsi="宋体" w:eastAsia="宋体" w:cs="宋体"/>
                <w:sz w:val="18"/>
                <w:szCs w:val="18"/>
              </w:rPr>
            </w:pPr>
          </w:p>
        </w:tc>
      </w:tr>
      <w:tr w14:paraId="3C2D37B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CF21B0">
            <w:pPr>
              <w:spacing w:before="40" w:after="40" w:line="240" w:lineRule="exact"/>
              <w:rPr>
                <w:rFonts w:ascii="宋体" w:hAnsi="宋体" w:eastAsia="宋体" w:cs="宋体"/>
                <w:sz w:val="18"/>
                <w:szCs w:val="18"/>
              </w:rPr>
            </w:pPr>
            <w:r>
              <w:rPr>
                <w:rFonts w:ascii="宋体" w:hAnsi="宋体" w:eastAsia="宋体" w:cs="宋体"/>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1B4C4FB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99B76E6">
            <w:pPr>
              <w:spacing w:line="240" w:lineRule="exact"/>
              <w:jc w:val="right"/>
              <w:rPr>
                <w:rFonts w:ascii="宋体" w:hAnsi="宋体" w:eastAsia="宋体" w:cs="宋体"/>
                <w:sz w:val="18"/>
                <w:szCs w:val="18"/>
              </w:rPr>
            </w:pPr>
          </w:p>
        </w:tc>
      </w:tr>
      <w:tr w14:paraId="6627051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BF1902">
            <w:pPr>
              <w:spacing w:before="40" w:after="40" w:line="240" w:lineRule="exact"/>
              <w:rPr>
                <w:rFonts w:ascii="宋体" w:hAnsi="宋体" w:eastAsia="宋体" w:cs="宋体"/>
                <w:sz w:val="18"/>
                <w:szCs w:val="18"/>
              </w:rPr>
            </w:pPr>
            <w:r>
              <w:rPr>
                <w:rFonts w:ascii="宋体" w:hAnsi="宋体" w:eastAsia="宋体" w:cs="宋体"/>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172F3E0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6BD715">
            <w:pPr>
              <w:spacing w:line="240" w:lineRule="exact"/>
              <w:jc w:val="right"/>
              <w:rPr>
                <w:rFonts w:ascii="宋体" w:hAnsi="宋体" w:eastAsia="宋体" w:cs="宋体"/>
                <w:sz w:val="18"/>
                <w:szCs w:val="18"/>
              </w:rPr>
            </w:pPr>
          </w:p>
        </w:tc>
      </w:tr>
      <w:tr w14:paraId="2BD7858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FC0421">
            <w:pPr>
              <w:spacing w:before="40" w:after="40" w:line="240" w:lineRule="exact"/>
              <w:rPr>
                <w:rFonts w:ascii="宋体" w:hAnsi="宋体" w:eastAsia="宋体" w:cs="宋体"/>
                <w:sz w:val="18"/>
                <w:szCs w:val="18"/>
              </w:rPr>
            </w:pPr>
            <w:r>
              <w:rPr>
                <w:rFonts w:ascii="宋体" w:hAnsi="宋体" w:eastAsia="宋体" w:cs="宋体"/>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3C370A4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913629">
            <w:pPr>
              <w:spacing w:line="240" w:lineRule="exact"/>
              <w:jc w:val="right"/>
              <w:rPr>
                <w:rFonts w:ascii="宋体" w:hAnsi="宋体" w:eastAsia="宋体" w:cs="宋体"/>
                <w:sz w:val="18"/>
                <w:szCs w:val="18"/>
              </w:rPr>
            </w:pPr>
          </w:p>
        </w:tc>
      </w:tr>
      <w:tr w14:paraId="3A261BC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299210">
            <w:pPr>
              <w:spacing w:before="40" w:after="40" w:line="240" w:lineRule="exact"/>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03D52E6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610C6B">
            <w:pPr>
              <w:spacing w:line="240" w:lineRule="exact"/>
              <w:jc w:val="right"/>
              <w:rPr>
                <w:rFonts w:ascii="宋体" w:hAnsi="宋体" w:eastAsia="宋体" w:cs="宋体"/>
                <w:sz w:val="18"/>
                <w:szCs w:val="18"/>
              </w:rPr>
            </w:pPr>
          </w:p>
        </w:tc>
      </w:tr>
      <w:tr w14:paraId="2DC0B155">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3051A0E">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C566B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102A6AB">
            <w:pPr>
              <w:spacing w:line="240" w:lineRule="exact"/>
              <w:jc w:val="right"/>
              <w:rPr>
                <w:rFonts w:ascii="宋体" w:hAnsi="宋体" w:eastAsia="宋体" w:cs="宋体"/>
                <w:sz w:val="18"/>
                <w:szCs w:val="18"/>
              </w:rPr>
            </w:pPr>
          </w:p>
        </w:tc>
      </w:tr>
      <w:tr w14:paraId="432D773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5FE118">
            <w:pPr>
              <w:spacing w:before="40" w:after="40" w:line="240" w:lineRule="exact"/>
              <w:rPr>
                <w:rFonts w:ascii="宋体" w:hAnsi="宋体" w:eastAsia="宋体" w:cs="宋体"/>
                <w:sz w:val="18"/>
                <w:szCs w:val="18"/>
              </w:rPr>
            </w:pPr>
            <w:r>
              <w:rPr>
                <w:rFonts w:ascii="宋体" w:hAnsi="宋体" w:eastAsia="宋体" w:cs="宋体"/>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7D4B400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E4B62B">
            <w:pPr>
              <w:spacing w:line="240" w:lineRule="exact"/>
              <w:jc w:val="right"/>
              <w:rPr>
                <w:rFonts w:ascii="宋体" w:hAnsi="宋体" w:eastAsia="宋体" w:cs="宋体"/>
                <w:sz w:val="18"/>
                <w:szCs w:val="18"/>
              </w:rPr>
            </w:pPr>
          </w:p>
        </w:tc>
      </w:tr>
      <w:tr w14:paraId="7B30ADE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448DBE">
            <w:pPr>
              <w:spacing w:before="40" w:after="40" w:line="240" w:lineRule="exact"/>
              <w:rPr>
                <w:rFonts w:ascii="宋体" w:hAnsi="宋体" w:eastAsia="宋体" w:cs="宋体"/>
                <w:sz w:val="18"/>
                <w:szCs w:val="18"/>
              </w:rPr>
            </w:pPr>
            <w:r>
              <w:rPr>
                <w:rFonts w:ascii="宋体" w:hAnsi="宋体" w:eastAsia="宋体" w:cs="宋体"/>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5AFE946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902036">
            <w:pPr>
              <w:spacing w:line="240" w:lineRule="exact"/>
              <w:jc w:val="right"/>
              <w:rPr>
                <w:rFonts w:ascii="宋体" w:hAnsi="宋体" w:eastAsia="宋体" w:cs="宋体"/>
                <w:sz w:val="18"/>
                <w:szCs w:val="18"/>
              </w:rPr>
            </w:pPr>
          </w:p>
        </w:tc>
      </w:tr>
      <w:tr w14:paraId="66F38C8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8D561C">
            <w:pPr>
              <w:spacing w:before="40" w:after="40" w:line="240" w:lineRule="exact"/>
              <w:rPr>
                <w:rFonts w:ascii="宋体" w:hAnsi="宋体" w:eastAsia="宋体" w:cs="宋体"/>
                <w:sz w:val="18"/>
                <w:szCs w:val="18"/>
              </w:rPr>
            </w:pPr>
            <w:r>
              <w:rPr>
                <w:rFonts w:ascii="宋体" w:hAnsi="宋体" w:eastAsia="宋体" w:cs="宋体"/>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6A2D312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C2D1B2">
            <w:pPr>
              <w:spacing w:line="240" w:lineRule="exact"/>
              <w:jc w:val="right"/>
              <w:rPr>
                <w:rFonts w:ascii="宋体" w:hAnsi="宋体" w:eastAsia="宋体" w:cs="宋体"/>
                <w:sz w:val="18"/>
                <w:szCs w:val="18"/>
              </w:rPr>
            </w:pPr>
          </w:p>
        </w:tc>
      </w:tr>
    </w:tbl>
    <w:p w14:paraId="795DA1A3">
      <w:pPr>
        <w:spacing w:before="100" w:after="100" w:line="240" w:lineRule="exact"/>
      </w:pPr>
      <w:r>
        <w:rPr>
          <w:rFonts w:ascii="宋体" w:hAnsi="宋体" w:eastAsia="宋体" w:cs="宋体"/>
          <w:sz w:val="18"/>
          <w:szCs w:val="18"/>
        </w:rPr>
        <w:t>可辨认资产、负债公允价值的确定方法：</w:t>
      </w:r>
    </w:p>
    <w:p w14:paraId="0F077F69">
      <w:pPr>
        <w:spacing w:before="100" w:after="100" w:line="240" w:lineRule="exact"/>
      </w:pPr>
      <w:r>
        <w:rPr>
          <w:rFonts w:ascii="宋体" w:hAnsi="宋体" w:eastAsia="宋体" w:cs="宋体"/>
          <w:sz w:val="18"/>
          <w:szCs w:val="18"/>
        </w:rPr>
        <w:t>企业合并中承担的被购买方的或有负债：</w:t>
      </w:r>
    </w:p>
    <w:p w14:paraId="4716A737">
      <w:pPr>
        <w:spacing w:before="100" w:after="100" w:line="240" w:lineRule="exact"/>
      </w:pPr>
      <w:r>
        <w:rPr>
          <w:rFonts w:ascii="宋体" w:hAnsi="宋体" w:eastAsia="宋体" w:cs="宋体"/>
          <w:sz w:val="18"/>
          <w:szCs w:val="18"/>
        </w:rPr>
        <w:t>其他说明：</w:t>
      </w:r>
    </w:p>
    <w:p w14:paraId="4B19B2B6">
      <w:pPr>
        <w:keepNext/>
        <w:keepLines/>
        <w:spacing w:before="300" w:after="100" w:line="280" w:lineRule="exact"/>
        <w:outlineLvl w:val="3"/>
        <w:rPr>
          <w:rFonts w:ascii="宋体" w:hAnsi="宋体" w:eastAsia="宋体" w:cs="宋体"/>
          <w:b/>
          <w:bCs/>
          <w:sz w:val="18"/>
          <w:szCs w:val="18"/>
        </w:rPr>
      </w:pPr>
      <w:bookmarkStart w:id="400" w:name="_Toc989289"/>
      <w:r>
        <w:rPr>
          <w:rFonts w:ascii="宋体" w:hAnsi="宋体" w:eastAsia="宋体" w:cs="宋体"/>
          <w:b/>
          <w:bCs/>
          <w:sz w:val="18"/>
          <w:szCs w:val="18"/>
        </w:rPr>
        <w:t>（4） 购买日之前持有的股权按照公允价值重新计量产生的利得或损失</w:t>
      </w:r>
      <w:bookmarkEnd w:id="400"/>
    </w:p>
    <w:p w14:paraId="33E9BFC4">
      <w:pPr>
        <w:spacing w:before="40" w:after="100" w:line="240" w:lineRule="exact"/>
        <w:rPr>
          <w:rFonts w:ascii="宋体" w:hAnsi="宋体" w:eastAsia="宋体" w:cs="宋体"/>
          <w:sz w:val="18"/>
          <w:szCs w:val="18"/>
        </w:rPr>
      </w:pPr>
      <w:r>
        <w:rPr>
          <w:rFonts w:ascii="宋体" w:hAnsi="宋体" w:eastAsia="宋体" w:cs="宋体"/>
          <w:sz w:val="18"/>
          <w:szCs w:val="18"/>
        </w:rPr>
        <w:t>是否存在通过多次交易分步实现企业合并且在报告期内取得控制权的交易</w:t>
      </w:r>
    </w:p>
    <w:p w14:paraId="296E9F44">
      <w:pPr>
        <w:spacing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2FE9F9CF">
      <w:pPr>
        <w:keepNext/>
        <w:keepLines/>
        <w:spacing w:before="300" w:after="100" w:line="280" w:lineRule="exact"/>
        <w:outlineLvl w:val="3"/>
      </w:pPr>
      <w:bookmarkStart w:id="401" w:name="_Toc989290"/>
      <w:r>
        <w:rPr>
          <w:rFonts w:ascii="宋体" w:hAnsi="宋体" w:eastAsia="宋体" w:cs="宋体"/>
          <w:b/>
          <w:bCs/>
          <w:sz w:val="18"/>
          <w:szCs w:val="18"/>
        </w:rPr>
        <w:t>（5） 购买日或合并当期期末无法合理确定合并对价或被购买方可辨认资产、负债公允价值的相关说明</w:t>
      </w:r>
      <w:bookmarkEnd w:id="401"/>
    </w:p>
    <w:p w14:paraId="204E4D8C">
      <w:pPr>
        <w:keepNext/>
        <w:keepLines/>
        <w:spacing w:before="300" w:after="100" w:line="280" w:lineRule="exact"/>
        <w:outlineLvl w:val="3"/>
      </w:pPr>
      <w:bookmarkStart w:id="402" w:name="_Toc989291"/>
      <w:r>
        <w:rPr>
          <w:rFonts w:ascii="宋体" w:hAnsi="宋体" w:eastAsia="宋体" w:cs="宋体"/>
          <w:b/>
          <w:bCs/>
          <w:sz w:val="18"/>
          <w:szCs w:val="18"/>
        </w:rPr>
        <w:t>（6） 其他说明</w:t>
      </w:r>
      <w:bookmarkEnd w:id="402"/>
    </w:p>
    <w:p w14:paraId="7701BC2A">
      <w:pPr>
        <w:pStyle w:val="3"/>
        <w:spacing w:after="100" w:line="280" w:lineRule="exact"/>
        <w:jc w:val="left"/>
        <w:rPr>
          <w:rFonts w:ascii="宋体" w:hAnsi="宋体" w:cs="宋体"/>
          <w:b/>
          <w:bCs/>
        </w:rPr>
      </w:pPr>
      <w:bookmarkStart w:id="403" w:name="_Toc989292"/>
      <w:r>
        <w:rPr>
          <w:rFonts w:ascii="宋体" w:hAnsi="宋体" w:cs="宋体"/>
          <w:b/>
          <w:bCs/>
        </w:rPr>
        <w:t>2、同一控制下企业合并</w:t>
      </w:r>
      <w:bookmarkEnd w:id="403"/>
    </w:p>
    <w:p w14:paraId="189C7BF7">
      <w:pPr>
        <w:keepNext/>
        <w:keepLines/>
        <w:spacing w:before="300" w:after="100" w:line="280" w:lineRule="exact"/>
        <w:outlineLvl w:val="3"/>
        <w:rPr>
          <w:rFonts w:ascii="宋体" w:hAnsi="宋体" w:eastAsia="宋体" w:cs="宋体"/>
          <w:b/>
          <w:bCs/>
          <w:sz w:val="18"/>
          <w:szCs w:val="18"/>
        </w:rPr>
      </w:pPr>
      <w:bookmarkStart w:id="404" w:name="_Toc989293"/>
      <w:r>
        <w:rPr>
          <w:rFonts w:ascii="宋体" w:hAnsi="宋体" w:eastAsia="宋体" w:cs="宋体"/>
          <w:b/>
          <w:bCs/>
          <w:sz w:val="18"/>
          <w:szCs w:val="18"/>
        </w:rPr>
        <w:t>（1） 本期发生的同一控制下企业合并</w:t>
      </w:r>
      <w:bookmarkEnd w:id="404"/>
    </w:p>
    <w:p w14:paraId="464C6B0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1FCC6F7A">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B1C8A5">
            <w:pPr>
              <w:spacing w:before="40" w:after="40" w:line="240" w:lineRule="exact"/>
              <w:jc w:val="center"/>
              <w:rPr>
                <w:rFonts w:ascii="宋体" w:hAnsi="宋体" w:eastAsia="宋体" w:cs="宋体"/>
                <w:sz w:val="18"/>
                <w:szCs w:val="18"/>
              </w:rPr>
            </w:pPr>
            <w:r>
              <w:rPr>
                <w:rFonts w:ascii="宋体" w:hAnsi="宋体" w:eastAsia="宋体" w:cs="宋体"/>
                <w:sz w:val="18"/>
                <w:szCs w:val="18"/>
              </w:rPr>
              <w:t>被合并方名称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6B667D">
            <w:pPr>
              <w:spacing w:before="40" w:after="40" w:line="240" w:lineRule="exact"/>
              <w:jc w:val="center"/>
              <w:rPr>
                <w:rFonts w:ascii="宋体" w:hAnsi="宋体" w:eastAsia="宋体" w:cs="宋体"/>
                <w:sz w:val="18"/>
                <w:szCs w:val="18"/>
              </w:rPr>
            </w:pPr>
            <w:r>
              <w:rPr>
                <w:rFonts w:ascii="宋体" w:hAnsi="宋体" w:eastAsia="宋体" w:cs="宋体"/>
                <w:sz w:val="18"/>
                <w:szCs w:val="18"/>
              </w:rPr>
              <w:t>企业合并中取得的权益比例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47AFAF">
            <w:pPr>
              <w:spacing w:before="40" w:after="40" w:line="240" w:lineRule="exact"/>
              <w:jc w:val="center"/>
              <w:rPr>
                <w:rFonts w:ascii="宋体" w:hAnsi="宋体" w:eastAsia="宋体" w:cs="宋体"/>
                <w:sz w:val="18"/>
                <w:szCs w:val="18"/>
              </w:rPr>
            </w:pPr>
            <w:r>
              <w:rPr>
                <w:rFonts w:ascii="宋体" w:hAnsi="宋体" w:eastAsia="宋体" w:cs="宋体"/>
                <w:sz w:val="18"/>
                <w:szCs w:val="18"/>
              </w:rPr>
              <w:t>构成同一控制下企业合并的依据</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2BCA74">
            <w:pPr>
              <w:spacing w:before="40" w:after="40" w:line="240" w:lineRule="exact"/>
              <w:jc w:val="center"/>
              <w:rPr>
                <w:rFonts w:ascii="宋体" w:hAnsi="宋体" w:eastAsia="宋体" w:cs="宋体"/>
                <w:sz w:val="18"/>
                <w:szCs w:val="18"/>
              </w:rPr>
            </w:pPr>
            <w:r>
              <w:rPr>
                <w:rFonts w:ascii="宋体" w:hAnsi="宋体" w:eastAsia="宋体" w:cs="宋体"/>
                <w:sz w:val="18"/>
                <w:szCs w:val="18"/>
              </w:rPr>
              <w:t>合并日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02A3FA">
            <w:pPr>
              <w:spacing w:before="40" w:after="40" w:line="240" w:lineRule="exact"/>
              <w:jc w:val="center"/>
              <w:rPr>
                <w:rFonts w:ascii="宋体" w:hAnsi="宋体" w:eastAsia="宋体" w:cs="宋体"/>
                <w:sz w:val="18"/>
                <w:szCs w:val="18"/>
              </w:rPr>
            </w:pPr>
            <w:r>
              <w:rPr>
                <w:rFonts w:ascii="宋体" w:hAnsi="宋体" w:eastAsia="宋体" w:cs="宋体"/>
                <w:sz w:val="18"/>
                <w:szCs w:val="18"/>
              </w:rPr>
              <w:t>合并日的确定依据</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A596D83">
            <w:pPr>
              <w:spacing w:before="40" w:after="40" w:line="240" w:lineRule="exact"/>
              <w:jc w:val="center"/>
              <w:rPr>
                <w:rFonts w:ascii="宋体" w:hAnsi="宋体" w:eastAsia="宋体" w:cs="宋体"/>
                <w:sz w:val="18"/>
                <w:szCs w:val="18"/>
              </w:rPr>
            </w:pPr>
            <w:r>
              <w:rPr>
                <w:rFonts w:ascii="宋体" w:hAnsi="宋体" w:eastAsia="宋体" w:cs="宋体"/>
                <w:sz w:val="18"/>
                <w:szCs w:val="18"/>
              </w:rPr>
              <w:t>合并当期期初至合并日被合并方的收入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3CAFD35">
            <w:pPr>
              <w:spacing w:before="40" w:after="40" w:line="240" w:lineRule="exact"/>
              <w:jc w:val="center"/>
              <w:rPr>
                <w:rFonts w:ascii="宋体" w:hAnsi="宋体" w:eastAsia="宋体" w:cs="宋体"/>
                <w:sz w:val="18"/>
                <w:szCs w:val="18"/>
              </w:rPr>
            </w:pPr>
            <w:r>
              <w:rPr>
                <w:rFonts w:ascii="宋体" w:hAnsi="宋体" w:eastAsia="宋体" w:cs="宋体"/>
                <w:sz w:val="18"/>
                <w:szCs w:val="18"/>
              </w:rPr>
              <w:t>合并当期期初至合并日被合并方的净利润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D6090B9">
            <w:pPr>
              <w:spacing w:before="40" w:after="40" w:line="240" w:lineRule="exact"/>
              <w:jc w:val="center"/>
              <w:rPr>
                <w:rFonts w:ascii="宋体" w:hAnsi="宋体" w:eastAsia="宋体" w:cs="宋体"/>
                <w:sz w:val="18"/>
                <w:szCs w:val="18"/>
              </w:rPr>
            </w:pPr>
            <w:r>
              <w:rPr>
                <w:rFonts w:ascii="宋体" w:hAnsi="宋体" w:eastAsia="宋体" w:cs="宋体"/>
                <w:sz w:val="18"/>
                <w:szCs w:val="18"/>
              </w:rPr>
              <w:t>比较期间被合并方的收入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C9D0B6F">
            <w:pPr>
              <w:spacing w:before="40" w:after="40" w:line="240" w:lineRule="exact"/>
              <w:jc w:val="center"/>
              <w:rPr>
                <w:rFonts w:ascii="宋体" w:hAnsi="宋体" w:eastAsia="宋体" w:cs="宋体"/>
                <w:sz w:val="18"/>
                <w:szCs w:val="18"/>
              </w:rPr>
            </w:pPr>
            <w:r>
              <w:rPr>
                <w:rFonts w:ascii="宋体" w:hAnsi="宋体" w:eastAsia="宋体" w:cs="宋体"/>
                <w:sz w:val="18"/>
                <w:szCs w:val="18"/>
              </w:rPr>
              <w:t>比较期间被合并方的净利润</w:t>
            </w:r>
          </w:p>
        </w:tc>
      </w:tr>
    </w:tbl>
    <w:p w14:paraId="47BCBBE8">
      <w:pPr>
        <w:spacing w:before="100" w:after="100" w:line="240" w:lineRule="exact"/>
      </w:pPr>
      <w:r>
        <w:rPr>
          <w:rFonts w:ascii="宋体" w:hAnsi="宋体" w:eastAsia="宋体" w:cs="宋体"/>
          <w:sz w:val="18"/>
          <w:szCs w:val="18"/>
        </w:rPr>
        <w:t>其他说明：</w:t>
      </w:r>
    </w:p>
    <w:p w14:paraId="2E8193CB">
      <w:pPr>
        <w:keepNext/>
        <w:keepLines/>
        <w:spacing w:before="300" w:after="100" w:line="280" w:lineRule="exact"/>
        <w:outlineLvl w:val="3"/>
        <w:rPr>
          <w:rFonts w:ascii="宋体" w:hAnsi="宋体" w:eastAsia="宋体" w:cs="宋体"/>
          <w:b/>
          <w:bCs/>
          <w:sz w:val="18"/>
          <w:szCs w:val="18"/>
        </w:rPr>
      </w:pPr>
      <w:bookmarkStart w:id="405" w:name="_Toc989294"/>
      <w:r>
        <w:rPr>
          <w:rFonts w:ascii="宋体" w:hAnsi="宋体" w:eastAsia="宋体" w:cs="宋体"/>
          <w:b/>
          <w:bCs/>
          <w:sz w:val="18"/>
          <w:szCs w:val="18"/>
        </w:rPr>
        <w:t>（2） 合并成本</w:t>
      </w:r>
      <w:bookmarkEnd w:id="405"/>
    </w:p>
    <w:p w14:paraId="3C0F8FE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19C6CCDF">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C0FD9B2">
            <w:pPr>
              <w:spacing w:before="40" w:after="40" w:line="240" w:lineRule="exact"/>
              <w:jc w:val="center"/>
              <w:rPr>
                <w:rFonts w:ascii="宋体" w:hAnsi="宋体" w:eastAsia="宋体" w:cs="宋体"/>
                <w:sz w:val="18"/>
                <w:szCs w:val="18"/>
              </w:rPr>
            </w:pPr>
            <w:r>
              <w:rPr>
                <w:rFonts w:ascii="宋体" w:hAnsi="宋体" w:eastAsia="宋体" w:cs="宋体"/>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471F6086">
            <w:pPr>
              <w:spacing w:line="240" w:lineRule="exact"/>
              <w:jc w:val="center"/>
              <w:rPr>
                <w:rFonts w:ascii="宋体" w:hAnsi="宋体" w:eastAsia="宋体" w:cs="宋体"/>
                <w:sz w:val="18"/>
                <w:szCs w:val="18"/>
              </w:rPr>
            </w:pPr>
          </w:p>
        </w:tc>
      </w:tr>
      <w:tr w14:paraId="537747D0">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AE58D5">
            <w:pPr>
              <w:spacing w:before="40" w:after="40" w:line="240" w:lineRule="exact"/>
              <w:rPr>
                <w:rFonts w:ascii="宋体" w:hAnsi="宋体" w:eastAsia="宋体" w:cs="宋体"/>
                <w:sz w:val="18"/>
                <w:szCs w:val="18"/>
              </w:rPr>
            </w:pPr>
            <w:r>
              <w:rPr>
                <w:rFonts w:ascii="宋体" w:hAnsi="宋体" w:eastAsia="宋体" w:cs="宋体"/>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0D92CAB5">
            <w:pPr>
              <w:spacing w:line="240" w:lineRule="exact"/>
              <w:jc w:val="right"/>
              <w:rPr>
                <w:rFonts w:ascii="宋体" w:hAnsi="宋体" w:eastAsia="宋体" w:cs="宋体"/>
                <w:sz w:val="18"/>
                <w:szCs w:val="18"/>
              </w:rPr>
            </w:pPr>
          </w:p>
        </w:tc>
      </w:tr>
      <w:tr w14:paraId="6EA61009">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20ACA09">
            <w:pPr>
              <w:spacing w:before="40" w:after="40" w:line="240" w:lineRule="exact"/>
              <w:rPr>
                <w:rFonts w:ascii="宋体" w:hAnsi="宋体" w:eastAsia="宋体" w:cs="宋体"/>
                <w:sz w:val="18"/>
                <w:szCs w:val="18"/>
              </w:rPr>
            </w:pPr>
            <w:r>
              <w:rPr>
                <w:rFonts w:ascii="宋体" w:hAnsi="宋体" w:eastAsia="宋体" w:cs="宋体"/>
                <w:sz w:val="18"/>
                <w:szCs w:val="18"/>
              </w:rPr>
              <w:t>--非现金资产的账面价值</w:t>
            </w:r>
          </w:p>
        </w:tc>
        <w:tc>
          <w:tcPr>
            <w:tcW w:w="4820" w:type="dxa"/>
            <w:tcBorders>
              <w:top w:val="single" w:color="auto" w:sz="2" w:space="0"/>
              <w:left w:val="single" w:color="auto" w:sz="2" w:space="0"/>
              <w:bottom w:val="single" w:color="auto" w:sz="2" w:space="0"/>
              <w:right w:val="single" w:color="auto" w:sz="2" w:space="0"/>
            </w:tcBorders>
            <w:vAlign w:val="center"/>
          </w:tcPr>
          <w:p w14:paraId="12F57C16">
            <w:pPr>
              <w:spacing w:line="240" w:lineRule="exact"/>
              <w:jc w:val="right"/>
              <w:rPr>
                <w:rFonts w:ascii="宋体" w:hAnsi="宋体" w:eastAsia="宋体" w:cs="宋体"/>
                <w:sz w:val="18"/>
                <w:szCs w:val="18"/>
              </w:rPr>
            </w:pPr>
          </w:p>
        </w:tc>
      </w:tr>
      <w:tr w14:paraId="157B3143">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C22460">
            <w:pPr>
              <w:spacing w:before="40" w:after="40" w:line="240" w:lineRule="exact"/>
              <w:rPr>
                <w:rFonts w:ascii="宋体" w:hAnsi="宋体" w:eastAsia="宋体" w:cs="宋体"/>
                <w:sz w:val="18"/>
                <w:szCs w:val="18"/>
              </w:rPr>
            </w:pPr>
            <w:r>
              <w:rPr>
                <w:rFonts w:ascii="宋体" w:hAnsi="宋体" w:eastAsia="宋体" w:cs="宋体"/>
                <w:sz w:val="18"/>
                <w:szCs w:val="18"/>
              </w:rPr>
              <w:t>--发行或承担的债务的账面价值</w:t>
            </w:r>
          </w:p>
        </w:tc>
        <w:tc>
          <w:tcPr>
            <w:tcW w:w="4820" w:type="dxa"/>
            <w:tcBorders>
              <w:top w:val="single" w:color="auto" w:sz="2" w:space="0"/>
              <w:left w:val="single" w:color="auto" w:sz="2" w:space="0"/>
              <w:bottom w:val="single" w:color="auto" w:sz="2" w:space="0"/>
              <w:right w:val="single" w:color="auto" w:sz="2" w:space="0"/>
            </w:tcBorders>
            <w:vAlign w:val="center"/>
          </w:tcPr>
          <w:p w14:paraId="79FA617F">
            <w:pPr>
              <w:spacing w:line="240" w:lineRule="exact"/>
              <w:jc w:val="right"/>
              <w:rPr>
                <w:rFonts w:ascii="宋体" w:hAnsi="宋体" w:eastAsia="宋体" w:cs="宋体"/>
                <w:sz w:val="18"/>
                <w:szCs w:val="18"/>
              </w:rPr>
            </w:pPr>
          </w:p>
        </w:tc>
      </w:tr>
      <w:tr w14:paraId="44D901D9">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21D8F03">
            <w:pPr>
              <w:spacing w:before="40" w:after="40" w:line="240" w:lineRule="exact"/>
              <w:rPr>
                <w:rFonts w:ascii="宋体" w:hAnsi="宋体" w:eastAsia="宋体" w:cs="宋体"/>
                <w:sz w:val="18"/>
                <w:szCs w:val="18"/>
              </w:rPr>
            </w:pPr>
            <w:r>
              <w:rPr>
                <w:rFonts w:ascii="宋体" w:hAnsi="宋体" w:eastAsia="宋体" w:cs="宋体"/>
                <w:sz w:val="18"/>
                <w:szCs w:val="18"/>
              </w:rPr>
              <w:t>--发行的权益性证券的面值</w:t>
            </w:r>
          </w:p>
        </w:tc>
        <w:tc>
          <w:tcPr>
            <w:tcW w:w="4820" w:type="dxa"/>
            <w:tcBorders>
              <w:top w:val="single" w:color="auto" w:sz="2" w:space="0"/>
              <w:left w:val="single" w:color="auto" w:sz="2" w:space="0"/>
              <w:bottom w:val="single" w:color="auto" w:sz="2" w:space="0"/>
              <w:right w:val="single" w:color="auto" w:sz="2" w:space="0"/>
            </w:tcBorders>
            <w:vAlign w:val="center"/>
          </w:tcPr>
          <w:p w14:paraId="33043E5B">
            <w:pPr>
              <w:spacing w:line="240" w:lineRule="exact"/>
              <w:jc w:val="right"/>
              <w:rPr>
                <w:rFonts w:ascii="宋体" w:hAnsi="宋体" w:eastAsia="宋体" w:cs="宋体"/>
                <w:sz w:val="18"/>
                <w:szCs w:val="18"/>
              </w:rPr>
            </w:pPr>
          </w:p>
        </w:tc>
      </w:tr>
      <w:tr w14:paraId="36139741">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428C509">
            <w:pPr>
              <w:spacing w:before="40" w:after="40" w:line="240" w:lineRule="exact"/>
              <w:rPr>
                <w:rFonts w:ascii="宋体" w:hAnsi="宋体" w:eastAsia="宋体" w:cs="宋体"/>
                <w:sz w:val="18"/>
                <w:szCs w:val="18"/>
              </w:rPr>
            </w:pPr>
            <w:r>
              <w:rPr>
                <w:rFonts w:ascii="宋体" w:hAnsi="宋体" w:eastAsia="宋体" w:cs="宋体"/>
                <w:sz w:val="18"/>
                <w:szCs w:val="18"/>
              </w:rPr>
              <w:t>--或有对价</w:t>
            </w:r>
          </w:p>
        </w:tc>
        <w:tc>
          <w:tcPr>
            <w:tcW w:w="4820" w:type="dxa"/>
            <w:tcBorders>
              <w:top w:val="single" w:color="auto" w:sz="2" w:space="0"/>
              <w:left w:val="single" w:color="auto" w:sz="2" w:space="0"/>
              <w:bottom w:val="single" w:color="auto" w:sz="2" w:space="0"/>
              <w:right w:val="single" w:color="auto" w:sz="2" w:space="0"/>
            </w:tcBorders>
            <w:vAlign w:val="center"/>
          </w:tcPr>
          <w:p w14:paraId="3B1BD6FE">
            <w:pPr>
              <w:spacing w:line="240" w:lineRule="exact"/>
              <w:jc w:val="right"/>
              <w:rPr>
                <w:rFonts w:ascii="宋体" w:hAnsi="宋体" w:eastAsia="宋体" w:cs="宋体"/>
                <w:sz w:val="18"/>
                <w:szCs w:val="18"/>
              </w:rPr>
            </w:pPr>
          </w:p>
        </w:tc>
      </w:tr>
    </w:tbl>
    <w:p w14:paraId="6120E33E">
      <w:pPr>
        <w:spacing w:before="100" w:after="100" w:line="240" w:lineRule="exact"/>
      </w:pPr>
      <w:r>
        <w:rPr>
          <w:rFonts w:ascii="宋体" w:hAnsi="宋体" w:eastAsia="宋体" w:cs="宋体"/>
          <w:sz w:val="18"/>
          <w:szCs w:val="18"/>
        </w:rPr>
        <w:t>或有对价及其变动的说明：</w:t>
      </w:r>
    </w:p>
    <w:p w14:paraId="25C6EF5A">
      <w:pPr>
        <w:spacing w:before="100" w:after="100" w:line="240" w:lineRule="exact"/>
      </w:pPr>
      <w:r>
        <w:rPr>
          <w:rFonts w:ascii="宋体" w:hAnsi="宋体" w:eastAsia="宋体" w:cs="宋体"/>
          <w:sz w:val="18"/>
          <w:szCs w:val="18"/>
        </w:rPr>
        <w:t>其他说明：</w:t>
      </w:r>
    </w:p>
    <w:p w14:paraId="5BD915E7">
      <w:pPr>
        <w:keepNext/>
        <w:keepLines/>
        <w:spacing w:before="300" w:after="100" w:line="280" w:lineRule="exact"/>
        <w:outlineLvl w:val="3"/>
        <w:rPr>
          <w:rFonts w:ascii="宋体" w:hAnsi="宋体" w:eastAsia="宋体" w:cs="宋体"/>
          <w:b/>
          <w:bCs/>
          <w:sz w:val="18"/>
          <w:szCs w:val="18"/>
        </w:rPr>
      </w:pPr>
      <w:bookmarkStart w:id="406" w:name="_Toc989295"/>
      <w:r>
        <w:rPr>
          <w:rFonts w:ascii="宋体" w:hAnsi="宋体" w:eastAsia="宋体" w:cs="宋体"/>
          <w:b/>
          <w:bCs/>
          <w:sz w:val="18"/>
          <w:szCs w:val="18"/>
        </w:rPr>
        <w:t>（3） 合并日被合并方资产、负债的账面价值</w:t>
      </w:r>
      <w:bookmarkEnd w:id="406"/>
    </w:p>
    <w:p w14:paraId="322A205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158EBDF">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26EF17"/>
        </w:tc>
        <w:tc>
          <w:tcPr>
            <w:tcW w:w="6426" w:type="dxa"/>
            <w:gridSpan w:val="2"/>
            <w:tcBorders>
              <w:top w:val="single" w:color="auto" w:sz="2" w:space="0"/>
              <w:left w:val="single" w:color="auto" w:sz="2" w:space="0"/>
              <w:bottom w:val="single" w:color="auto" w:sz="2" w:space="0"/>
              <w:right w:val="single" w:color="auto" w:sz="2" w:space="0"/>
            </w:tcBorders>
            <w:vAlign w:val="center"/>
          </w:tcPr>
          <w:p w14:paraId="11AEFE27">
            <w:pPr>
              <w:spacing w:line="240" w:lineRule="exact"/>
              <w:jc w:val="center"/>
              <w:rPr>
                <w:rFonts w:ascii="宋体" w:hAnsi="宋体" w:eastAsia="宋体" w:cs="宋体"/>
                <w:sz w:val="18"/>
                <w:szCs w:val="18"/>
              </w:rPr>
            </w:pPr>
          </w:p>
        </w:tc>
      </w:tr>
      <w:tr w14:paraId="06EF18C5">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5D8B5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B7BE28">
            <w:pPr>
              <w:spacing w:before="40" w:after="40" w:line="240" w:lineRule="exact"/>
              <w:jc w:val="center"/>
              <w:rPr>
                <w:rFonts w:ascii="宋体" w:hAnsi="宋体" w:eastAsia="宋体" w:cs="宋体"/>
                <w:sz w:val="18"/>
                <w:szCs w:val="18"/>
              </w:rPr>
            </w:pPr>
            <w:r>
              <w:rPr>
                <w:rFonts w:ascii="宋体" w:hAnsi="宋体" w:eastAsia="宋体" w:cs="宋体"/>
                <w:sz w:val="18"/>
                <w:szCs w:val="18"/>
              </w:rPr>
              <w:t>合并日</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06EE41">
            <w:pPr>
              <w:spacing w:before="40" w:after="40" w:line="240" w:lineRule="exact"/>
              <w:jc w:val="center"/>
              <w:rPr>
                <w:rFonts w:ascii="宋体" w:hAnsi="宋体" w:eastAsia="宋体" w:cs="宋体"/>
                <w:sz w:val="18"/>
                <w:szCs w:val="18"/>
              </w:rPr>
            </w:pPr>
            <w:r>
              <w:rPr>
                <w:rFonts w:ascii="宋体" w:hAnsi="宋体" w:eastAsia="宋体" w:cs="宋体"/>
                <w:sz w:val="18"/>
                <w:szCs w:val="18"/>
              </w:rPr>
              <w:t>上期期末</w:t>
            </w:r>
          </w:p>
        </w:tc>
      </w:tr>
      <w:tr w14:paraId="2946FF1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95F949">
            <w:pPr>
              <w:spacing w:before="40" w:after="40" w:line="240" w:lineRule="exact"/>
              <w:rPr>
                <w:rFonts w:ascii="宋体" w:hAnsi="宋体" w:eastAsia="宋体" w:cs="宋体"/>
                <w:sz w:val="18"/>
                <w:szCs w:val="18"/>
              </w:rPr>
            </w:pPr>
            <w:r>
              <w:rPr>
                <w:rFonts w:ascii="宋体" w:hAnsi="宋体" w:eastAsia="宋体" w:cs="宋体"/>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1D89367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FA6D7C">
            <w:pPr>
              <w:spacing w:line="240" w:lineRule="exact"/>
              <w:jc w:val="right"/>
              <w:rPr>
                <w:rFonts w:ascii="宋体" w:hAnsi="宋体" w:eastAsia="宋体" w:cs="宋体"/>
                <w:sz w:val="18"/>
                <w:szCs w:val="18"/>
              </w:rPr>
            </w:pPr>
          </w:p>
        </w:tc>
      </w:tr>
      <w:tr w14:paraId="15DBA5D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B61045">
            <w:pPr>
              <w:spacing w:before="40" w:after="40" w:line="240" w:lineRule="exac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1A9AEFE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F2134F">
            <w:pPr>
              <w:spacing w:line="240" w:lineRule="exact"/>
              <w:jc w:val="right"/>
              <w:rPr>
                <w:rFonts w:ascii="宋体" w:hAnsi="宋体" w:eastAsia="宋体" w:cs="宋体"/>
                <w:sz w:val="18"/>
                <w:szCs w:val="18"/>
              </w:rPr>
            </w:pPr>
          </w:p>
        </w:tc>
      </w:tr>
      <w:tr w14:paraId="6AD43BD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6621B">
            <w:pPr>
              <w:spacing w:before="40" w:after="40" w:line="240" w:lineRule="exact"/>
              <w:rPr>
                <w:rFonts w:ascii="宋体" w:hAnsi="宋体" w:eastAsia="宋体" w:cs="宋体"/>
                <w:sz w:val="18"/>
                <w:szCs w:val="18"/>
              </w:rPr>
            </w:pPr>
            <w:r>
              <w:rPr>
                <w:rFonts w:ascii="宋体" w:hAnsi="宋体" w:eastAsia="宋体" w:cs="宋体"/>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269E6B5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88D807">
            <w:pPr>
              <w:spacing w:line="240" w:lineRule="exact"/>
              <w:jc w:val="right"/>
              <w:rPr>
                <w:rFonts w:ascii="宋体" w:hAnsi="宋体" w:eastAsia="宋体" w:cs="宋体"/>
                <w:sz w:val="18"/>
                <w:szCs w:val="18"/>
              </w:rPr>
            </w:pPr>
          </w:p>
        </w:tc>
      </w:tr>
      <w:tr w14:paraId="75943F5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0882E4">
            <w:pPr>
              <w:spacing w:before="40" w:after="40" w:line="240" w:lineRule="exac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4092524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86C15FC">
            <w:pPr>
              <w:spacing w:line="240" w:lineRule="exact"/>
              <w:jc w:val="right"/>
              <w:rPr>
                <w:rFonts w:ascii="宋体" w:hAnsi="宋体" w:eastAsia="宋体" w:cs="宋体"/>
                <w:sz w:val="18"/>
                <w:szCs w:val="18"/>
              </w:rPr>
            </w:pPr>
          </w:p>
        </w:tc>
      </w:tr>
      <w:tr w14:paraId="4DC66C3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4F8BF4">
            <w:pPr>
              <w:spacing w:before="40" w:after="40" w:line="240" w:lineRule="exac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2DB9004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4BBE0B">
            <w:pPr>
              <w:spacing w:line="240" w:lineRule="exact"/>
              <w:jc w:val="right"/>
              <w:rPr>
                <w:rFonts w:ascii="宋体" w:hAnsi="宋体" w:eastAsia="宋体" w:cs="宋体"/>
                <w:sz w:val="18"/>
                <w:szCs w:val="18"/>
              </w:rPr>
            </w:pPr>
          </w:p>
        </w:tc>
      </w:tr>
      <w:tr w14:paraId="5A20F43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3220A5">
            <w:pPr>
              <w:spacing w:before="40" w:after="40" w:line="240" w:lineRule="exac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2E1B294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0BE36F">
            <w:pPr>
              <w:spacing w:line="240" w:lineRule="exact"/>
              <w:jc w:val="right"/>
              <w:rPr>
                <w:rFonts w:ascii="宋体" w:hAnsi="宋体" w:eastAsia="宋体" w:cs="宋体"/>
                <w:sz w:val="18"/>
                <w:szCs w:val="18"/>
              </w:rPr>
            </w:pPr>
          </w:p>
        </w:tc>
      </w:tr>
      <w:tr w14:paraId="3E1C8127">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45A21F">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69455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952E42">
            <w:pPr>
              <w:spacing w:line="240" w:lineRule="exact"/>
              <w:jc w:val="right"/>
              <w:rPr>
                <w:rFonts w:ascii="宋体" w:hAnsi="宋体" w:eastAsia="宋体" w:cs="宋体"/>
                <w:sz w:val="18"/>
                <w:szCs w:val="18"/>
              </w:rPr>
            </w:pPr>
          </w:p>
        </w:tc>
      </w:tr>
      <w:tr w14:paraId="5E9DB30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939393">
            <w:pPr>
              <w:spacing w:before="40" w:after="40" w:line="240" w:lineRule="exact"/>
              <w:rPr>
                <w:rFonts w:ascii="宋体" w:hAnsi="宋体" w:eastAsia="宋体" w:cs="宋体"/>
                <w:sz w:val="18"/>
                <w:szCs w:val="18"/>
              </w:rPr>
            </w:pPr>
            <w:r>
              <w:rPr>
                <w:rFonts w:ascii="宋体" w:hAnsi="宋体" w:eastAsia="宋体" w:cs="宋体"/>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4691698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898AC6">
            <w:pPr>
              <w:spacing w:line="240" w:lineRule="exact"/>
              <w:jc w:val="right"/>
              <w:rPr>
                <w:rFonts w:ascii="宋体" w:hAnsi="宋体" w:eastAsia="宋体" w:cs="宋体"/>
                <w:sz w:val="18"/>
                <w:szCs w:val="18"/>
              </w:rPr>
            </w:pPr>
          </w:p>
        </w:tc>
      </w:tr>
      <w:tr w14:paraId="02E8BAE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E92ED6">
            <w:pPr>
              <w:spacing w:before="40" w:after="40" w:line="240" w:lineRule="exact"/>
              <w:rPr>
                <w:rFonts w:ascii="宋体" w:hAnsi="宋体" w:eastAsia="宋体" w:cs="宋体"/>
                <w:sz w:val="18"/>
                <w:szCs w:val="18"/>
              </w:rPr>
            </w:pPr>
            <w:r>
              <w:rPr>
                <w:rFonts w:ascii="宋体" w:hAnsi="宋体" w:eastAsia="宋体" w:cs="宋体"/>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26B6C32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6968DD">
            <w:pPr>
              <w:spacing w:line="240" w:lineRule="exact"/>
              <w:jc w:val="right"/>
              <w:rPr>
                <w:rFonts w:ascii="宋体" w:hAnsi="宋体" w:eastAsia="宋体" w:cs="宋体"/>
                <w:sz w:val="18"/>
                <w:szCs w:val="18"/>
              </w:rPr>
            </w:pPr>
          </w:p>
        </w:tc>
      </w:tr>
      <w:tr w14:paraId="6D1D9D4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56265A">
            <w:pPr>
              <w:spacing w:before="40" w:after="40" w:line="240" w:lineRule="exact"/>
              <w:rPr>
                <w:rFonts w:ascii="宋体" w:hAnsi="宋体" w:eastAsia="宋体" w:cs="宋体"/>
                <w:sz w:val="18"/>
                <w:szCs w:val="18"/>
              </w:rPr>
            </w:pPr>
            <w:r>
              <w:rPr>
                <w:rFonts w:ascii="宋体" w:hAnsi="宋体" w:eastAsia="宋体" w:cs="宋体"/>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450A11A8">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542509">
            <w:pPr>
              <w:spacing w:line="240" w:lineRule="exact"/>
              <w:jc w:val="right"/>
              <w:rPr>
                <w:rFonts w:ascii="宋体" w:hAnsi="宋体" w:eastAsia="宋体" w:cs="宋体"/>
                <w:sz w:val="18"/>
                <w:szCs w:val="18"/>
              </w:rPr>
            </w:pPr>
          </w:p>
        </w:tc>
      </w:tr>
      <w:tr w14:paraId="672868DE">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428039D">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1F6EE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EDAD92">
            <w:pPr>
              <w:spacing w:line="240" w:lineRule="exact"/>
              <w:jc w:val="right"/>
              <w:rPr>
                <w:rFonts w:ascii="宋体" w:hAnsi="宋体" w:eastAsia="宋体" w:cs="宋体"/>
                <w:sz w:val="18"/>
                <w:szCs w:val="18"/>
              </w:rPr>
            </w:pPr>
          </w:p>
        </w:tc>
      </w:tr>
      <w:tr w14:paraId="53F1AA9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4BFAA5">
            <w:pPr>
              <w:spacing w:before="40" w:after="40" w:line="240" w:lineRule="exact"/>
              <w:rPr>
                <w:rFonts w:ascii="宋体" w:hAnsi="宋体" w:eastAsia="宋体" w:cs="宋体"/>
                <w:sz w:val="18"/>
                <w:szCs w:val="18"/>
              </w:rPr>
            </w:pPr>
            <w:r>
              <w:rPr>
                <w:rFonts w:ascii="宋体" w:hAnsi="宋体" w:eastAsia="宋体" w:cs="宋体"/>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41DB584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6D7129C">
            <w:pPr>
              <w:spacing w:line="240" w:lineRule="exact"/>
              <w:jc w:val="right"/>
              <w:rPr>
                <w:rFonts w:ascii="宋体" w:hAnsi="宋体" w:eastAsia="宋体" w:cs="宋体"/>
                <w:sz w:val="18"/>
                <w:szCs w:val="18"/>
              </w:rPr>
            </w:pPr>
          </w:p>
        </w:tc>
      </w:tr>
      <w:tr w14:paraId="13463CD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2A1401">
            <w:pPr>
              <w:spacing w:before="40" w:after="40" w:line="240" w:lineRule="exact"/>
              <w:rPr>
                <w:rFonts w:ascii="宋体" w:hAnsi="宋体" w:eastAsia="宋体" w:cs="宋体"/>
                <w:sz w:val="18"/>
                <w:szCs w:val="18"/>
              </w:rPr>
            </w:pPr>
            <w:r>
              <w:rPr>
                <w:rFonts w:ascii="宋体" w:hAnsi="宋体" w:eastAsia="宋体" w:cs="宋体"/>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5E4E708F">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410415">
            <w:pPr>
              <w:spacing w:line="240" w:lineRule="exact"/>
              <w:jc w:val="right"/>
              <w:rPr>
                <w:rFonts w:ascii="宋体" w:hAnsi="宋体" w:eastAsia="宋体" w:cs="宋体"/>
                <w:sz w:val="18"/>
                <w:szCs w:val="18"/>
              </w:rPr>
            </w:pPr>
          </w:p>
        </w:tc>
      </w:tr>
      <w:tr w14:paraId="7EB98C4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99128D">
            <w:pPr>
              <w:spacing w:before="40" w:after="40" w:line="240" w:lineRule="exact"/>
              <w:rPr>
                <w:rFonts w:ascii="宋体" w:hAnsi="宋体" w:eastAsia="宋体" w:cs="宋体"/>
                <w:sz w:val="18"/>
                <w:szCs w:val="18"/>
              </w:rPr>
            </w:pPr>
            <w:r>
              <w:rPr>
                <w:rFonts w:ascii="宋体" w:hAnsi="宋体" w:eastAsia="宋体" w:cs="宋体"/>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73695AC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CD516D">
            <w:pPr>
              <w:spacing w:line="240" w:lineRule="exact"/>
              <w:jc w:val="right"/>
              <w:rPr>
                <w:rFonts w:ascii="宋体" w:hAnsi="宋体" w:eastAsia="宋体" w:cs="宋体"/>
                <w:sz w:val="18"/>
                <w:szCs w:val="18"/>
              </w:rPr>
            </w:pPr>
          </w:p>
        </w:tc>
      </w:tr>
    </w:tbl>
    <w:p w14:paraId="3A35B894">
      <w:pPr>
        <w:spacing w:before="100" w:after="100" w:line="240" w:lineRule="exact"/>
      </w:pPr>
      <w:r>
        <w:rPr>
          <w:rFonts w:ascii="宋体" w:hAnsi="宋体" w:eastAsia="宋体" w:cs="宋体"/>
          <w:sz w:val="18"/>
          <w:szCs w:val="18"/>
        </w:rPr>
        <w:t>企业合并中承担的被合并方的或有负债：</w:t>
      </w:r>
    </w:p>
    <w:p w14:paraId="4EA53237">
      <w:pPr>
        <w:spacing w:before="100" w:after="100" w:line="240" w:lineRule="exact"/>
      </w:pPr>
      <w:r>
        <w:rPr>
          <w:rFonts w:ascii="宋体" w:hAnsi="宋体" w:eastAsia="宋体" w:cs="宋体"/>
          <w:sz w:val="18"/>
          <w:szCs w:val="18"/>
        </w:rPr>
        <w:t>其他说明：</w:t>
      </w:r>
    </w:p>
    <w:p w14:paraId="3284354F">
      <w:pPr>
        <w:pStyle w:val="3"/>
        <w:spacing w:after="100" w:line="280" w:lineRule="exact"/>
        <w:jc w:val="left"/>
        <w:rPr>
          <w:rFonts w:ascii="宋体" w:hAnsi="宋体" w:cs="宋体"/>
          <w:b/>
          <w:bCs/>
        </w:rPr>
      </w:pPr>
      <w:bookmarkStart w:id="407" w:name="_Toc989296"/>
      <w:r>
        <w:rPr>
          <w:rFonts w:ascii="宋体" w:hAnsi="宋体" w:cs="宋体"/>
          <w:b/>
          <w:bCs/>
        </w:rPr>
        <w:t>3、反向购买</w:t>
      </w:r>
      <w:bookmarkEnd w:id="407"/>
    </w:p>
    <w:p w14:paraId="6A033103">
      <w:pPr>
        <w:spacing w:before="100" w:after="100" w:line="240" w:lineRule="exact"/>
      </w:pPr>
      <w:r>
        <w:rPr>
          <w:rFonts w:ascii="宋体" w:hAnsi="宋体" w:eastAsia="宋体" w:cs="宋体"/>
          <w:sz w:val="18"/>
          <w:szCs w:val="18"/>
        </w:rPr>
        <w:t>交易基本信息、交易构成反向购买的依据、上市公司保留的资产、负债是否构成业务及其依据、合并成本的确定、按照权益性交易处理时调整权益的金额及其计算：</w:t>
      </w:r>
    </w:p>
    <w:p w14:paraId="177C42D8">
      <w:pPr>
        <w:pStyle w:val="3"/>
        <w:spacing w:after="100" w:line="280" w:lineRule="exact"/>
        <w:jc w:val="left"/>
        <w:rPr>
          <w:rFonts w:ascii="宋体" w:hAnsi="宋体" w:cs="宋体"/>
          <w:b/>
          <w:bCs/>
        </w:rPr>
      </w:pPr>
      <w:bookmarkStart w:id="408" w:name="_Toc989297"/>
      <w:r>
        <w:rPr>
          <w:rFonts w:ascii="宋体" w:hAnsi="宋体" w:cs="宋体"/>
          <w:b/>
          <w:bCs/>
        </w:rPr>
        <w:t>4、处置子公司</w:t>
      </w:r>
      <w:bookmarkEnd w:id="408"/>
    </w:p>
    <w:p w14:paraId="151D0A86">
      <w:pPr>
        <w:spacing w:before="100" w:after="100" w:line="240" w:lineRule="exact"/>
        <w:rPr>
          <w:rFonts w:ascii="宋体" w:hAnsi="宋体" w:eastAsia="宋体" w:cs="宋体"/>
          <w:sz w:val="18"/>
          <w:szCs w:val="18"/>
        </w:rPr>
      </w:pPr>
      <w:r>
        <w:rPr>
          <w:rFonts w:ascii="宋体" w:hAnsi="宋体" w:eastAsia="宋体" w:cs="宋体"/>
          <w:sz w:val="18"/>
          <w:szCs w:val="18"/>
        </w:rPr>
        <w:t>本期是否存在丧失子公司控制权的交易或事项</w:t>
      </w:r>
    </w:p>
    <w:p w14:paraId="1629770C">
      <w:pPr>
        <w:spacing w:before="100"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4FC8BBF5">
      <w:pPr>
        <w:spacing w:before="100" w:after="100" w:line="240" w:lineRule="exact"/>
        <w:rPr>
          <w:rFonts w:ascii="宋体" w:hAnsi="宋体" w:eastAsia="宋体" w:cs="宋体"/>
          <w:sz w:val="18"/>
          <w:szCs w:val="18"/>
        </w:rPr>
      </w:pPr>
      <w:r>
        <w:rPr>
          <w:rFonts w:ascii="宋体" w:hAnsi="宋体" w:eastAsia="宋体" w:cs="宋体"/>
          <w:sz w:val="18"/>
          <w:szCs w:val="18"/>
        </w:rPr>
        <w:t>是否存在通过多次交易分步处置对子公司投资且在本期丧失控制权的情形</w:t>
      </w:r>
    </w:p>
    <w:p w14:paraId="62DF9379">
      <w:pPr>
        <w:spacing w:before="100" w:after="100" w:line="240" w:lineRule="exac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36297142">
      <w:pPr>
        <w:pStyle w:val="3"/>
        <w:spacing w:after="100" w:line="280" w:lineRule="exact"/>
        <w:jc w:val="left"/>
        <w:rPr>
          <w:rFonts w:ascii="宋体" w:hAnsi="宋体" w:cs="宋体"/>
          <w:b/>
          <w:bCs/>
        </w:rPr>
      </w:pPr>
      <w:bookmarkStart w:id="409" w:name="_Toc989298"/>
      <w:r>
        <w:rPr>
          <w:rFonts w:ascii="宋体" w:hAnsi="宋体" w:cs="宋体"/>
          <w:b/>
          <w:bCs/>
        </w:rPr>
        <w:t>5、其他原因的合并范围变动</w:t>
      </w:r>
      <w:bookmarkEnd w:id="409"/>
    </w:p>
    <w:p w14:paraId="3F8D8FF2">
      <w:pPr>
        <w:spacing w:before="100" w:after="100" w:line="240" w:lineRule="exact"/>
      </w:pPr>
      <w:r>
        <w:rPr>
          <w:rFonts w:ascii="宋体" w:hAnsi="宋体" w:eastAsia="宋体" w:cs="宋体"/>
          <w:sz w:val="18"/>
          <w:szCs w:val="18"/>
        </w:rPr>
        <w:t>说明其他原因导致的合并范围变动（如，新设子公司、清算子公司等）及其相关情况：</w:t>
      </w:r>
    </w:p>
    <w:p w14:paraId="5DA62933">
      <w:pPr>
        <w:pStyle w:val="3"/>
        <w:spacing w:after="100" w:line="280" w:lineRule="exact"/>
        <w:jc w:val="left"/>
      </w:pPr>
      <w:bookmarkStart w:id="410" w:name="_Toc989299"/>
      <w:r>
        <w:rPr>
          <w:rFonts w:ascii="宋体" w:hAnsi="宋体" w:cs="宋体"/>
          <w:b/>
          <w:bCs/>
        </w:rPr>
        <w:t>6、其他</w:t>
      </w:r>
      <w:bookmarkEnd w:id="410"/>
    </w:p>
    <w:p w14:paraId="4A878097">
      <w:pPr>
        <w:pStyle w:val="2"/>
        <w:spacing w:before="300" w:after="300" w:line="320" w:lineRule="exact"/>
        <w:rPr>
          <w:rFonts w:ascii="宋体" w:hAnsi="宋体" w:eastAsia="宋体" w:cs="宋体"/>
          <w:b/>
          <w:bCs/>
          <w:sz w:val="24"/>
          <w:szCs w:val="24"/>
        </w:rPr>
      </w:pPr>
      <w:bookmarkStart w:id="411" w:name="_Toc989300"/>
      <w:r>
        <w:rPr>
          <w:rFonts w:ascii="宋体" w:hAnsi="宋体" w:eastAsia="宋体" w:cs="宋体"/>
          <w:b/>
          <w:bCs/>
          <w:sz w:val="24"/>
          <w:szCs w:val="24"/>
        </w:rPr>
        <w:t>十、在其他主体中的权益</w:t>
      </w:r>
      <w:bookmarkEnd w:id="411"/>
    </w:p>
    <w:p w14:paraId="4B5CEC62">
      <w:pPr>
        <w:pStyle w:val="3"/>
        <w:spacing w:after="100" w:line="280" w:lineRule="exact"/>
        <w:jc w:val="left"/>
        <w:rPr>
          <w:rFonts w:ascii="宋体" w:hAnsi="宋体" w:cs="宋体"/>
          <w:b/>
          <w:bCs/>
        </w:rPr>
      </w:pPr>
      <w:bookmarkStart w:id="412" w:name="_Toc989301"/>
      <w:r>
        <w:rPr>
          <w:rFonts w:ascii="宋体" w:hAnsi="宋体" w:cs="宋体"/>
          <w:b/>
          <w:bCs/>
        </w:rPr>
        <w:t>1、在子公司中的权益</w:t>
      </w:r>
      <w:bookmarkEnd w:id="412"/>
    </w:p>
    <w:p w14:paraId="46E54909">
      <w:pPr>
        <w:keepNext/>
        <w:keepLines/>
        <w:spacing w:before="300" w:after="100" w:line="280" w:lineRule="exact"/>
        <w:outlineLvl w:val="3"/>
        <w:rPr>
          <w:rFonts w:ascii="宋体" w:hAnsi="宋体" w:eastAsia="宋体" w:cs="宋体"/>
          <w:b/>
          <w:bCs/>
          <w:sz w:val="18"/>
          <w:szCs w:val="18"/>
        </w:rPr>
      </w:pPr>
      <w:bookmarkStart w:id="413" w:name="_Toc989302"/>
      <w:r>
        <w:rPr>
          <w:rFonts w:ascii="宋体" w:hAnsi="宋体" w:eastAsia="宋体" w:cs="宋体"/>
          <w:b/>
          <w:bCs/>
          <w:sz w:val="18"/>
          <w:szCs w:val="18"/>
        </w:rPr>
        <w:t>（1） 企业集团的构成</w:t>
      </w:r>
      <w:bookmarkEnd w:id="413"/>
    </w:p>
    <w:p w14:paraId="652FCB8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4"/>
        <w:gridCol w:w="1205"/>
        <w:gridCol w:w="1205"/>
        <w:gridCol w:w="1205"/>
        <w:gridCol w:w="1205"/>
        <w:gridCol w:w="1205"/>
        <w:gridCol w:w="1205"/>
        <w:gridCol w:w="1205"/>
      </w:tblGrid>
      <w:tr w14:paraId="6A0AD33E">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9F5A58">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D59E889">
            <w:pPr>
              <w:spacing w:before="40" w:after="40" w:line="240" w:lineRule="exact"/>
              <w:jc w:val="center"/>
              <w:rPr>
                <w:rFonts w:ascii="宋体" w:hAnsi="宋体" w:eastAsia="宋体" w:cs="宋体"/>
                <w:sz w:val="18"/>
                <w:szCs w:val="18"/>
              </w:rPr>
            </w:pPr>
            <w:r>
              <w:rPr>
                <w:rFonts w:ascii="宋体" w:hAnsi="宋体" w:eastAsia="宋体" w:cs="宋体"/>
                <w:sz w:val="18"/>
                <w:szCs w:val="18"/>
              </w:rPr>
              <w:t>注册资本</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D3AD8A9">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596C633">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3E87A5">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241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DE674BF">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1998E1">
            <w:pPr>
              <w:spacing w:before="40" w:after="40" w:line="240" w:lineRule="exact"/>
              <w:jc w:val="center"/>
              <w:rPr>
                <w:rFonts w:ascii="宋体" w:hAnsi="宋体" w:eastAsia="宋体" w:cs="宋体"/>
                <w:sz w:val="18"/>
                <w:szCs w:val="18"/>
              </w:rPr>
            </w:pPr>
            <w:r>
              <w:rPr>
                <w:rFonts w:ascii="宋体" w:hAnsi="宋体" w:eastAsia="宋体" w:cs="宋体"/>
                <w:sz w:val="18"/>
                <w:szCs w:val="18"/>
              </w:rPr>
              <w:t>取得方式</w:t>
            </w:r>
          </w:p>
        </w:tc>
      </w:tr>
      <w:tr w14:paraId="3B338B24">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56D3C1"/>
        </w:tc>
        <w:tc>
          <w:tcPr>
            <w:tcW w:w="1205" w:type="dxa"/>
            <w:vMerge w:val="continue"/>
            <w:tcBorders>
              <w:top w:val="single" w:color="auto" w:sz="2" w:space="0"/>
              <w:left w:val="single" w:color="auto" w:sz="2" w:space="0"/>
              <w:bottom w:val="single" w:color="auto" w:sz="2" w:space="0"/>
              <w:right w:val="single" w:color="auto" w:sz="2" w:space="0"/>
            </w:tcBorders>
            <w:vAlign w:val="center"/>
          </w:tcPr>
          <w:p w14:paraId="6A0671F8"/>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4F35A7"/>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C9F320"/>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780F9F4"/>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A01CB9F">
            <w:pPr>
              <w:spacing w:before="40" w:after="40" w:line="240" w:lineRule="exact"/>
              <w:jc w:val="center"/>
              <w:rPr>
                <w:rFonts w:ascii="宋体" w:hAnsi="宋体" w:eastAsia="宋体" w:cs="宋体"/>
                <w:sz w:val="18"/>
                <w:szCs w:val="18"/>
              </w:rPr>
            </w:pPr>
            <w:r>
              <w:rPr>
                <w:rFonts w:ascii="宋体" w:hAnsi="宋体" w:eastAsia="宋体" w:cs="宋体"/>
                <w:sz w:val="18"/>
                <w:szCs w:val="18"/>
              </w:rPr>
              <w:t>直接</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1ED85A1">
            <w:pPr>
              <w:spacing w:before="40" w:after="40" w:line="240" w:lineRule="exact"/>
              <w:jc w:val="center"/>
              <w:rPr>
                <w:rFonts w:ascii="宋体" w:hAnsi="宋体" w:eastAsia="宋体" w:cs="宋体"/>
                <w:sz w:val="18"/>
                <w:szCs w:val="18"/>
              </w:rPr>
            </w:pPr>
            <w:r>
              <w:rPr>
                <w:rFonts w:ascii="宋体" w:hAnsi="宋体" w:eastAsia="宋体" w:cs="宋体"/>
                <w:sz w:val="18"/>
                <w:szCs w:val="18"/>
              </w:rPr>
              <w:t>间接</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2C3680"/>
        </w:tc>
      </w:tr>
      <w:tr w14:paraId="7A2DF5D1">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36DB839">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63414A42">
            <w:pPr>
              <w:spacing w:line="240" w:lineRule="exact"/>
              <w:jc w:val="right"/>
              <w:rPr>
                <w:rFonts w:ascii="宋体" w:hAnsi="宋体" w:eastAsia="宋体" w:cs="宋体"/>
                <w:sz w:val="18"/>
                <w:szCs w:val="18"/>
              </w:rPr>
            </w:pPr>
            <w:r>
              <w:rPr>
                <w:rFonts w:ascii="宋体" w:hAnsi="宋体" w:eastAsia="宋体" w:cs="宋体"/>
                <w:sz w:val="18"/>
                <w:szCs w:val="18"/>
              </w:rPr>
              <w:t>380,000,000.00</w:t>
            </w:r>
          </w:p>
        </w:tc>
        <w:tc>
          <w:tcPr>
            <w:tcW w:w="1205" w:type="dxa"/>
            <w:tcBorders>
              <w:top w:val="single" w:color="auto" w:sz="2" w:space="0"/>
              <w:left w:val="single" w:color="auto" w:sz="2" w:space="0"/>
              <w:bottom w:val="single" w:color="auto" w:sz="2" w:space="0"/>
              <w:right w:val="single" w:color="auto" w:sz="2" w:space="0"/>
            </w:tcBorders>
            <w:vAlign w:val="center"/>
          </w:tcPr>
          <w:p w14:paraId="5ACAA0DD">
            <w:pPr>
              <w:spacing w:line="240" w:lineRule="exact"/>
              <w:rPr>
                <w:rFonts w:ascii="宋体" w:hAnsi="宋体" w:eastAsia="宋体" w:cs="宋体"/>
                <w:sz w:val="18"/>
                <w:szCs w:val="18"/>
              </w:rPr>
            </w:pPr>
            <w:r>
              <w:rPr>
                <w:rFonts w:ascii="宋体" w:hAnsi="宋体" w:eastAsia="宋体" w:cs="宋体"/>
                <w:sz w:val="18"/>
                <w:szCs w:val="18"/>
              </w:rPr>
              <w:t>拉萨市</w:t>
            </w:r>
          </w:p>
        </w:tc>
        <w:tc>
          <w:tcPr>
            <w:tcW w:w="1205" w:type="dxa"/>
            <w:tcBorders>
              <w:top w:val="single" w:color="auto" w:sz="2" w:space="0"/>
              <w:left w:val="single" w:color="auto" w:sz="2" w:space="0"/>
              <w:bottom w:val="single" w:color="auto" w:sz="2" w:space="0"/>
              <w:right w:val="single" w:color="auto" w:sz="2" w:space="0"/>
            </w:tcBorders>
            <w:vAlign w:val="center"/>
          </w:tcPr>
          <w:p w14:paraId="2A8A24CA">
            <w:pPr>
              <w:spacing w:line="240" w:lineRule="exact"/>
              <w:rPr>
                <w:rFonts w:ascii="宋体" w:hAnsi="宋体" w:eastAsia="宋体" w:cs="宋体"/>
                <w:sz w:val="18"/>
                <w:szCs w:val="18"/>
              </w:rPr>
            </w:pPr>
            <w:r>
              <w:rPr>
                <w:rFonts w:ascii="宋体" w:hAnsi="宋体" w:eastAsia="宋体" w:cs="宋体"/>
                <w:sz w:val="18"/>
                <w:szCs w:val="18"/>
              </w:rPr>
              <w:t>拉萨市色拉路36 号</w:t>
            </w:r>
          </w:p>
        </w:tc>
        <w:tc>
          <w:tcPr>
            <w:tcW w:w="1205" w:type="dxa"/>
            <w:tcBorders>
              <w:top w:val="single" w:color="auto" w:sz="2" w:space="0"/>
              <w:left w:val="single" w:color="auto" w:sz="2" w:space="0"/>
              <w:bottom w:val="single" w:color="auto" w:sz="2" w:space="0"/>
              <w:right w:val="single" w:color="auto" w:sz="2" w:space="0"/>
            </w:tcBorders>
            <w:vAlign w:val="center"/>
          </w:tcPr>
          <w:p w14:paraId="10B21F72">
            <w:pPr>
              <w:spacing w:line="240" w:lineRule="exact"/>
              <w:rPr>
                <w:rFonts w:ascii="宋体" w:hAnsi="宋体" w:eastAsia="宋体" w:cs="宋体"/>
                <w:sz w:val="18"/>
                <w:szCs w:val="18"/>
              </w:rPr>
            </w:pPr>
            <w:r>
              <w:rPr>
                <w:rFonts w:ascii="宋体" w:hAnsi="宋体" w:eastAsia="宋体" w:cs="宋体"/>
                <w:sz w:val="18"/>
                <w:szCs w:val="18"/>
              </w:rPr>
              <w:t>啤酒生产、销售</w:t>
            </w:r>
          </w:p>
        </w:tc>
        <w:tc>
          <w:tcPr>
            <w:tcW w:w="1205" w:type="dxa"/>
            <w:tcBorders>
              <w:top w:val="single" w:color="auto" w:sz="2" w:space="0"/>
              <w:left w:val="single" w:color="auto" w:sz="2" w:space="0"/>
              <w:bottom w:val="single" w:color="auto" w:sz="2" w:space="0"/>
              <w:right w:val="single" w:color="auto" w:sz="2" w:space="0"/>
            </w:tcBorders>
            <w:vAlign w:val="center"/>
          </w:tcPr>
          <w:p w14:paraId="1C6D0586">
            <w:pPr>
              <w:spacing w:line="240" w:lineRule="exact"/>
              <w:jc w:val="right"/>
              <w:rPr>
                <w:rFonts w:ascii="宋体" w:hAnsi="宋体" w:eastAsia="宋体" w:cs="宋体"/>
                <w:sz w:val="18"/>
                <w:szCs w:val="18"/>
              </w:rPr>
            </w:pPr>
            <w:r>
              <w:rPr>
                <w:rFonts w:ascii="宋体" w:hAnsi="宋体" w:eastAsia="宋体" w:cs="宋体"/>
                <w:sz w:val="18"/>
                <w:szCs w:val="18"/>
              </w:rPr>
              <w:t>50.00%</w:t>
            </w:r>
          </w:p>
        </w:tc>
        <w:tc>
          <w:tcPr>
            <w:tcW w:w="1205" w:type="dxa"/>
            <w:tcBorders>
              <w:top w:val="single" w:color="auto" w:sz="2" w:space="0"/>
              <w:left w:val="single" w:color="auto" w:sz="2" w:space="0"/>
              <w:bottom w:val="single" w:color="auto" w:sz="2" w:space="0"/>
              <w:right w:val="single" w:color="auto" w:sz="2" w:space="0"/>
            </w:tcBorders>
            <w:vAlign w:val="center"/>
          </w:tcPr>
          <w:p w14:paraId="1D79A67F">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205" w:type="dxa"/>
            <w:tcBorders>
              <w:top w:val="single" w:color="auto" w:sz="2" w:space="0"/>
              <w:left w:val="single" w:color="auto" w:sz="2" w:space="0"/>
              <w:bottom w:val="single" w:color="auto" w:sz="2" w:space="0"/>
              <w:right w:val="single" w:color="auto" w:sz="2" w:space="0"/>
            </w:tcBorders>
            <w:vAlign w:val="center"/>
          </w:tcPr>
          <w:p w14:paraId="5EF50E2E">
            <w:pPr>
              <w:spacing w:line="240" w:lineRule="exact"/>
              <w:rPr>
                <w:rFonts w:ascii="宋体" w:hAnsi="宋体" w:eastAsia="宋体" w:cs="宋体"/>
                <w:sz w:val="18"/>
                <w:szCs w:val="18"/>
              </w:rPr>
            </w:pPr>
            <w:r>
              <w:rPr>
                <w:rFonts w:ascii="宋体" w:hAnsi="宋体" w:eastAsia="宋体" w:cs="宋体"/>
                <w:sz w:val="18"/>
                <w:szCs w:val="18"/>
              </w:rPr>
              <w:t>投资设立</w:t>
            </w:r>
          </w:p>
        </w:tc>
      </w:tr>
      <w:tr w14:paraId="331E3C58">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03C3D79">
            <w:pPr>
              <w:spacing w:line="240" w:lineRule="exact"/>
              <w:rPr>
                <w:rFonts w:ascii="宋体" w:hAnsi="宋体" w:eastAsia="宋体" w:cs="宋体"/>
                <w:sz w:val="18"/>
                <w:szCs w:val="18"/>
              </w:rPr>
            </w:pPr>
            <w:r>
              <w:rPr>
                <w:rFonts w:ascii="宋体" w:hAnsi="宋体" w:eastAsia="宋体" w:cs="宋体"/>
                <w:sz w:val="18"/>
                <w:szCs w:val="18"/>
              </w:rPr>
              <w:t>西藏藏红花生物科技开发有限公司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320F3030">
            <w:pPr>
              <w:spacing w:line="240" w:lineRule="exact"/>
              <w:jc w:val="right"/>
              <w:rPr>
                <w:rFonts w:ascii="宋体" w:hAnsi="宋体" w:eastAsia="宋体" w:cs="宋体"/>
                <w:sz w:val="18"/>
                <w:szCs w:val="18"/>
              </w:rPr>
            </w:pPr>
            <w:r>
              <w:rPr>
                <w:rFonts w:ascii="宋体" w:hAnsi="宋体" w:eastAsia="宋体" w:cs="宋体"/>
                <w:sz w:val="18"/>
                <w:szCs w:val="18"/>
              </w:rPr>
              <w:t>5,000,000.00</w:t>
            </w:r>
          </w:p>
        </w:tc>
        <w:tc>
          <w:tcPr>
            <w:tcW w:w="1205" w:type="dxa"/>
            <w:tcBorders>
              <w:top w:val="single" w:color="auto" w:sz="2" w:space="0"/>
              <w:left w:val="single" w:color="auto" w:sz="2" w:space="0"/>
              <w:bottom w:val="single" w:color="auto" w:sz="2" w:space="0"/>
              <w:right w:val="single" w:color="auto" w:sz="2" w:space="0"/>
            </w:tcBorders>
            <w:vAlign w:val="center"/>
          </w:tcPr>
          <w:p w14:paraId="0BB86421">
            <w:pPr>
              <w:spacing w:line="240" w:lineRule="exact"/>
              <w:rPr>
                <w:rFonts w:ascii="宋体" w:hAnsi="宋体" w:eastAsia="宋体" w:cs="宋体"/>
                <w:sz w:val="18"/>
                <w:szCs w:val="18"/>
              </w:rPr>
            </w:pPr>
            <w:r>
              <w:rPr>
                <w:rFonts w:ascii="宋体" w:hAnsi="宋体" w:eastAsia="宋体" w:cs="宋体"/>
                <w:sz w:val="18"/>
                <w:szCs w:val="18"/>
              </w:rPr>
              <w:t>拉萨市</w:t>
            </w:r>
          </w:p>
        </w:tc>
        <w:tc>
          <w:tcPr>
            <w:tcW w:w="1205" w:type="dxa"/>
            <w:tcBorders>
              <w:top w:val="single" w:color="auto" w:sz="2" w:space="0"/>
              <w:left w:val="single" w:color="auto" w:sz="2" w:space="0"/>
              <w:bottom w:val="single" w:color="auto" w:sz="2" w:space="0"/>
              <w:right w:val="single" w:color="auto" w:sz="2" w:space="0"/>
            </w:tcBorders>
            <w:vAlign w:val="center"/>
          </w:tcPr>
          <w:p w14:paraId="3BE5EC6D">
            <w:pPr>
              <w:spacing w:line="240" w:lineRule="exact"/>
              <w:rPr>
                <w:rFonts w:ascii="宋体" w:hAnsi="宋体" w:eastAsia="宋体" w:cs="宋体"/>
                <w:sz w:val="18"/>
                <w:szCs w:val="18"/>
              </w:rPr>
            </w:pPr>
            <w:r>
              <w:rPr>
                <w:rFonts w:ascii="宋体" w:hAnsi="宋体" w:eastAsia="宋体" w:cs="宋体"/>
                <w:sz w:val="18"/>
                <w:szCs w:val="18"/>
              </w:rPr>
              <w:t>拉萨市色拉路36 号</w:t>
            </w:r>
          </w:p>
        </w:tc>
        <w:tc>
          <w:tcPr>
            <w:tcW w:w="1205" w:type="dxa"/>
            <w:tcBorders>
              <w:top w:val="single" w:color="auto" w:sz="2" w:space="0"/>
              <w:left w:val="single" w:color="auto" w:sz="2" w:space="0"/>
              <w:bottom w:val="single" w:color="auto" w:sz="2" w:space="0"/>
              <w:right w:val="single" w:color="auto" w:sz="2" w:space="0"/>
            </w:tcBorders>
            <w:vAlign w:val="center"/>
          </w:tcPr>
          <w:p w14:paraId="7EABF267">
            <w:pPr>
              <w:spacing w:line="240" w:lineRule="exact"/>
              <w:rPr>
                <w:rFonts w:ascii="宋体" w:hAnsi="宋体" w:eastAsia="宋体" w:cs="宋体"/>
                <w:sz w:val="18"/>
                <w:szCs w:val="18"/>
              </w:rPr>
            </w:pPr>
            <w:r>
              <w:rPr>
                <w:rFonts w:hint="eastAsia" w:ascii="宋体" w:hAnsi="宋体" w:eastAsia="宋体" w:cs="宋体"/>
                <w:sz w:val="18"/>
                <w:szCs w:val="18"/>
              </w:rPr>
              <w:t>啤酒</w:t>
            </w:r>
            <w:r>
              <w:rPr>
                <w:rFonts w:ascii="宋体" w:hAnsi="宋体" w:eastAsia="宋体" w:cs="宋体"/>
                <w:sz w:val="18"/>
                <w:szCs w:val="18"/>
              </w:rPr>
              <w:t>销售</w:t>
            </w:r>
          </w:p>
        </w:tc>
        <w:tc>
          <w:tcPr>
            <w:tcW w:w="1205" w:type="dxa"/>
            <w:tcBorders>
              <w:top w:val="single" w:color="auto" w:sz="2" w:space="0"/>
              <w:left w:val="single" w:color="auto" w:sz="2" w:space="0"/>
              <w:bottom w:val="single" w:color="auto" w:sz="2" w:space="0"/>
              <w:right w:val="single" w:color="auto" w:sz="2" w:space="0"/>
            </w:tcBorders>
            <w:vAlign w:val="center"/>
          </w:tcPr>
          <w:p w14:paraId="257F4D56">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1FC68FB8">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205" w:type="dxa"/>
            <w:tcBorders>
              <w:top w:val="single" w:color="auto" w:sz="2" w:space="0"/>
              <w:left w:val="single" w:color="auto" w:sz="2" w:space="0"/>
              <w:bottom w:val="single" w:color="auto" w:sz="2" w:space="0"/>
              <w:right w:val="single" w:color="auto" w:sz="2" w:space="0"/>
            </w:tcBorders>
            <w:vAlign w:val="center"/>
          </w:tcPr>
          <w:p w14:paraId="1F845785">
            <w:pPr>
              <w:spacing w:line="240" w:lineRule="exact"/>
              <w:rPr>
                <w:rFonts w:ascii="宋体" w:hAnsi="宋体" w:eastAsia="宋体" w:cs="宋体"/>
                <w:sz w:val="18"/>
                <w:szCs w:val="18"/>
              </w:rPr>
            </w:pPr>
            <w:r>
              <w:rPr>
                <w:rFonts w:ascii="宋体" w:hAnsi="宋体" w:eastAsia="宋体" w:cs="宋体"/>
                <w:sz w:val="18"/>
                <w:szCs w:val="18"/>
              </w:rPr>
              <w:t>投资设立</w:t>
            </w:r>
          </w:p>
        </w:tc>
      </w:tr>
      <w:tr w14:paraId="2168AFF8">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9FDCA32">
            <w:pPr>
              <w:spacing w:line="240" w:lineRule="exact"/>
              <w:rPr>
                <w:rFonts w:ascii="宋体" w:hAnsi="宋体" w:eastAsia="宋体" w:cs="宋体"/>
                <w:sz w:val="18"/>
                <w:szCs w:val="18"/>
              </w:rPr>
            </w:pPr>
            <w:r>
              <w:rPr>
                <w:rFonts w:ascii="宋体" w:hAnsi="宋体" w:eastAsia="宋体" w:cs="宋体"/>
                <w:sz w:val="18"/>
                <w:szCs w:val="18"/>
              </w:rPr>
              <w:t>西藏日喀则市圣源啤酒有限公司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0842ABEC">
            <w:pPr>
              <w:spacing w:line="240" w:lineRule="exact"/>
              <w:jc w:val="right"/>
              <w:rPr>
                <w:rFonts w:ascii="宋体" w:hAnsi="宋体" w:eastAsia="宋体" w:cs="宋体"/>
                <w:sz w:val="18"/>
                <w:szCs w:val="18"/>
              </w:rPr>
            </w:pPr>
            <w:r>
              <w:rPr>
                <w:rFonts w:ascii="宋体" w:hAnsi="宋体" w:eastAsia="宋体" w:cs="宋体"/>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00CA225A">
            <w:pPr>
              <w:spacing w:line="240" w:lineRule="exact"/>
              <w:rPr>
                <w:rFonts w:ascii="宋体" w:hAnsi="宋体" w:eastAsia="宋体" w:cs="宋体"/>
                <w:sz w:val="18"/>
                <w:szCs w:val="18"/>
              </w:rPr>
            </w:pPr>
            <w:r>
              <w:rPr>
                <w:rFonts w:ascii="宋体" w:hAnsi="宋体" w:eastAsia="宋体" w:cs="宋体"/>
                <w:sz w:val="18"/>
                <w:szCs w:val="18"/>
              </w:rPr>
              <w:t>日喀则市</w:t>
            </w:r>
          </w:p>
        </w:tc>
        <w:tc>
          <w:tcPr>
            <w:tcW w:w="1205" w:type="dxa"/>
            <w:tcBorders>
              <w:top w:val="single" w:color="auto" w:sz="2" w:space="0"/>
              <w:left w:val="single" w:color="auto" w:sz="2" w:space="0"/>
              <w:bottom w:val="single" w:color="auto" w:sz="2" w:space="0"/>
              <w:right w:val="single" w:color="auto" w:sz="2" w:space="0"/>
            </w:tcBorders>
            <w:vAlign w:val="center"/>
          </w:tcPr>
          <w:p w14:paraId="65949136">
            <w:pPr>
              <w:spacing w:line="240" w:lineRule="exact"/>
              <w:rPr>
                <w:rFonts w:ascii="宋体" w:hAnsi="宋体" w:eastAsia="宋体" w:cs="宋体"/>
                <w:sz w:val="18"/>
                <w:szCs w:val="18"/>
              </w:rPr>
            </w:pPr>
            <w:r>
              <w:rPr>
                <w:rFonts w:ascii="宋体" w:hAnsi="宋体" w:eastAsia="宋体" w:cs="宋体"/>
                <w:sz w:val="18"/>
                <w:szCs w:val="18"/>
              </w:rPr>
              <w:t>日喀则市东郊工业园区</w:t>
            </w:r>
          </w:p>
        </w:tc>
        <w:tc>
          <w:tcPr>
            <w:tcW w:w="1205" w:type="dxa"/>
            <w:tcBorders>
              <w:top w:val="single" w:color="auto" w:sz="2" w:space="0"/>
              <w:left w:val="single" w:color="auto" w:sz="2" w:space="0"/>
              <w:bottom w:val="single" w:color="auto" w:sz="2" w:space="0"/>
              <w:right w:val="single" w:color="auto" w:sz="2" w:space="0"/>
            </w:tcBorders>
            <w:vAlign w:val="center"/>
          </w:tcPr>
          <w:p w14:paraId="0F93BF81">
            <w:pPr>
              <w:spacing w:line="240" w:lineRule="exact"/>
              <w:rPr>
                <w:rFonts w:ascii="宋体" w:hAnsi="宋体" w:eastAsia="宋体" w:cs="宋体"/>
                <w:sz w:val="18"/>
                <w:szCs w:val="18"/>
              </w:rPr>
            </w:pPr>
            <w:r>
              <w:rPr>
                <w:rFonts w:ascii="宋体" w:hAnsi="宋体" w:eastAsia="宋体" w:cs="宋体"/>
                <w:sz w:val="18"/>
                <w:szCs w:val="18"/>
              </w:rPr>
              <w:t>啤酒生产、销售</w:t>
            </w:r>
          </w:p>
        </w:tc>
        <w:tc>
          <w:tcPr>
            <w:tcW w:w="1205" w:type="dxa"/>
            <w:tcBorders>
              <w:top w:val="single" w:color="auto" w:sz="2" w:space="0"/>
              <w:left w:val="single" w:color="auto" w:sz="2" w:space="0"/>
              <w:bottom w:val="single" w:color="auto" w:sz="2" w:space="0"/>
              <w:right w:val="single" w:color="auto" w:sz="2" w:space="0"/>
            </w:tcBorders>
            <w:vAlign w:val="center"/>
          </w:tcPr>
          <w:p w14:paraId="3226729C">
            <w:pPr>
              <w:spacing w:line="240" w:lineRule="exact"/>
              <w:jc w:val="right"/>
              <w:rPr>
                <w:rFonts w:ascii="宋体" w:hAnsi="宋体" w:eastAsia="宋体" w:cs="宋体"/>
                <w:sz w:val="18"/>
                <w:szCs w:val="18"/>
              </w:rPr>
            </w:pPr>
            <w:r>
              <w:rPr>
                <w:rFonts w:ascii="宋体" w:hAnsi="宋体" w:eastAsia="宋体" w:cs="宋体"/>
                <w:sz w:val="18"/>
                <w:szCs w:val="18"/>
              </w:rPr>
              <w:t>70.00%</w:t>
            </w:r>
          </w:p>
        </w:tc>
        <w:tc>
          <w:tcPr>
            <w:tcW w:w="1205" w:type="dxa"/>
            <w:tcBorders>
              <w:top w:val="single" w:color="auto" w:sz="2" w:space="0"/>
              <w:left w:val="single" w:color="auto" w:sz="2" w:space="0"/>
              <w:bottom w:val="single" w:color="auto" w:sz="2" w:space="0"/>
              <w:right w:val="single" w:color="auto" w:sz="2" w:space="0"/>
            </w:tcBorders>
            <w:vAlign w:val="center"/>
          </w:tcPr>
          <w:p w14:paraId="08078DBD">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205" w:type="dxa"/>
            <w:tcBorders>
              <w:top w:val="single" w:color="auto" w:sz="2" w:space="0"/>
              <w:left w:val="single" w:color="auto" w:sz="2" w:space="0"/>
              <w:bottom w:val="single" w:color="auto" w:sz="2" w:space="0"/>
              <w:right w:val="single" w:color="auto" w:sz="2" w:space="0"/>
            </w:tcBorders>
            <w:vAlign w:val="center"/>
          </w:tcPr>
          <w:p w14:paraId="24D52E94">
            <w:pPr>
              <w:spacing w:line="240" w:lineRule="exact"/>
              <w:rPr>
                <w:rFonts w:ascii="宋体" w:hAnsi="宋体" w:eastAsia="宋体" w:cs="宋体"/>
                <w:sz w:val="18"/>
                <w:szCs w:val="18"/>
              </w:rPr>
            </w:pPr>
            <w:r>
              <w:rPr>
                <w:rFonts w:ascii="宋体" w:hAnsi="宋体" w:eastAsia="宋体" w:cs="宋体"/>
                <w:sz w:val="18"/>
                <w:szCs w:val="18"/>
              </w:rPr>
              <w:t>投资设立</w:t>
            </w:r>
          </w:p>
        </w:tc>
      </w:tr>
      <w:tr w14:paraId="0C8F828B">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8338C84">
            <w:pPr>
              <w:spacing w:line="240" w:lineRule="exact"/>
              <w:rPr>
                <w:rFonts w:ascii="宋体" w:hAnsi="宋体" w:eastAsia="宋体" w:cs="宋体"/>
                <w:sz w:val="18"/>
                <w:szCs w:val="18"/>
              </w:rPr>
            </w:pPr>
            <w:r>
              <w:rPr>
                <w:rFonts w:ascii="宋体" w:hAnsi="宋体" w:eastAsia="宋体" w:cs="宋体"/>
                <w:sz w:val="18"/>
                <w:szCs w:val="18"/>
              </w:rPr>
              <w:t>西藏银河信息产业有限公司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CA29278">
            <w:pPr>
              <w:spacing w:line="240" w:lineRule="exact"/>
              <w:jc w:val="right"/>
              <w:rPr>
                <w:rFonts w:ascii="宋体" w:hAnsi="宋体" w:eastAsia="宋体" w:cs="宋体"/>
                <w:sz w:val="18"/>
                <w:szCs w:val="18"/>
              </w:rPr>
            </w:pPr>
            <w:r>
              <w:rPr>
                <w:rFonts w:ascii="宋体" w:hAnsi="宋体" w:eastAsia="宋体" w:cs="宋体"/>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03DA02BA">
            <w:pPr>
              <w:spacing w:line="240" w:lineRule="exact"/>
              <w:rPr>
                <w:rFonts w:ascii="宋体" w:hAnsi="宋体" w:eastAsia="宋体" w:cs="宋体"/>
                <w:sz w:val="18"/>
                <w:szCs w:val="18"/>
              </w:rPr>
            </w:pPr>
            <w:r>
              <w:rPr>
                <w:rFonts w:ascii="宋体" w:hAnsi="宋体" w:eastAsia="宋体" w:cs="宋体"/>
                <w:sz w:val="18"/>
                <w:szCs w:val="18"/>
              </w:rPr>
              <w:t>拉萨市</w:t>
            </w:r>
          </w:p>
        </w:tc>
        <w:tc>
          <w:tcPr>
            <w:tcW w:w="1205" w:type="dxa"/>
            <w:tcBorders>
              <w:top w:val="single" w:color="auto" w:sz="2" w:space="0"/>
              <w:left w:val="single" w:color="auto" w:sz="2" w:space="0"/>
              <w:bottom w:val="single" w:color="auto" w:sz="2" w:space="0"/>
              <w:right w:val="single" w:color="auto" w:sz="2" w:space="0"/>
            </w:tcBorders>
            <w:vAlign w:val="center"/>
          </w:tcPr>
          <w:p w14:paraId="5DA75A3B">
            <w:pPr>
              <w:spacing w:line="240" w:lineRule="exact"/>
              <w:rPr>
                <w:rFonts w:ascii="宋体" w:hAnsi="宋体" w:eastAsia="宋体" w:cs="宋体"/>
                <w:sz w:val="18"/>
                <w:szCs w:val="18"/>
              </w:rPr>
            </w:pPr>
            <w:r>
              <w:rPr>
                <w:rFonts w:ascii="宋体" w:hAnsi="宋体" w:eastAsia="宋体" w:cs="宋体"/>
                <w:sz w:val="18"/>
                <w:szCs w:val="18"/>
              </w:rPr>
              <w:t>拉萨市达孜县乡镇企业局</w:t>
            </w:r>
          </w:p>
        </w:tc>
        <w:tc>
          <w:tcPr>
            <w:tcW w:w="1205" w:type="dxa"/>
            <w:tcBorders>
              <w:top w:val="single" w:color="auto" w:sz="2" w:space="0"/>
              <w:left w:val="single" w:color="auto" w:sz="2" w:space="0"/>
              <w:bottom w:val="single" w:color="auto" w:sz="2" w:space="0"/>
              <w:right w:val="single" w:color="auto" w:sz="2" w:space="0"/>
            </w:tcBorders>
            <w:vAlign w:val="center"/>
          </w:tcPr>
          <w:p w14:paraId="783D8044">
            <w:pPr>
              <w:spacing w:line="240" w:lineRule="exact"/>
              <w:rPr>
                <w:rFonts w:ascii="宋体" w:hAnsi="宋体" w:eastAsia="宋体" w:cs="宋体"/>
                <w:sz w:val="18"/>
                <w:szCs w:val="18"/>
              </w:rPr>
            </w:pPr>
            <w:r>
              <w:rPr>
                <w:rFonts w:ascii="宋体" w:hAnsi="宋体" w:eastAsia="宋体" w:cs="宋体"/>
                <w:sz w:val="18"/>
                <w:szCs w:val="18"/>
              </w:rPr>
              <w:t>其他</w:t>
            </w:r>
          </w:p>
        </w:tc>
        <w:tc>
          <w:tcPr>
            <w:tcW w:w="1205" w:type="dxa"/>
            <w:tcBorders>
              <w:top w:val="single" w:color="auto" w:sz="2" w:space="0"/>
              <w:left w:val="single" w:color="auto" w:sz="2" w:space="0"/>
              <w:bottom w:val="single" w:color="auto" w:sz="2" w:space="0"/>
              <w:right w:val="single" w:color="auto" w:sz="2" w:space="0"/>
            </w:tcBorders>
            <w:vAlign w:val="center"/>
          </w:tcPr>
          <w:p w14:paraId="6A6EB40D">
            <w:pPr>
              <w:spacing w:line="240" w:lineRule="exact"/>
              <w:jc w:val="right"/>
              <w:rPr>
                <w:rFonts w:ascii="宋体" w:hAnsi="宋体" w:eastAsia="宋体" w:cs="宋体"/>
                <w:sz w:val="18"/>
                <w:szCs w:val="18"/>
              </w:rPr>
            </w:pPr>
            <w:r>
              <w:rPr>
                <w:rFonts w:ascii="宋体" w:hAnsi="宋体" w:eastAsia="宋体" w:cs="宋体"/>
                <w:sz w:val="18"/>
                <w:szCs w:val="18"/>
              </w:rPr>
              <w:t>95.00%</w:t>
            </w:r>
          </w:p>
        </w:tc>
        <w:tc>
          <w:tcPr>
            <w:tcW w:w="1205" w:type="dxa"/>
            <w:tcBorders>
              <w:top w:val="single" w:color="auto" w:sz="2" w:space="0"/>
              <w:left w:val="single" w:color="auto" w:sz="2" w:space="0"/>
              <w:bottom w:val="single" w:color="auto" w:sz="2" w:space="0"/>
              <w:right w:val="single" w:color="auto" w:sz="2" w:space="0"/>
            </w:tcBorders>
            <w:vAlign w:val="center"/>
          </w:tcPr>
          <w:p w14:paraId="33FE4099">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205" w:type="dxa"/>
            <w:tcBorders>
              <w:top w:val="single" w:color="auto" w:sz="2" w:space="0"/>
              <w:left w:val="single" w:color="auto" w:sz="2" w:space="0"/>
              <w:bottom w:val="single" w:color="auto" w:sz="2" w:space="0"/>
              <w:right w:val="single" w:color="auto" w:sz="2" w:space="0"/>
            </w:tcBorders>
            <w:vAlign w:val="center"/>
          </w:tcPr>
          <w:p w14:paraId="3C00FA4F">
            <w:pPr>
              <w:spacing w:line="240" w:lineRule="exact"/>
              <w:rPr>
                <w:rFonts w:ascii="宋体" w:hAnsi="宋体" w:eastAsia="宋体" w:cs="宋体"/>
                <w:sz w:val="18"/>
                <w:szCs w:val="18"/>
              </w:rPr>
            </w:pPr>
            <w:r>
              <w:rPr>
                <w:rFonts w:ascii="宋体" w:hAnsi="宋体" w:eastAsia="宋体" w:cs="宋体"/>
                <w:sz w:val="18"/>
                <w:szCs w:val="18"/>
              </w:rPr>
              <w:t>投资设立</w:t>
            </w:r>
          </w:p>
        </w:tc>
      </w:tr>
      <w:tr w14:paraId="3E35C237">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88FB9CD">
            <w:pPr>
              <w:spacing w:line="240" w:lineRule="exact"/>
              <w:rPr>
                <w:rFonts w:ascii="宋体" w:hAnsi="宋体" w:eastAsia="宋体" w:cs="宋体"/>
                <w:sz w:val="18"/>
                <w:szCs w:val="18"/>
              </w:rPr>
            </w:pPr>
            <w:r>
              <w:rPr>
                <w:rFonts w:ascii="宋体" w:hAnsi="宋体" w:eastAsia="宋体" w:cs="宋体"/>
                <w:sz w:val="18"/>
                <w:szCs w:val="18"/>
              </w:rPr>
              <w:t>西藏银河商贸有限公司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3CD7ED3A">
            <w:pPr>
              <w:spacing w:line="240" w:lineRule="exact"/>
              <w:jc w:val="right"/>
              <w:rPr>
                <w:rFonts w:ascii="宋体" w:hAnsi="宋体" w:eastAsia="宋体" w:cs="宋体"/>
                <w:sz w:val="18"/>
                <w:szCs w:val="18"/>
              </w:rPr>
            </w:pPr>
            <w:r>
              <w:rPr>
                <w:rFonts w:ascii="宋体" w:hAnsi="宋体" w:eastAsia="宋体" w:cs="宋体"/>
                <w:sz w:val="18"/>
                <w:szCs w:val="18"/>
              </w:rPr>
              <w:t>60,000,000.00</w:t>
            </w:r>
          </w:p>
        </w:tc>
        <w:tc>
          <w:tcPr>
            <w:tcW w:w="1205" w:type="dxa"/>
            <w:tcBorders>
              <w:top w:val="single" w:color="auto" w:sz="2" w:space="0"/>
              <w:left w:val="single" w:color="auto" w:sz="2" w:space="0"/>
              <w:bottom w:val="single" w:color="auto" w:sz="2" w:space="0"/>
              <w:right w:val="single" w:color="auto" w:sz="2" w:space="0"/>
            </w:tcBorders>
            <w:vAlign w:val="center"/>
          </w:tcPr>
          <w:p w14:paraId="42B4985F">
            <w:pPr>
              <w:spacing w:line="240" w:lineRule="exact"/>
              <w:rPr>
                <w:rFonts w:ascii="宋体" w:hAnsi="宋体" w:eastAsia="宋体" w:cs="宋体"/>
                <w:sz w:val="18"/>
                <w:szCs w:val="18"/>
              </w:rPr>
            </w:pPr>
            <w:r>
              <w:rPr>
                <w:rFonts w:ascii="宋体" w:hAnsi="宋体" w:eastAsia="宋体" w:cs="宋体"/>
                <w:sz w:val="18"/>
                <w:szCs w:val="18"/>
              </w:rPr>
              <w:t>拉萨市</w:t>
            </w:r>
          </w:p>
        </w:tc>
        <w:tc>
          <w:tcPr>
            <w:tcW w:w="1205" w:type="dxa"/>
            <w:tcBorders>
              <w:top w:val="single" w:color="auto" w:sz="2" w:space="0"/>
              <w:left w:val="single" w:color="auto" w:sz="2" w:space="0"/>
              <w:bottom w:val="single" w:color="auto" w:sz="2" w:space="0"/>
              <w:right w:val="single" w:color="auto" w:sz="2" w:space="0"/>
            </w:tcBorders>
            <w:vAlign w:val="center"/>
          </w:tcPr>
          <w:p w14:paraId="2546473C">
            <w:pPr>
              <w:spacing w:line="240" w:lineRule="exact"/>
              <w:rPr>
                <w:rFonts w:ascii="宋体" w:hAnsi="宋体" w:eastAsia="宋体" w:cs="宋体"/>
                <w:sz w:val="18"/>
                <w:szCs w:val="18"/>
              </w:rPr>
            </w:pPr>
            <w:r>
              <w:rPr>
                <w:rFonts w:ascii="宋体" w:hAnsi="宋体" w:eastAsia="宋体" w:cs="宋体"/>
                <w:sz w:val="18"/>
                <w:szCs w:val="18"/>
              </w:rPr>
              <w:t>拉萨市金珠西路格桑林卡 A区 28-5</w:t>
            </w:r>
          </w:p>
        </w:tc>
        <w:tc>
          <w:tcPr>
            <w:tcW w:w="1205" w:type="dxa"/>
            <w:tcBorders>
              <w:top w:val="single" w:color="auto" w:sz="2" w:space="0"/>
              <w:left w:val="single" w:color="auto" w:sz="2" w:space="0"/>
              <w:bottom w:val="single" w:color="auto" w:sz="2" w:space="0"/>
              <w:right w:val="single" w:color="auto" w:sz="2" w:space="0"/>
            </w:tcBorders>
            <w:vAlign w:val="center"/>
          </w:tcPr>
          <w:p w14:paraId="142790A8">
            <w:pPr>
              <w:spacing w:line="240" w:lineRule="exact"/>
              <w:rPr>
                <w:rFonts w:ascii="宋体" w:hAnsi="宋体" w:eastAsia="宋体" w:cs="宋体"/>
                <w:sz w:val="18"/>
                <w:szCs w:val="18"/>
              </w:rPr>
            </w:pPr>
            <w:r>
              <w:rPr>
                <w:rFonts w:ascii="宋体" w:hAnsi="宋体" w:eastAsia="宋体" w:cs="宋体"/>
                <w:sz w:val="18"/>
                <w:szCs w:val="18"/>
              </w:rPr>
              <w:t>商贸企业</w:t>
            </w:r>
          </w:p>
        </w:tc>
        <w:tc>
          <w:tcPr>
            <w:tcW w:w="1205" w:type="dxa"/>
            <w:tcBorders>
              <w:top w:val="single" w:color="auto" w:sz="2" w:space="0"/>
              <w:left w:val="single" w:color="auto" w:sz="2" w:space="0"/>
              <w:bottom w:val="single" w:color="auto" w:sz="2" w:space="0"/>
              <w:right w:val="single" w:color="auto" w:sz="2" w:space="0"/>
            </w:tcBorders>
            <w:vAlign w:val="center"/>
          </w:tcPr>
          <w:p w14:paraId="4CE537ED">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109F5019">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205" w:type="dxa"/>
            <w:tcBorders>
              <w:top w:val="single" w:color="auto" w:sz="2" w:space="0"/>
              <w:left w:val="single" w:color="auto" w:sz="2" w:space="0"/>
              <w:bottom w:val="single" w:color="auto" w:sz="2" w:space="0"/>
              <w:right w:val="single" w:color="auto" w:sz="2" w:space="0"/>
            </w:tcBorders>
            <w:vAlign w:val="center"/>
          </w:tcPr>
          <w:p w14:paraId="4AD0901F">
            <w:pPr>
              <w:spacing w:line="240" w:lineRule="exact"/>
              <w:rPr>
                <w:rFonts w:ascii="宋体" w:hAnsi="宋体" w:eastAsia="宋体" w:cs="宋体"/>
                <w:sz w:val="18"/>
                <w:szCs w:val="18"/>
              </w:rPr>
            </w:pPr>
            <w:r>
              <w:rPr>
                <w:rFonts w:ascii="宋体" w:hAnsi="宋体" w:eastAsia="宋体" w:cs="宋体"/>
                <w:sz w:val="18"/>
                <w:szCs w:val="18"/>
              </w:rPr>
              <w:t>投资设立</w:t>
            </w:r>
          </w:p>
        </w:tc>
      </w:tr>
    </w:tbl>
    <w:p w14:paraId="57113518">
      <w:pPr>
        <w:spacing w:before="100" w:after="100" w:line="240" w:lineRule="exact"/>
      </w:pPr>
      <w:r>
        <w:rPr>
          <w:rFonts w:ascii="宋体" w:hAnsi="宋体" w:eastAsia="宋体" w:cs="宋体"/>
          <w:sz w:val="18"/>
          <w:szCs w:val="18"/>
        </w:rPr>
        <w:t>在子公司的持股比例不同于表决权比例的说明：</w:t>
      </w:r>
    </w:p>
    <w:p w14:paraId="2A294302">
      <w:pPr>
        <w:spacing w:before="100" w:after="100" w:line="240" w:lineRule="exact"/>
      </w:pPr>
      <w:r>
        <w:rPr>
          <w:rFonts w:ascii="宋体" w:hAnsi="宋体" w:eastAsia="宋体" w:cs="宋体"/>
          <w:sz w:val="18"/>
          <w:szCs w:val="18"/>
        </w:rPr>
        <w:t>持有半数或以下表决权但仍控制被投资单位、以及持有半数以上表决权但不控制被投资单位的依据：</w:t>
      </w:r>
    </w:p>
    <w:p w14:paraId="60E28F38">
      <w:pPr>
        <w:spacing w:before="100" w:after="100" w:line="240" w:lineRule="exact"/>
      </w:pPr>
      <w:r>
        <w:rPr>
          <w:rFonts w:ascii="宋体" w:hAnsi="宋体" w:eastAsia="宋体" w:cs="宋体"/>
          <w:sz w:val="18"/>
          <w:szCs w:val="18"/>
        </w:rPr>
        <w:t>对于纳入合并范围的重要的结构化主体，控制的依据：</w:t>
      </w:r>
    </w:p>
    <w:p w14:paraId="2F62200C">
      <w:pPr>
        <w:spacing w:before="100" w:after="100" w:line="240" w:lineRule="exact"/>
      </w:pPr>
      <w:r>
        <w:rPr>
          <w:rFonts w:ascii="宋体" w:hAnsi="宋体" w:eastAsia="宋体" w:cs="宋体"/>
          <w:sz w:val="18"/>
          <w:szCs w:val="18"/>
        </w:rPr>
        <w:t>确定公司是代理人还是委托人的依据：</w:t>
      </w:r>
    </w:p>
    <w:p w14:paraId="0D50486A">
      <w:pPr>
        <w:spacing w:before="100" w:after="100" w:line="240" w:lineRule="exact"/>
      </w:pPr>
      <w:r>
        <w:rPr>
          <w:rFonts w:ascii="宋体" w:hAnsi="宋体" w:eastAsia="宋体" w:cs="宋体"/>
          <w:sz w:val="18"/>
          <w:szCs w:val="18"/>
        </w:rPr>
        <w:t>其他说明：</w:t>
      </w:r>
    </w:p>
    <w:p w14:paraId="26B1F36E">
      <w:pPr>
        <w:keepNext/>
        <w:keepLines/>
        <w:spacing w:before="300" w:after="100" w:line="280" w:lineRule="exact"/>
        <w:outlineLvl w:val="3"/>
        <w:rPr>
          <w:rFonts w:ascii="宋体" w:hAnsi="宋体" w:eastAsia="宋体" w:cs="宋体"/>
          <w:b/>
          <w:bCs/>
          <w:sz w:val="18"/>
          <w:szCs w:val="18"/>
        </w:rPr>
      </w:pPr>
      <w:bookmarkStart w:id="414" w:name="_Toc989303"/>
      <w:r>
        <w:rPr>
          <w:rFonts w:ascii="宋体" w:hAnsi="宋体" w:eastAsia="宋体" w:cs="宋体"/>
          <w:b/>
          <w:bCs/>
          <w:sz w:val="18"/>
          <w:szCs w:val="18"/>
        </w:rPr>
        <w:t>（2） 重要的非全资子公司</w:t>
      </w:r>
      <w:bookmarkEnd w:id="414"/>
    </w:p>
    <w:p w14:paraId="13D479F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1CCCE07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579248">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93ABAD">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少数股东持股比例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2DC552">
            <w:pPr>
              <w:spacing w:before="40" w:after="40" w:line="240" w:lineRule="exact"/>
              <w:jc w:val="center"/>
              <w:rPr>
                <w:rFonts w:ascii="宋体" w:hAnsi="宋体" w:eastAsia="宋体" w:cs="宋体"/>
                <w:sz w:val="18"/>
                <w:szCs w:val="18"/>
              </w:rPr>
            </w:pPr>
            <w:r>
              <w:rPr>
                <w:rFonts w:ascii="宋体" w:hAnsi="宋体" w:eastAsia="宋体" w:cs="宋体"/>
                <w:sz w:val="18"/>
                <w:szCs w:val="18"/>
              </w:rPr>
              <w:t>本期归属于少数股东的损益</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F79A7B">
            <w:pPr>
              <w:spacing w:before="40" w:after="40" w:line="240" w:lineRule="exact"/>
              <w:jc w:val="center"/>
              <w:rPr>
                <w:rFonts w:ascii="宋体" w:hAnsi="宋体" w:eastAsia="宋体" w:cs="宋体"/>
                <w:sz w:val="18"/>
                <w:szCs w:val="18"/>
              </w:rPr>
            </w:pPr>
            <w:r>
              <w:rPr>
                <w:rFonts w:ascii="宋体" w:hAnsi="宋体" w:eastAsia="宋体" w:cs="宋体"/>
                <w:sz w:val="18"/>
                <w:szCs w:val="18"/>
              </w:rPr>
              <w:t>本期向少数股东宣告分派的股利</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AEE234B">
            <w:pPr>
              <w:spacing w:before="40" w:after="40" w:line="240" w:lineRule="exact"/>
              <w:jc w:val="center"/>
              <w:rPr>
                <w:rFonts w:ascii="宋体" w:hAnsi="宋体" w:eastAsia="宋体" w:cs="宋体"/>
                <w:sz w:val="18"/>
                <w:szCs w:val="18"/>
              </w:rPr>
            </w:pPr>
            <w:r>
              <w:rPr>
                <w:rFonts w:ascii="宋体" w:hAnsi="宋体" w:eastAsia="宋体" w:cs="宋体"/>
                <w:sz w:val="18"/>
                <w:szCs w:val="18"/>
              </w:rPr>
              <w:t>期末少数股东权益余额</w:t>
            </w:r>
          </w:p>
        </w:tc>
      </w:tr>
      <w:tr w14:paraId="4E2D4E62">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ACB33FA">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6095F15C">
            <w:pPr>
              <w:spacing w:line="240" w:lineRule="exact"/>
              <w:jc w:val="right"/>
              <w:rPr>
                <w:rFonts w:ascii="宋体" w:hAnsi="宋体" w:eastAsia="宋体" w:cs="宋体"/>
                <w:sz w:val="18"/>
                <w:szCs w:val="18"/>
              </w:rPr>
            </w:pPr>
            <w:r>
              <w:rPr>
                <w:rFonts w:ascii="宋体" w:hAnsi="宋体" w:eastAsia="宋体" w:cs="宋体"/>
                <w:sz w:val="18"/>
                <w:szCs w:val="18"/>
              </w:rPr>
              <w:t>50.00%</w:t>
            </w:r>
          </w:p>
        </w:tc>
        <w:tc>
          <w:tcPr>
            <w:tcW w:w="1928" w:type="dxa"/>
            <w:tcBorders>
              <w:top w:val="single" w:color="auto" w:sz="2" w:space="0"/>
              <w:left w:val="single" w:color="auto" w:sz="2" w:space="0"/>
              <w:bottom w:val="single" w:color="auto" w:sz="2" w:space="0"/>
              <w:right w:val="single" w:color="auto" w:sz="2" w:space="0"/>
            </w:tcBorders>
            <w:vAlign w:val="center"/>
          </w:tcPr>
          <w:p w14:paraId="735933DB">
            <w:pPr>
              <w:spacing w:line="240" w:lineRule="exact"/>
              <w:jc w:val="right"/>
              <w:rPr>
                <w:rFonts w:ascii="宋体" w:hAnsi="宋体" w:eastAsia="宋体" w:cs="宋体"/>
                <w:sz w:val="18"/>
                <w:szCs w:val="18"/>
              </w:rPr>
            </w:pPr>
            <w:r>
              <w:rPr>
                <w:rFonts w:ascii="宋体" w:hAnsi="宋体" w:eastAsia="宋体" w:cs="宋体"/>
                <w:sz w:val="18"/>
                <w:szCs w:val="18"/>
              </w:rPr>
              <w:t>21,116,124.93</w:t>
            </w:r>
          </w:p>
        </w:tc>
        <w:tc>
          <w:tcPr>
            <w:tcW w:w="1928" w:type="dxa"/>
            <w:tcBorders>
              <w:top w:val="single" w:color="auto" w:sz="2" w:space="0"/>
              <w:left w:val="single" w:color="auto" w:sz="2" w:space="0"/>
              <w:bottom w:val="single" w:color="auto" w:sz="2" w:space="0"/>
              <w:right w:val="single" w:color="auto" w:sz="2" w:space="0"/>
            </w:tcBorders>
            <w:vAlign w:val="center"/>
          </w:tcPr>
          <w:p w14:paraId="402745CE">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DADC362">
            <w:pPr>
              <w:spacing w:line="240" w:lineRule="exact"/>
              <w:jc w:val="right"/>
              <w:rPr>
                <w:rFonts w:ascii="宋体" w:hAnsi="宋体" w:eastAsia="宋体" w:cs="宋体"/>
                <w:sz w:val="18"/>
                <w:szCs w:val="18"/>
              </w:rPr>
            </w:pPr>
            <w:r>
              <w:rPr>
                <w:rFonts w:ascii="宋体" w:hAnsi="宋体" w:eastAsia="宋体" w:cs="宋体"/>
                <w:sz w:val="18"/>
                <w:szCs w:val="18"/>
              </w:rPr>
              <w:t>456,194,847.60</w:t>
            </w:r>
          </w:p>
        </w:tc>
      </w:tr>
    </w:tbl>
    <w:p w14:paraId="10AE02F3">
      <w:pPr>
        <w:spacing w:before="100" w:after="100" w:line="240" w:lineRule="exact"/>
      </w:pPr>
      <w:r>
        <w:rPr>
          <w:rFonts w:ascii="宋体" w:hAnsi="宋体" w:eastAsia="宋体" w:cs="宋体"/>
          <w:sz w:val="18"/>
          <w:szCs w:val="18"/>
        </w:rPr>
        <w:t>子公司少数股东的持股比例不同于表决权比例的说明：</w:t>
      </w:r>
    </w:p>
    <w:p w14:paraId="24C729E6">
      <w:pPr>
        <w:spacing w:before="100" w:after="100" w:line="240" w:lineRule="exact"/>
      </w:pPr>
      <w:r>
        <w:rPr>
          <w:rFonts w:ascii="宋体" w:hAnsi="宋体" w:eastAsia="宋体" w:cs="宋体"/>
          <w:sz w:val="18"/>
          <w:szCs w:val="18"/>
        </w:rPr>
        <w:t>其他说明：</w:t>
      </w:r>
    </w:p>
    <w:p w14:paraId="25BA3D51">
      <w:pPr>
        <w:keepNext/>
        <w:keepLines/>
        <w:spacing w:before="300" w:after="100" w:line="280" w:lineRule="exact"/>
        <w:outlineLvl w:val="3"/>
        <w:rPr>
          <w:rFonts w:ascii="宋体" w:hAnsi="宋体" w:eastAsia="宋体" w:cs="宋体"/>
          <w:b/>
          <w:bCs/>
          <w:sz w:val="18"/>
          <w:szCs w:val="18"/>
        </w:rPr>
      </w:pPr>
      <w:bookmarkStart w:id="415" w:name="_Toc989304"/>
      <w:r>
        <w:rPr>
          <w:rFonts w:ascii="宋体" w:hAnsi="宋体" w:eastAsia="宋体" w:cs="宋体"/>
          <w:b/>
          <w:bCs/>
          <w:sz w:val="18"/>
          <w:szCs w:val="18"/>
        </w:rPr>
        <w:t>（3） 重要非全资子公司的主要财务信息</w:t>
      </w:r>
      <w:bookmarkEnd w:id="415"/>
    </w:p>
    <w:p w14:paraId="74CF1DC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4"/>
        <w:gridCol w:w="741"/>
        <w:gridCol w:w="741"/>
        <w:gridCol w:w="741"/>
        <w:gridCol w:w="741"/>
        <w:gridCol w:w="741"/>
        <w:gridCol w:w="744"/>
      </w:tblGrid>
      <w:tr w14:paraId="219F4169">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B6FEFD">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2F610EB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397D93E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D05E54E">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9D19BB"/>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6F10ACE">
            <w:pPr>
              <w:spacing w:before="40" w:after="40" w:line="240" w:lineRule="exact"/>
              <w:jc w:val="center"/>
              <w:rPr>
                <w:rFonts w:ascii="宋体" w:hAnsi="宋体" w:eastAsia="宋体" w:cs="宋体"/>
                <w:sz w:val="18"/>
                <w:szCs w:val="18"/>
              </w:rPr>
            </w:pPr>
            <w:r>
              <w:rPr>
                <w:rFonts w:ascii="宋体" w:hAnsi="宋体" w:eastAsia="宋体" w:cs="宋体"/>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8383BA9">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055660F">
            <w:pPr>
              <w:spacing w:before="40" w:after="40" w:line="240" w:lineRule="exact"/>
              <w:jc w:val="center"/>
              <w:rPr>
                <w:rFonts w:ascii="宋体" w:hAnsi="宋体" w:eastAsia="宋体" w:cs="宋体"/>
                <w:sz w:val="18"/>
                <w:szCs w:val="18"/>
              </w:rPr>
            </w:pPr>
            <w:r>
              <w:rPr>
                <w:rFonts w:ascii="宋体" w:hAnsi="宋体" w:eastAsia="宋体" w:cs="宋体"/>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73938F9">
            <w:pPr>
              <w:spacing w:before="40" w:after="40" w:line="240" w:lineRule="exact"/>
              <w:jc w:val="center"/>
              <w:rPr>
                <w:rFonts w:ascii="宋体" w:hAnsi="宋体" w:eastAsia="宋体" w:cs="宋体"/>
                <w:sz w:val="18"/>
                <w:szCs w:val="18"/>
              </w:rPr>
            </w:pPr>
            <w:r>
              <w:rPr>
                <w:rFonts w:ascii="宋体" w:hAnsi="宋体" w:eastAsia="宋体" w:cs="宋体"/>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94B751D">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ED8860B">
            <w:pPr>
              <w:spacing w:before="40" w:after="40" w:line="240" w:lineRule="exact"/>
              <w:jc w:val="center"/>
              <w:rPr>
                <w:rFonts w:ascii="宋体" w:hAnsi="宋体" w:eastAsia="宋体" w:cs="宋体"/>
                <w:sz w:val="18"/>
                <w:szCs w:val="18"/>
              </w:rPr>
            </w:pPr>
            <w:r>
              <w:rPr>
                <w:rFonts w:ascii="宋体" w:hAnsi="宋体" w:eastAsia="宋体" w:cs="宋体"/>
                <w:sz w:val="18"/>
                <w:szCs w:val="18"/>
              </w:rPr>
              <w:t>负债合计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39B29CA">
            <w:pPr>
              <w:spacing w:before="40" w:after="40" w:line="240" w:lineRule="exact"/>
              <w:jc w:val="center"/>
              <w:rPr>
                <w:rFonts w:ascii="宋体" w:hAnsi="宋体" w:eastAsia="宋体" w:cs="宋体"/>
                <w:sz w:val="18"/>
                <w:szCs w:val="18"/>
              </w:rPr>
            </w:pPr>
            <w:r>
              <w:rPr>
                <w:rFonts w:ascii="宋体" w:hAnsi="宋体" w:eastAsia="宋体" w:cs="宋体"/>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29F0366">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95231CE">
            <w:pPr>
              <w:spacing w:before="40" w:after="40" w:line="240" w:lineRule="exact"/>
              <w:jc w:val="center"/>
              <w:rPr>
                <w:rFonts w:ascii="宋体" w:hAnsi="宋体" w:eastAsia="宋体" w:cs="宋体"/>
                <w:sz w:val="18"/>
                <w:szCs w:val="18"/>
              </w:rPr>
            </w:pPr>
            <w:r>
              <w:rPr>
                <w:rFonts w:ascii="宋体" w:hAnsi="宋体" w:eastAsia="宋体" w:cs="宋体"/>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14D65D6">
            <w:pPr>
              <w:spacing w:before="40" w:after="40" w:line="240" w:lineRule="exact"/>
              <w:jc w:val="center"/>
              <w:rPr>
                <w:rFonts w:ascii="宋体" w:hAnsi="宋体" w:eastAsia="宋体" w:cs="宋体"/>
                <w:sz w:val="18"/>
                <w:szCs w:val="18"/>
              </w:rPr>
            </w:pPr>
            <w:r>
              <w:rPr>
                <w:rFonts w:ascii="宋体" w:hAnsi="宋体" w:eastAsia="宋体" w:cs="宋体"/>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148667C">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1906F2D">
            <w:pPr>
              <w:spacing w:before="40" w:after="40" w:line="240" w:lineRule="exact"/>
              <w:jc w:val="center"/>
              <w:rPr>
                <w:rFonts w:ascii="宋体" w:hAnsi="宋体" w:eastAsia="宋体" w:cs="宋体"/>
                <w:sz w:val="18"/>
                <w:szCs w:val="18"/>
              </w:rPr>
            </w:pPr>
            <w:r>
              <w:rPr>
                <w:rFonts w:ascii="宋体" w:hAnsi="宋体" w:eastAsia="宋体" w:cs="宋体"/>
                <w:sz w:val="18"/>
                <w:szCs w:val="18"/>
              </w:rPr>
              <w:t>负债合计</w:t>
            </w:r>
          </w:p>
        </w:tc>
      </w:tr>
      <w:tr w14:paraId="67B4988C">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63ABC43">
            <w:pPr>
              <w:spacing w:line="240" w:lineRule="exact"/>
              <w:rPr>
                <w:rFonts w:ascii="宋体" w:hAnsi="宋体" w:eastAsia="宋体" w:cs="宋体"/>
                <w:sz w:val="18"/>
                <w:szCs w:val="18"/>
              </w:rPr>
            </w:pPr>
            <w:r>
              <w:rPr>
                <w:rFonts w:ascii="宋体" w:hAnsi="宋体" w:eastAsia="宋体" w:cs="宋体"/>
                <w:sz w:val="18"/>
                <w:szCs w:val="18"/>
              </w:rPr>
              <w:t>西藏拉萨啤酒限公司</w:t>
            </w:r>
          </w:p>
        </w:tc>
        <w:tc>
          <w:tcPr>
            <w:tcW w:w="741" w:type="dxa"/>
            <w:tcBorders>
              <w:top w:val="single" w:color="auto" w:sz="2" w:space="0"/>
              <w:left w:val="single" w:color="auto" w:sz="2" w:space="0"/>
              <w:bottom w:val="single" w:color="auto" w:sz="2" w:space="0"/>
              <w:right w:val="single" w:color="auto" w:sz="2" w:space="0"/>
            </w:tcBorders>
            <w:vAlign w:val="center"/>
          </w:tcPr>
          <w:p w14:paraId="36552D1C">
            <w:pPr>
              <w:spacing w:line="240" w:lineRule="exact"/>
              <w:jc w:val="right"/>
              <w:rPr>
                <w:rFonts w:ascii="宋体" w:hAnsi="宋体" w:eastAsia="宋体" w:cs="宋体"/>
                <w:sz w:val="18"/>
                <w:szCs w:val="18"/>
              </w:rPr>
            </w:pPr>
            <w:r>
              <w:rPr>
                <w:rFonts w:ascii="宋体" w:hAnsi="宋体" w:eastAsia="宋体" w:cs="宋体"/>
                <w:sz w:val="18"/>
                <w:szCs w:val="18"/>
              </w:rPr>
              <w:t>773,454,934.37</w:t>
            </w:r>
          </w:p>
        </w:tc>
        <w:tc>
          <w:tcPr>
            <w:tcW w:w="741" w:type="dxa"/>
            <w:tcBorders>
              <w:top w:val="single" w:color="auto" w:sz="2" w:space="0"/>
              <w:left w:val="single" w:color="auto" w:sz="2" w:space="0"/>
              <w:bottom w:val="single" w:color="auto" w:sz="2" w:space="0"/>
              <w:right w:val="single" w:color="auto" w:sz="2" w:space="0"/>
            </w:tcBorders>
            <w:vAlign w:val="center"/>
          </w:tcPr>
          <w:p w14:paraId="7CB04BAF">
            <w:pPr>
              <w:spacing w:line="240" w:lineRule="exact"/>
              <w:jc w:val="right"/>
              <w:rPr>
                <w:rFonts w:ascii="宋体" w:hAnsi="宋体" w:eastAsia="宋体" w:cs="宋体"/>
                <w:sz w:val="18"/>
                <w:szCs w:val="18"/>
              </w:rPr>
            </w:pPr>
            <w:r>
              <w:rPr>
                <w:rFonts w:ascii="宋体" w:hAnsi="宋体" w:eastAsia="宋体" w:cs="宋体"/>
                <w:sz w:val="18"/>
                <w:szCs w:val="18"/>
              </w:rPr>
              <w:t>159,268,216.68</w:t>
            </w:r>
          </w:p>
        </w:tc>
        <w:tc>
          <w:tcPr>
            <w:tcW w:w="741" w:type="dxa"/>
            <w:tcBorders>
              <w:top w:val="single" w:color="auto" w:sz="2" w:space="0"/>
              <w:left w:val="single" w:color="auto" w:sz="2" w:space="0"/>
              <w:bottom w:val="single" w:color="auto" w:sz="2" w:space="0"/>
              <w:right w:val="single" w:color="auto" w:sz="2" w:space="0"/>
            </w:tcBorders>
            <w:vAlign w:val="center"/>
          </w:tcPr>
          <w:p w14:paraId="1254617A">
            <w:pPr>
              <w:spacing w:line="240" w:lineRule="exact"/>
              <w:jc w:val="right"/>
              <w:rPr>
                <w:rFonts w:ascii="宋体" w:hAnsi="宋体" w:eastAsia="宋体" w:cs="宋体"/>
                <w:sz w:val="18"/>
                <w:szCs w:val="18"/>
              </w:rPr>
            </w:pPr>
            <w:r>
              <w:rPr>
                <w:rFonts w:ascii="宋体" w:hAnsi="宋体" w:eastAsia="宋体" w:cs="宋体"/>
                <w:sz w:val="18"/>
                <w:szCs w:val="18"/>
              </w:rPr>
              <w:t>932,723,151.05</w:t>
            </w:r>
          </w:p>
        </w:tc>
        <w:tc>
          <w:tcPr>
            <w:tcW w:w="741" w:type="dxa"/>
            <w:tcBorders>
              <w:top w:val="single" w:color="auto" w:sz="2" w:space="0"/>
              <w:left w:val="single" w:color="auto" w:sz="2" w:space="0"/>
              <w:bottom w:val="single" w:color="auto" w:sz="2" w:space="0"/>
              <w:right w:val="single" w:color="auto" w:sz="2" w:space="0"/>
            </w:tcBorders>
            <w:vAlign w:val="center"/>
          </w:tcPr>
          <w:p w14:paraId="4A2C442F">
            <w:pPr>
              <w:spacing w:line="240" w:lineRule="exact"/>
              <w:jc w:val="right"/>
              <w:rPr>
                <w:rFonts w:ascii="宋体" w:hAnsi="宋体" w:eastAsia="宋体" w:cs="宋体"/>
                <w:sz w:val="18"/>
                <w:szCs w:val="18"/>
              </w:rPr>
            </w:pPr>
            <w:r>
              <w:rPr>
                <w:rFonts w:ascii="宋体" w:hAnsi="宋体" w:eastAsia="宋体" w:cs="宋体"/>
                <w:sz w:val="18"/>
                <w:szCs w:val="18"/>
              </w:rPr>
              <w:t>20,333,455.86</w:t>
            </w:r>
          </w:p>
        </w:tc>
        <w:tc>
          <w:tcPr>
            <w:tcW w:w="741" w:type="dxa"/>
            <w:tcBorders>
              <w:top w:val="single" w:color="auto" w:sz="2" w:space="0"/>
              <w:left w:val="single" w:color="auto" w:sz="2" w:space="0"/>
              <w:bottom w:val="single" w:color="auto" w:sz="2" w:space="0"/>
              <w:right w:val="single" w:color="auto" w:sz="2" w:space="0"/>
            </w:tcBorders>
            <w:vAlign w:val="center"/>
          </w:tcPr>
          <w:p w14:paraId="1F40A820">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7EA06E">
            <w:pPr>
              <w:spacing w:line="240" w:lineRule="exact"/>
              <w:jc w:val="right"/>
              <w:rPr>
                <w:rFonts w:ascii="宋体" w:hAnsi="宋体" w:eastAsia="宋体" w:cs="宋体"/>
                <w:sz w:val="18"/>
                <w:szCs w:val="18"/>
              </w:rPr>
            </w:pPr>
            <w:r>
              <w:rPr>
                <w:rFonts w:ascii="宋体" w:hAnsi="宋体" w:eastAsia="宋体" w:cs="宋体"/>
                <w:sz w:val="18"/>
                <w:szCs w:val="18"/>
              </w:rPr>
              <w:t>20,333,455.86</w:t>
            </w:r>
          </w:p>
        </w:tc>
        <w:tc>
          <w:tcPr>
            <w:tcW w:w="741" w:type="dxa"/>
            <w:tcBorders>
              <w:top w:val="single" w:color="auto" w:sz="2" w:space="0"/>
              <w:left w:val="single" w:color="auto" w:sz="2" w:space="0"/>
              <w:bottom w:val="single" w:color="auto" w:sz="2" w:space="0"/>
              <w:right w:val="single" w:color="auto" w:sz="2" w:space="0"/>
            </w:tcBorders>
            <w:vAlign w:val="center"/>
          </w:tcPr>
          <w:p w14:paraId="2ADD5668">
            <w:pPr>
              <w:spacing w:line="240" w:lineRule="exact"/>
              <w:jc w:val="right"/>
              <w:rPr>
                <w:rFonts w:ascii="宋体" w:hAnsi="宋体" w:eastAsia="宋体" w:cs="宋体"/>
                <w:sz w:val="18"/>
                <w:szCs w:val="18"/>
              </w:rPr>
            </w:pPr>
            <w:r>
              <w:rPr>
                <w:rFonts w:ascii="宋体" w:hAnsi="宋体" w:eastAsia="宋体" w:cs="宋体"/>
                <w:sz w:val="18"/>
                <w:szCs w:val="18"/>
              </w:rPr>
              <w:t>742,800,886.88</w:t>
            </w:r>
          </w:p>
        </w:tc>
        <w:tc>
          <w:tcPr>
            <w:tcW w:w="741" w:type="dxa"/>
            <w:tcBorders>
              <w:top w:val="single" w:color="auto" w:sz="2" w:space="0"/>
              <w:left w:val="single" w:color="auto" w:sz="2" w:space="0"/>
              <w:bottom w:val="single" w:color="auto" w:sz="2" w:space="0"/>
              <w:right w:val="single" w:color="auto" w:sz="2" w:space="0"/>
            </w:tcBorders>
            <w:vAlign w:val="center"/>
          </w:tcPr>
          <w:p w14:paraId="0848A156">
            <w:pPr>
              <w:spacing w:line="240" w:lineRule="exact"/>
              <w:jc w:val="right"/>
              <w:rPr>
                <w:rFonts w:ascii="宋体" w:hAnsi="宋体" w:eastAsia="宋体" w:cs="宋体"/>
                <w:sz w:val="18"/>
                <w:szCs w:val="18"/>
              </w:rPr>
            </w:pPr>
            <w:r>
              <w:rPr>
                <w:rFonts w:ascii="宋体" w:hAnsi="宋体" w:eastAsia="宋体" w:cs="宋体"/>
                <w:sz w:val="18"/>
                <w:szCs w:val="18"/>
              </w:rPr>
              <w:t>157,459,863.57</w:t>
            </w:r>
          </w:p>
        </w:tc>
        <w:tc>
          <w:tcPr>
            <w:tcW w:w="741" w:type="dxa"/>
            <w:tcBorders>
              <w:top w:val="single" w:color="auto" w:sz="2" w:space="0"/>
              <w:left w:val="single" w:color="auto" w:sz="2" w:space="0"/>
              <w:bottom w:val="single" w:color="auto" w:sz="2" w:space="0"/>
              <w:right w:val="single" w:color="auto" w:sz="2" w:space="0"/>
            </w:tcBorders>
            <w:vAlign w:val="center"/>
          </w:tcPr>
          <w:p w14:paraId="656213A4">
            <w:pPr>
              <w:spacing w:line="240" w:lineRule="exact"/>
              <w:jc w:val="right"/>
              <w:rPr>
                <w:rFonts w:ascii="宋体" w:hAnsi="宋体" w:eastAsia="宋体" w:cs="宋体"/>
                <w:sz w:val="18"/>
                <w:szCs w:val="18"/>
              </w:rPr>
            </w:pPr>
            <w:r>
              <w:rPr>
                <w:rFonts w:ascii="宋体" w:hAnsi="宋体" w:eastAsia="宋体" w:cs="宋体"/>
                <w:sz w:val="18"/>
                <w:szCs w:val="18"/>
              </w:rPr>
              <w:t>900,260,750.45</w:t>
            </w:r>
          </w:p>
        </w:tc>
        <w:tc>
          <w:tcPr>
            <w:tcW w:w="741" w:type="dxa"/>
            <w:tcBorders>
              <w:top w:val="single" w:color="auto" w:sz="2" w:space="0"/>
              <w:left w:val="single" w:color="auto" w:sz="2" w:space="0"/>
              <w:bottom w:val="single" w:color="auto" w:sz="2" w:space="0"/>
              <w:right w:val="single" w:color="auto" w:sz="2" w:space="0"/>
            </w:tcBorders>
            <w:vAlign w:val="center"/>
          </w:tcPr>
          <w:p w14:paraId="7E986BA4">
            <w:pPr>
              <w:spacing w:line="240" w:lineRule="exact"/>
              <w:jc w:val="right"/>
              <w:rPr>
                <w:rFonts w:ascii="宋体" w:hAnsi="宋体" w:eastAsia="宋体" w:cs="宋体"/>
                <w:sz w:val="18"/>
                <w:szCs w:val="18"/>
              </w:rPr>
            </w:pPr>
            <w:r>
              <w:rPr>
                <w:rFonts w:ascii="宋体" w:hAnsi="宋体" w:eastAsia="宋体" w:cs="宋体"/>
                <w:sz w:val="18"/>
                <w:szCs w:val="18"/>
              </w:rPr>
              <w:t>30,103,305.12</w:t>
            </w:r>
          </w:p>
        </w:tc>
        <w:tc>
          <w:tcPr>
            <w:tcW w:w="741" w:type="dxa"/>
            <w:tcBorders>
              <w:top w:val="single" w:color="auto" w:sz="2" w:space="0"/>
              <w:left w:val="single" w:color="auto" w:sz="2" w:space="0"/>
              <w:bottom w:val="single" w:color="auto" w:sz="2" w:space="0"/>
              <w:right w:val="single" w:color="auto" w:sz="2" w:space="0"/>
            </w:tcBorders>
            <w:vAlign w:val="center"/>
          </w:tcPr>
          <w:p w14:paraId="3866767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DB0DFE">
            <w:pPr>
              <w:spacing w:line="240" w:lineRule="exact"/>
              <w:jc w:val="right"/>
              <w:rPr>
                <w:rFonts w:ascii="宋体" w:hAnsi="宋体" w:eastAsia="宋体" w:cs="宋体"/>
                <w:sz w:val="18"/>
                <w:szCs w:val="18"/>
              </w:rPr>
            </w:pPr>
            <w:r>
              <w:rPr>
                <w:rFonts w:ascii="宋体" w:hAnsi="宋体" w:eastAsia="宋体" w:cs="宋体"/>
                <w:sz w:val="18"/>
                <w:szCs w:val="18"/>
              </w:rPr>
              <w:t>30,103,305.12</w:t>
            </w:r>
          </w:p>
        </w:tc>
      </w:tr>
    </w:tbl>
    <w:p w14:paraId="164D137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1C36931">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EFB510">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801E69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BF78558">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9DAF49D">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A7701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284F747">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74F081">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FA891BF">
            <w:pPr>
              <w:spacing w:before="40" w:after="40" w:line="240" w:lineRule="exact"/>
              <w:jc w:val="center"/>
              <w:rPr>
                <w:rFonts w:ascii="宋体" w:hAnsi="宋体" w:eastAsia="宋体" w:cs="宋体"/>
                <w:sz w:val="18"/>
                <w:szCs w:val="18"/>
              </w:rPr>
            </w:pPr>
            <w:r>
              <w:rPr>
                <w:rFonts w:ascii="宋体" w:hAnsi="宋体" w:eastAsia="宋体" w:cs="宋体"/>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0EC100B">
            <w:pPr>
              <w:spacing w:before="40" w:after="40" w:line="240" w:lineRule="exact"/>
              <w:jc w:val="center"/>
              <w:rPr>
                <w:rFonts w:ascii="宋体" w:hAnsi="宋体" w:eastAsia="宋体" w:cs="宋体"/>
                <w:sz w:val="18"/>
                <w:szCs w:val="18"/>
              </w:rPr>
            </w:pPr>
            <w:r>
              <w:rPr>
                <w:rFonts w:ascii="宋体" w:hAnsi="宋体" w:eastAsia="宋体" w:cs="宋体"/>
                <w:sz w:val="18"/>
                <w:szCs w:val="18"/>
              </w:rPr>
              <w:t>经营活动现金流量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307706">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52F2EC">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3E4E74">
            <w:pPr>
              <w:spacing w:before="40" w:after="40" w:line="240" w:lineRule="exact"/>
              <w:jc w:val="center"/>
              <w:rPr>
                <w:rFonts w:ascii="宋体" w:hAnsi="宋体" w:eastAsia="宋体" w:cs="宋体"/>
                <w:sz w:val="18"/>
                <w:szCs w:val="18"/>
              </w:rPr>
            </w:pPr>
            <w:r>
              <w:rPr>
                <w:rFonts w:ascii="宋体" w:hAnsi="宋体" w:eastAsia="宋体" w:cs="宋体"/>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54A8C2">
            <w:pPr>
              <w:spacing w:before="40" w:after="40" w:line="240" w:lineRule="exact"/>
              <w:jc w:val="center"/>
              <w:rPr>
                <w:rFonts w:ascii="宋体" w:hAnsi="宋体" w:eastAsia="宋体" w:cs="宋体"/>
                <w:sz w:val="18"/>
                <w:szCs w:val="18"/>
              </w:rPr>
            </w:pPr>
            <w:r>
              <w:rPr>
                <w:rFonts w:ascii="宋体" w:hAnsi="宋体" w:eastAsia="宋体" w:cs="宋体"/>
                <w:sz w:val="18"/>
                <w:szCs w:val="18"/>
              </w:rPr>
              <w:t>经营活动现金流量</w:t>
            </w:r>
          </w:p>
        </w:tc>
      </w:tr>
      <w:tr w14:paraId="2E8175D3">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FE71895">
            <w:pPr>
              <w:spacing w:line="240" w:lineRule="exact"/>
              <w:rPr>
                <w:rFonts w:ascii="宋体" w:hAnsi="宋体" w:eastAsia="宋体" w:cs="宋体"/>
                <w:sz w:val="18"/>
                <w:szCs w:val="18"/>
              </w:rPr>
            </w:pPr>
            <w:r>
              <w:rPr>
                <w:rFonts w:ascii="宋体" w:hAnsi="宋体" w:eastAsia="宋体" w:cs="宋体"/>
                <w:sz w:val="18"/>
                <w:szCs w:val="18"/>
              </w:rPr>
              <w:t>西藏拉萨啤酒限公司</w:t>
            </w:r>
          </w:p>
        </w:tc>
        <w:tc>
          <w:tcPr>
            <w:tcW w:w="1071" w:type="dxa"/>
            <w:tcBorders>
              <w:top w:val="single" w:color="auto" w:sz="2" w:space="0"/>
              <w:left w:val="single" w:color="auto" w:sz="2" w:space="0"/>
              <w:bottom w:val="single" w:color="auto" w:sz="2" w:space="0"/>
              <w:right w:val="single" w:color="auto" w:sz="2" w:space="0"/>
            </w:tcBorders>
            <w:vAlign w:val="center"/>
          </w:tcPr>
          <w:p w14:paraId="1FA6D509">
            <w:pPr>
              <w:spacing w:line="240" w:lineRule="exact"/>
              <w:jc w:val="right"/>
              <w:rPr>
                <w:rFonts w:ascii="宋体" w:hAnsi="宋体" w:eastAsia="宋体" w:cs="宋体"/>
                <w:sz w:val="18"/>
                <w:szCs w:val="18"/>
              </w:rPr>
            </w:pPr>
            <w:r>
              <w:rPr>
                <w:rFonts w:ascii="宋体" w:hAnsi="宋体" w:eastAsia="宋体" w:cs="宋体"/>
                <w:sz w:val="18"/>
                <w:szCs w:val="18"/>
              </w:rPr>
              <w:t>179,494,263.44</w:t>
            </w:r>
          </w:p>
        </w:tc>
        <w:tc>
          <w:tcPr>
            <w:tcW w:w="1071" w:type="dxa"/>
            <w:tcBorders>
              <w:top w:val="single" w:color="auto" w:sz="2" w:space="0"/>
              <w:left w:val="single" w:color="auto" w:sz="2" w:space="0"/>
              <w:bottom w:val="single" w:color="auto" w:sz="2" w:space="0"/>
              <w:right w:val="single" w:color="auto" w:sz="2" w:space="0"/>
            </w:tcBorders>
            <w:vAlign w:val="center"/>
          </w:tcPr>
          <w:p w14:paraId="5E4789FE">
            <w:pPr>
              <w:spacing w:line="240" w:lineRule="exact"/>
              <w:jc w:val="right"/>
              <w:rPr>
                <w:rFonts w:ascii="宋体" w:hAnsi="宋体" w:eastAsia="宋体" w:cs="宋体"/>
                <w:sz w:val="18"/>
                <w:szCs w:val="18"/>
              </w:rPr>
            </w:pPr>
            <w:r>
              <w:rPr>
                <w:rFonts w:ascii="宋体" w:hAnsi="宋体" w:eastAsia="宋体" w:cs="宋体"/>
                <w:sz w:val="18"/>
                <w:szCs w:val="18"/>
              </w:rPr>
              <w:t>42,232,249.86</w:t>
            </w:r>
          </w:p>
        </w:tc>
        <w:tc>
          <w:tcPr>
            <w:tcW w:w="1071" w:type="dxa"/>
            <w:tcBorders>
              <w:top w:val="single" w:color="auto" w:sz="2" w:space="0"/>
              <w:left w:val="single" w:color="auto" w:sz="2" w:space="0"/>
              <w:bottom w:val="single" w:color="auto" w:sz="2" w:space="0"/>
              <w:right w:val="single" w:color="auto" w:sz="2" w:space="0"/>
            </w:tcBorders>
            <w:vAlign w:val="center"/>
          </w:tcPr>
          <w:p w14:paraId="7985B94D">
            <w:pPr>
              <w:spacing w:line="240" w:lineRule="exact"/>
              <w:jc w:val="right"/>
              <w:rPr>
                <w:rFonts w:ascii="宋体" w:hAnsi="宋体" w:eastAsia="宋体" w:cs="宋体"/>
                <w:sz w:val="18"/>
                <w:szCs w:val="18"/>
              </w:rPr>
            </w:pPr>
            <w:r>
              <w:rPr>
                <w:rFonts w:ascii="宋体" w:hAnsi="宋体" w:eastAsia="宋体" w:cs="宋体"/>
                <w:sz w:val="18"/>
                <w:szCs w:val="18"/>
              </w:rPr>
              <w:t>42,232,249.86</w:t>
            </w:r>
          </w:p>
        </w:tc>
        <w:tc>
          <w:tcPr>
            <w:tcW w:w="1071" w:type="dxa"/>
            <w:tcBorders>
              <w:top w:val="single" w:color="auto" w:sz="2" w:space="0"/>
              <w:left w:val="single" w:color="auto" w:sz="2" w:space="0"/>
              <w:bottom w:val="single" w:color="auto" w:sz="2" w:space="0"/>
              <w:right w:val="single" w:color="auto" w:sz="2" w:space="0"/>
            </w:tcBorders>
            <w:vAlign w:val="center"/>
          </w:tcPr>
          <w:p w14:paraId="1A22AB9F">
            <w:pPr>
              <w:spacing w:line="240" w:lineRule="exact"/>
              <w:jc w:val="right"/>
              <w:rPr>
                <w:rFonts w:ascii="宋体" w:hAnsi="宋体" w:eastAsia="宋体" w:cs="宋体"/>
                <w:sz w:val="18"/>
                <w:szCs w:val="18"/>
              </w:rPr>
            </w:pPr>
            <w:r>
              <w:rPr>
                <w:rFonts w:ascii="宋体" w:hAnsi="宋体" w:eastAsia="宋体" w:cs="宋体"/>
                <w:sz w:val="18"/>
                <w:szCs w:val="18"/>
              </w:rPr>
              <w:t>3,420,245.97</w:t>
            </w:r>
          </w:p>
        </w:tc>
        <w:tc>
          <w:tcPr>
            <w:tcW w:w="1071" w:type="dxa"/>
            <w:tcBorders>
              <w:top w:val="single" w:color="auto" w:sz="2" w:space="0"/>
              <w:left w:val="single" w:color="auto" w:sz="2" w:space="0"/>
              <w:bottom w:val="single" w:color="auto" w:sz="2" w:space="0"/>
              <w:right w:val="single" w:color="auto" w:sz="2" w:space="0"/>
            </w:tcBorders>
            <w:vAlign w:val="center"/>
          </w:tcPr>
          <w:p w14:paraId="3F1EB4EC">
            <w:pPr>
              <w:spacing w:line="240" w:lineRule="exact"/>
              <w:jc w:val="right"/>
              <w:rPr>
                <w:rFonts w:ascii="宋体" w:hAnsi="宋体" w:eastAsia="宋体" w:cs="宋体"/>
                <w:sz w:val="18"/>
                <w:szCs w:val="18"/>
              </w:rPr>
            </w:pPr>
            <w:r>
              <w:rPr>
                <w:rFonts w:ascii="宋体" w:hAnsi="宋体" w:eastAsia="宋体" w:cs="宋体"/>
                <w:sz w:val="18"/>
                <w:szCs w:val="18"/>
              </w:rPr>
              <w:t>147,414,128.78</w:t>
            </w:r>
          </w:p>
        </w:tc>
        <w:tc>
          <w:tcPr>
            <w:tcW w:w="1071" w:type="dxa"/>
            <w:tcBorders>
              <w:top w:val="single" w:color="auto" w:sz="2" w:space="0"/>
              <w:left w:val="single" w:color="auto" w:sz="2" w:space="0"/>
              <w:bottom w:val="single" w:color="auto" w:sz="2" w:space="0"/>
              <w:right w:val="single" w:color="auto" w:sz="2" w:space="0"/>
            </w:tcBorders>
            <w:vAlign w:val="center"/>
          </w:tcPr>
          <w:p w14:paraId="180FAA7D">
            <w:pPr>
              <w:spacing w:line="240" w:lineRule="exact"/>
              <w:jc w:val="right"/>
              <w:rPr>
                <w:rFonts w:ascii="宋体" w:hAnsi="宋体" w:eastAsia="宋体" w:cs="宋体"/>
                <w:sz w:val="18"/>
                <w:szCs w:val="18"/>
              </w:rPr>
            </w:pPr>
            <w:r>
              <w:rPr>
                <w:rFonts w:hint="eastAsia" w:ascii="宋体" w:hAnsi="宋体" w:eastAsia="宋体" w:cs="宋体"/>
                <w:sz w:val="18"/>
                <w:szCs w:val="18"/>
                <w:lang w:val="en-US" w:eastAsia="zh-CN"/>
              </w:rPr>
              <w:t>-18,051,446.65</w:t>
            </w:r>
          </w:p>
        </w:tc>
        <w:tc>
          <w:tcPr>
            <w:tcW w:w="1071" w:type="dxa"/>
            <w:tcBorders>
              <w:top w:val="single" w:color="auto" w:sz="2" w:space="0"/>
              <w:left w:val="single" w:color="auto" w:sz="2" w:space="0"/>
              <w:bottom w:val="single" w:color="auto" w:sz="2" w:space="0"/>
              <w:right w:val="single" w:color="auto" w:sz="2" w:space="0"/>
            </w:tcBorders>
            <w:vAlign w:val="center"/>
          </w:tcPr>
          <w:p w14:paraId="2C0C2E57">
            <w:pPr>
              <w:spacing w:line="240" w:lineRule="exact"/>
              <w:jc w:val="right"/>
              <w:rPr>
                <w:rFonts w:ascii="宋体" w:hAnsi="宋体" w:eastAsia="宋体" w:cs="宋体"/>
                <w:sz w:val="18"/>
                <w:szCs w:val="18"/>
              </w:rPr>
            </w:pPr>
            <w:r>
              <w:rPr>
                <w:rFonts w:hint="eastAsia" w:ascii="宋体" w:hAnsi="宋体" w:eastAsia="宋体" w:cs="宋体"/>
                <w:sz w:val="18"/>
                <w:szCs w:val="18"/>
                <w:lang w:val="en-US" w:eastAsia="zh-CN"/>
              </w:rPr>
              <w:t>-18,051,446.65</w:t>
            </w:r>
          </w:p>
        </w:tc>
        <w:tc>
          <w:tcPr>
            <w:tcW w:w="1071" w:type="dxa"/>
            <w:tcBorders>
              <w:top w:val="single" w:color="auto" w:sz="2" w:space="0"/>
              <w:left w:val="single" w:color="auto" w:sz="2" w:space="0"/>
              <w:bottom w:val="single" w:color="auto" w:sz="2" w:space="0"/>
              <w:right w:val="single" w:color="auto" w:sz="2" w:space="0"/>
            </w:tcBorders>
            <w:vAlign w:val="center"/>
          </w:tcPr>
          <w:p w14:paraId="6A5A8A88">
            <w:pPr>
              <w:spacing w:line="240" w:lineRule="exact"/>
              <w:jc w:val="right"/>
              <w:rPr>
                <w:rFonts w:ascii="宋体" w:hAnsi="宋体" w:eastAsia="宋体" w:cs="宋体"/>
                <w:sz w:val="18"/>
                <w:szCs w:val="18"/>
              </w:rPr>
            </w:pPr>
            <w:r>
              <w:rPr>
                <w:rFonts w:ascii="宋体" w:hAnsi="宋体" w:eastAsia="宋体" w:cs="宋体"/>
                <w:sz w:val="18"/>
                <w:szCs w:val="18"/>
              </w:rPr>
              <w:t>24,823,570.48</w:t>
            </w:r>
          </w:p>
        </w:tc>
      </w:tr>
    </w:tbl>
    <w:p w14:paraId="7276F279">
      <w:pPr>
        <w:spacing w:before="100" w:after="100" w:line="240" w:lineRule="exact"/>
      </w:pPr>
      <w:r>
        <w:rPr>
          <w:rFonts w:ascii="宋体" w:hAnsi="宋体" w:eastAsia="宋体" w:cs="宋体"/>
          <w:sz w:val="18"/>
          <w:szCs w:val="18"/>
        </w:rPr>
        <w:t>其他说明：</w:t>
      </w:r>
    </w:p>
    <w:p w14:paraId="51E9B929">
      <w:pPr>
        <w:keepNext/>
        <w:keepLines/>
        <w:spacing w:before="300" w:after="100" w:line="280" w:lineRule="exact"/>
        <w:outlineLvl w:val="3"/>
      </w:pPr>
      <w:bookmarkStart w:id="416" w:name="_Toc989305"/>
      <w:r>
        <w:rPr>
          <w:rFonts w:ascii="宋体" w:hAnsi="宋体" w:eastAsia="宋体" w:cs="宋体"/>
          <w:b/>
          <w:bCs/>
          <w:sz w:val="18"/>
          <w:szCs w:val="18"/>
        </w:rPr>
        <w:t>（4） 使用企业集团资产和清偿企业集团债务的重大限制</w:t>
      </w:r>
      <w:bookmarkEnd w:id="416"/>
    </w:p>
    <w:p w14:paraId="2A898610">
      <w:pPr>
        <w:keepNext/>
        <w:keepLines/>
        <w:spacing w:before="300" w:after="100" w:line="280" w:lineRule="exact"/>
        <w:outlineLvl w:val="3"/>
      </w:pPr>
      <w:bookmarkStart w:id="417" w:name="_Toc989306"/>
      <w:r>
        <w:rPr>
          <w:rFonts w:ascii="宋体" w:hAnsi="宋体" w:eastAsia="宋体" w:cs="宋体"/>
          <w:b/>
          <w:bCs/>
          <w:sz w:val="18"/>
          <w:szCs w:val="18"/>
        </w:rPr>
        <w:t>（5） 向纳入合并财务报表范围的结构化主体提供的财务支持或其他支持</w:t>
      </w:r>
      <w:bookmarkEnd w:id="417"/>
    </w:p>
    <w:p w14:paraId="1700FEBC">
      <w:pPr>
        <w:spacing w:before="100" w:after="100" w:line="240" w:lineRule="exact"/>
      </w:pPr>
      <w:r>
        <w:rPr>
          <w:rFonts w:ascii="宋体" w:hAnsi="宋体" w:eastAsia="宋体" w:cs="宋体"/>
          <w:sz w:val="18"/>
          <w:szCs w:val="18"/>
        </w:rPr>
        <w:t>其他说明：</w:t>
      </w:r>
    </w:p>
    <w:p w14:paraId="1C394073">
      <w:pPr>
        <w:pStyle w:val="3"/>
        <w:spacing w:after="100" w:line="280" w:lineRule="exact"/>
        <w:jc w:val="left"/>
        <w:rPr>
          <w:rFonts w:ascii="宋体" w:hAnsi="宋体" w:cs="宋体"/>
          <w:b/>
          <w:bCs/>
        </w:rPr>
      </w:pPr>
      <w:bookmarkStart w:id="418" w:name="_Toc989307"/>
      <w:r>
        <w:rPr>
          <w:rFonts w:ascii="宋体" w:hAnsi="宋体" w:cs="宋体"/>
          <w:b/>
          <w:bCs/>
        </w:rPr>
        <w:t>2、在子公司的所有者权益份额发生变化且仍控制子公司的交易</w:t>
      </w:r>
      <w:bookmarkEnd w:id="418"/>
    </w:p>
    <w:p w14:paraId="163BA46A">
      <w:pPr>
        <w:keepNext/>
        <w:keepLines/>
        <w:spacing w:before="300" w:after="100" w:line="280" w:lineRule="exact"/>
        <w:outlineLvl w:val="3"/>
      </w:pPr>
      <w:bookmarkStart w:id="419" w:name="_Toc989308"/>
      <w:r>
        <w:rPr>
          <w:rFonts w:ascii="宋体" w:hAnsi="宋体" w:eastAsia="宋体" w:cs="宋体"/>
          <w:b/>
          <w:bCs/>
          <w:sz w:val="18"/>
          <w:szCs w:val="18"/>
        </w:rPr>
        <w:t>（1） 在子公司所有者权益份额发生变化的情况说明</w:t>
      </w:r>
      <w:bookmarkEnd w:id="419"/>
    </w:p>
    <w:p w14:paraId="091F30A8">
      <w:pPr>
        <w:keepNext/>
        <w:keepLines/>
        <w:spacing w:before="300" w:after="100" w:line="280" w:lineRule="exact"/>
        <w:outlineLvl w:val="3"/>
        <w:rPr>
          <w:rFonts w:ascii="宋体" w:hAnsi="宋体" w:eastAsia="宋体" w:cs="宋体"/>
          <w:b/>
          <w:bCs/>
          <w:sz w:val="18"/>
          <w:szCs w:val="18"/>
        </w:rPr>
      </w:pPr>
      <w:bookmarkStart w:id="420" w:name="_Toc989309"/>
      <w:r>
        <w:rPr>
          <w:rFonts w:ascii="宋体" w:hAnsi="宋体" w:eastAsia="宋体" w:cs="宋体"/>
          <w:b/>
          <w:bCs/>
          <w:sz w:val="18"/>
          <w:szCs w:val="18"/>
        </w:rPr>
        <w:t>（2） 交易对于少数股东权益及归属于母公司所有者权益的影响</w:t>
      </w:r>
      <w:bookmarkEnd w:id="420"/>
    </w:p>
    <w:p w14:paraId="0C9A4EB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4814D94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6CA6001"/>
        </w:tc>
        <w:tc>
          <w:tcPr>
            <w:tcW w:w="4820" w:type="dxa"/>
            <w:tcBorders>
              <w:top w:val="single" w:color="auto" w:sz="2" w:space="0"/>
              <w:left w:val="single" w:color="auto" w:sz="2" w:space="0"/>
              <w:bottom w:val="single" w:color="auto" w:sz="2" w:space="0"/>
              <w:right w:val="single" w:color="auto" w:sz="2" w:space="0"/>
            </w:tcBorders>
            <w:vAlign w:val="center"/>
          </w:tcPr>
          <w:p w14:paraId="6CD1CF91">
            <w:pPr>
              <w:spacing w:line="240" w:lineRule="exact"/>
              <w:jc w:val="center"/>
              <w:rPr>
                <w:rFonts w:ascii="宋体" w:hAnsi="宋体" w:eastAsia="宋体" w:cs="宋体"/>
                <w:sz w:val="18"/>
                <w:szCs w:val="18"/>
              </w:rPr>
            </w:pPr>
          </w:p>
        </w:tc>
      </w:tr>
      <w:tr w14:paraId="29E6813C">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2E025F9">
            <w:pPr>
              <w:spacing w:before="40" w:after="40" w:line="240" w:lineRule="exact"/>
              <w:rPr>
                <w:rFonts w:ascii="宋体" w:hAnsi="宋体" w:eastAsia="宋体" w:cs="宋体"/>
                <w:sz w:val="18"/>
                <w:szCs w:val="18"/>
              </w:rPr>
            </w:pPr>
            <w:r>
              <w:rPr>
                <w:rFonts w:ascii="宋体" w:hAnsi="宋体" w:eastAsia="宋体" w:cs="宋体"/>
                <w:sz w:val="18"/>
                <w:szCs w:val="18"/>
              </w:rPr>
              <w:t>购买成本/处置对价</w:t>
            </w:r>
          </w:p>
        </w:tc>
        <w:tc>
          <w:tcPr>
            <w:tcW w:w="4820" w:type="dxa"/>
            <w:tcBorders>
              <w:top w:val="single" w:color="auto" w:sz="2" w:space="0"/>
              <w:left w:val="single" w:color="auto" w:sz="2" w:space="0"/>
              <w:bottom w:val="single" w:color="auto" w:sz="2" w:space="0"/>
              <w:right w:val="single" w:color="auto" w:sz="2" w:space="0"/>
            </w:tcBorders>
            <w:vAlign w:val="center"/>
          </w:tcPr>
          <w:p w14:paraId="4C1DAF9A">
            <w:pPr>
              <w:spacing w:line="240" w:lineRule="exact"/>
              <w:jc w:val="right"/>
              <w:rPr>
                <w:rFonts w:ascii="宋体" w:hAnsi="宋体" w:eastAsia="宋体" w:cs="宋体"/>
                <w:sz w:val="18"/>
                <w:szCs w:val="18"/>
              </w:rPr>
            </w:pPr>
          </w:p>
        </w:tc>
      </w:tr>
      <w:tr w14:paraId="61BFA8BE">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AF8AFEB">
            <w:pPr>
              <w:spacing w:before="40" w:after="40" w:line="240" w:lineRule="exact"/>
              <w:rPr>
                <w:rFonts w:ascii="宋体" w:hAnsi="宋体" w:eastAsia="宋体" w:cs="宋体"/>
                <w:sz w:val="18"/>
                <w:szCs w:val="18"/>
              </w:rPr>
            </w:pPr>
            <w:r>
              <w:rPr>
                <w:rFonts w:ascii="宋体" w:hAnsi="宋体" w:eastAsia="宋体" w:cs="宋体"/>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01818B0A">
            <w:pPr>
              <w:spacing w:line="240" w:lineRule="exact"/>
              <w:jc w:val="right"/>
              <w:rPr>
                <w:rFonts w:ascii="宋体" w:hAnsi="宋体" w:eastAsia="宋体" w:cs="宋体"/>
                <w:sz w:val="18"/>
                <w:szCs w:val="18"/>
              </w:rPr>
            </w:pPr>
          </w:p>
        </w:tc>
      </w:tr>
      <w:tr w14:paraId="049A3905">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0B95E04">
            <w:pPr>
              <w:spacing w:before="40" w:after="40" w:line="240" w:lineRule="exact"/>
              <w:rPr>
                <w:rFonts w:ascii="宋体" w:hAnsi="宋体" w:eastAsia="宋体" w:cs="宋体"/>
                <w:sz w:val="18"/>
                <w:szCs w:val="18"/>
              </w:rPr>
            </w:pPr>
            <w:r>
              <w:rPr>
                <w:rFonts w:ascii="宋体" w:hAnsi="宋体" w:eastAsia="宋体" w:cs="宋体"/>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325867FE">
            <w:pPr>
              <w:spacing w:line="240" w:lineRule="exact"/>
              <w:jc w:val="right"/>
              <w:rPr>
                <w:rFonts w:ascii="宋体" w:hAnsi="宋体" w:eastAsia="宋体" w:cs="宋体"/>
                <w:sz w:val="18"/>
                <w:szCs w:val="18"/>
              </w:rPr>
            </w:pPr>
          </w:p>
        </w:tc>
      </w:tr>
      <w:tr w14:paraId="2DCD1121">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B8A1BB5">
            <w:pPr>
              <w:spacing w:line="240" w:lineRule="exact"/>
              <w:rPr>
                <w:rFonts w:ascii="宋体" w:hAnsi="宋体" w:eastAsia="宋体" w:cs="宋体"/>
                <w:sz w:val="18"/>
                <w:szCs w:val="18"/>
              </w:rPr>
            </w:pPr>
          </w:p>
        </w:tc>
        <w:tc>
          <w:tcPr>
            <w:tcW w:w="4820" w:type="dxa"/>
            <w:tcBorders>
              <w:top w:val="single" w:color="auto" w:sz="2" w:space="0"/>
              <w:left w:val="single" w:color="auto" w:sz="2" w:space="0"/>
              <w:bottom w:val="single" w:color="auto" w:sz="2" w:space="0"/>
              <w:right w:val="single" w:color="auto" w:sz="2" w:space="0"/>
            </w:tcBorders>
            <w:vAlign w:val="center"/>
          </w:tcPr>
          <w:p w14:paraId="6C55ACA4">
            <w:pPr>
              <w:spacing w:line="240" w:lineRule="exact"/>
              <w:jc w:val="right"/>
              <w:rPr>
                <w:rFonts w:ascii="宋体" w:hAnsi="宋体" w:eastAsia="宋体" w:cs="宋体"/>
                <w:sz w:val="18"/>
                <w:szCs w:val="18"/>
              </w:rPr>
            </w:pPr>
          </w:p>
        </w:tc>
      </w:tr>
      <w:tr w14:paraId="7AFED80B">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F16FB14">
            <w:pPr>
              <w:spacing w:before="40" w:after="40" w:line="240" w:lineRule="exact"/>
              <w:rPr>
                <w:rFonts w:ascii="宋体" w:hAnsi="宋体" w:eastAsia="宋体" w:cs="宋体"/>
                <w:sz w:val="18"/>
                <w:szCs w:val="18"/>
              </w:rPr>
            </w:pPr>
            <w:r>
              <w:rPr>
                <w:rFonts w:ascii="宋体" w:hAnsi="宋体" w:eastAsia="宋体" w:cs="宋体"/>
                <w:sz w:val="18"/>
                <w:szCs w:val="18"/>
              </w:rPr>
              <w:t>购买成本/处置对价合计</w:t>
            </w:r>
          </w:p>
        </w:tc>
        <w:tc>
          <w:tcPr>
            <w:tcW w:w="4820" w:type="dxa"/>
            <w:tcBorders>
              <w:top w:val="single" w:color="auto" w:sz="2" w:space="0"/>
              <w:left w:val="single" w:color="auto" w:sz="2" w:space="0"/>
              <w:bottom w:val="single" w:color="auto" w:sz="2" w:space="0"/>
              <w:right w:val="single" w:color="auto" w:sz="2" w:space="0"/>
            </w:tcBorders>
            <w:vAlign w:val="center"/>
          </w:tcPr>
          <w:p w14:paraId="1FAAEACF">
            <w:pPr>
              <w:spacing w:line="240" w:lineRule="exact"/>
              <w:jc w:val="right"/>
              <w:rPr>
                <w:rFonts w:ascii="宋体" w:hAnsi="宋体" w:eastAsia="宋体" w:cs="宋体"/>
                <w:sz w:val="18"/>
                <w:szCs w:val="18"/>
              </w:rPr>
            </w:pPr>
          </w:p>
        </w:tc>
      </w:tr>
      <w:tr w14:paraId="44759834">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DB31DD4">
            <w:pPr>
              <w:spacing w:before="40" w:after="40" w:line="240" w:lineRule="exact"/>
              <w:rPr>
                <w:rFonts w:ascii="宋体" w:hAnsi="宋体" w:eastAsia="宋体" w:cs="宋体"/>
                <w:sz w:val="18"/>
                <w:szCs w:val="18"/>
              </w:rPr>
            </w:pPr>
            <w:r>
              <w:rPr>
                <w:rFonts w:ascii="宋体" w:hAnsi="宋体" w:eastAsia="宋体" w:cs="宋体"/>
                <w:sz w:val="18"/>
                <w:szCs w:val="18"/>
              </w:rPr>
              <w:t>减：按取得/处置的股权比例计算的子公司净资产份额</w:t>
            </w:r>
          </w:p>
        </w:tc>
        <w:tc>
          <w:tcPr>
            <w:tcW w:w="4820" w:type="dxa"/>
            <w:tcBorders>
              <w:top w:val="single" w:color="auto" w:sz="2" w:space="0"/>
              <w:left w:val="single" w:color="auto" w:sz="2" w:space="0"/>
              <w:bottom w:val="single" w:color="auto" w:sz="2" w:space="0"/>
              <w:right w:val="single" w:color="auto" w:sz="2" w:space="0"/>
            </w:tcBorders>
            <w:vAlign w:val="center"/>
          </w:tcPr>
          <w:p w14:paraId="7B8BFCFE">
            <w:pPr>
              <w:spacing w:line="240" w:lineRule="exact"/>
              <w:jc w:val="right"/>
              <w:rPr>
                <w:rFonts w:ascii="宋体" w:hAnsi="宋体" w:eastAsia="宋体" w:cs="宋体"/>
                <w:sz w:val="18"/>
                <w:szCs w:val="18"/>
              </w:rPr>
            </w:pPr>
          </w:p>
        </w:tc>
      </w:tr>
      <w:tr w14:paraId="5FD5925B">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E5CED83">
            <w:pPr>
              <w:spacing w:before="40" w:after="40" w:line="240" w:lineRule="exact"/>
              <w:rPr>
                <w:rFonts w:ascii="宋体" w:hAnsi="宋体" w:eastAsia="宋体" w:cs="宋体"/>
                <w:sz w:val="18"/>
                <w:szCs w:val="18"/>
              </w:rPr>
            </w:pPr>
            <w:r>
              <w:rPr>
                <w:rFonts w:ascii="宋体" w:hAnsi="宋体" w:eastAsia="宋体" w:cs="宋体"/>
                <w:sz w:val="18"/>
                <w:szCs w:val="18"/>
              </w:rPr>
              <w:t>差额</w:t>
            </w:r>
          </w:p>
        </w:tc>
        <w:tc>
          <w:tcPr>
            <w:tcW w:w="4820" w:type="dxa"/>
            <w:tcBorders>
              <w:top w:val="single" w:color="auto" w:sz="2" w:space="0"/>
              <w:left w:val="single" w:color="auto" w:sz="2" w:space="0"/>
              <w:bottom w:val="single" w:color="auto" w:sz="2" w:space="0"/>
              <w:right w:val="single" w:color="auto" w:sz="2" w:space="0"/>
            </w:tcBorders>
            <w:vAlign w:val="center"/>
          </w:tcPr>
          <w:p w14:paraId="7E10A6A2">
            <w:pPr>
              <w:spacing w:line="240" w:lineRule="exact"/>
              <w:jc w:val="right"/>
              <w:rPr>
                <w:rFonts w:ascii="宋体" w:hAnsi="宋体" w:eastAsia="宋体" w:cs="宋体"/>
                <w:sz w:val="18"/>
                <w:szCs w:val="18"/>
              </w:rPr>
            </w:pPr>
          </w:p>
        </w:tc>
      </w:tr>
      <w:tr w14:paraId="0BE1377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F5C907E">
            <w:pPr>
              <w:spacing w:before="40" w:after="40" w:line="240" w:lineRule="exact"/>
              <w:rPr>
                <w:rFonts w:ascii="宋体" w:hAnsi="宋体" w:eastAsia="宋体" w:cs="宋体"/>
                <w:sz w:val="18"/>
                <w:szCs w:val="18"/>
              </w:rPr>
            </w:pPr>
            <w:r>
              <w:rPr>
                <w:rFonts w:ascii="宋体" w:hAnsi="宋体" w:eastAsia="宋体" w:cs="宋体"/>
                <w:sz w:val="18"/>
                <w:szCs w:val="18"/>
              </w:rPr>
              <w:t>其中：调整资本公积</w:t>
            </w:r>
          </w:p>
        </w:tc>
        <w:tc>
          <w:tcPr>
            <w:tcW w:w="4820" w:type="dxa"/>
            <w:tcBorders>
              <w:top w:val="single" w:color="auto" w:sz="2" w:space="0"/>
              <w:left w:val="single" w:color="auto" w:sz="2" w:space="0"/>
              <w:bottom w:val="single" w:color="auto" w:sz="2" w:space="0"/>
              <w:right w:val="single" w:color="auto" w:sz="2" w:space="0"/>
            </w:tcBorders>
            <w:vAlign w:val="center"/>
          </w:tcPr>
          <w:p w14:paraId="3D1FE6AC">
            <w:pPr>
              <w:spacing w:line="240" w:lineRule="exact"/>
              <w:jc w:val="right"/>
              <w:rPr>
                <w:rFonts w:ascii="宋体" w:hAnsi="宋体" w:eastAsia="宋体" w:cs="宋体"/>
                <w:sz w:val="18"/>
                <w:szCs w:val="18"/>
              </w:rPr>
            </w:pPr>
          </w:p>
        </w:tc>
      </w:tr>
      <w:tr w14:paraId="228B33F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A19A80C">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调整盈余公积</w:t>
            </w:r>
          </w:p>
        </w:tc>
        <w:tc>
          <w:tcPr>
            <w:tcW w:w="4820" w:type="dxa"/>
            <w:tcBorders>
              <w:top w:val="single" w:color="auto" w:sz="2" w:space="0"/>
              <w:left w:val="single" w:color="auto" w:sz="2" w:space="0"/>
              <w:bottom w:val="single" w:color="auto" w:sz="2" w:space="0"/>
              <w:right w:val="single" w:color="auto" w:sz="2" w:space="0"/>
            </w:tcBorders>
            <w:vAlign w:val="center"/>
          </w:tcPr>
          <w:p w14:paraId="2550A9B4">
            <w:pPr>
              <w:spacing w:line="240" w:lineRule="exact"/>
              <w:jc w:val="right"/>
              <w:rPr>
                <w:rFonts w:ascii="宋体" w:hAnsi="宋体" w:eastAsia="宋体" w:cs="宋体"/>
                <w:sz w:val="18"/>
                <w:szCs w:val="18"/>
              </w:rPr>
            </w:pPr>
          </w:p>
        </w:tc>
      </w:tr>
      <w:tr w14:paraId="27769132">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155287A">
            <w:pPr>
              <w:spacing w:before="40" w:after="40" w:line="240" w:lineRule="exact"/>
              <w:ind w:firstLine="540" w:firstLineChars="300"/>
              <w:rPr>
                <w:rFonts w:ascii="宋体" w:hAnsi="宋体" w:eastAsia="宋体" w:cs="宋体"/>
                <w:sz w:val="18"/>
                <w:szCs w:val="18"/>
              </w:rPr>
            </w:pPr>
            <w:r>
              <w:rPr>
                <w:rFonts w:ascii="宋体" w:hAnsi="宋体" w:eastAsia="宋体" w:cs="宋体"/>
                <w:sz w:val="18"/>
                <w:szCs w:val="18"/>
              </w:rPr>
              <w:t>调整未分配利润</w:t>
            </w:r>
          </w:p>
        </w:tc>
        <w:tc>
          <w:tcPr>
            <w:tcW w:w="4820" w:type="dxa"/>
            <w:tcBorders>
              <w:top w:val="single" w:color="auto" w:sz="2" w:space="0"/>
              <w:left w:val="single" w:color="auto" w:sz="2" w:space="0"/>
              <w:bottom w:val="single" w:color="auto" w:sz="2" w:space="0"/>
              <w:right w:val="single" w:color="auto" w:sz="2" w:space="0"/>
            </w:tcBorders>
            <w:vAlign w:val="center"/>
          </w:tcPr>
          <w:p w14:paraId="4AFEAE6E">
            <w:pPr>
              <w:spacing w:line="240" w:lineRule="exact"/>
              <w:jc w:val="right"/>
              <w:rPr>
                <w:rFonts w:ascii="宋体" w:hAnsi="宋体" w:eastAsia="宋体" w:cs="宋体"/>
                <w:sz w:val="18"/>
                <w:szCs w:val="18"/>
              </w:rPr>
            </w:pPr>
          </w:p>
        </w:tc>
      </w:tr>
    </w:tbl>
    <w:p w14:paraId="77A0316B">
      <w:pPr>
        <w:spacing w:before="100" w:after="100" w:line="240" w:lineRule="exact"/>
      </w:pPr>
      <w:r>
        <w:rPr>
          <w:rFonts w:ascii="宋体" w:hAnsi="宋体" w:eastAsia="宋体" w:cs="宋体"/>
          <w:sz w:val="18"/>
          <w:szCs w:val="18"/>
        </w:rPr>
        <w:t>其他说明</w:t>
      </w:r>
    </w:p>
    <w:p w14:paraId="7C23AD33">
      <w:pPr>
        <w:pStyle w:val="3"/>
        <w:spacing w:after="100" w:line="280" w:lineRule="exact"/>
        <w:jc w:val="left"/>
        <w:rPr>
          <w:rFonts w:ascii="宋体" w:hAnsi="宋体" w:cs="宋体"/>
          <w:b/>
          <w:bCs/>
        </w:rPr>
      </w:pPr>
      <w:bookmarkStart w:id="421" w:name="_Toc989310"/>
      <w:r>
        <w:rPr>
          <w:rFonts w:ascii="宋体" w:hAnsi="宋体" w:cs="宋体"/>
          <w:b/>
          <w:bCs/>
        </w:rPr>
        <w:t>3、在合营安排或联营企业中的权益</w:t>
      </w:r>
      <w:bookmarkEnd w:id="421"/>
    </w:p>
    <w:p w14:paraId="7FB87EA0">
      <w:pPr>
        <w:keepNext/>
        <w:keepLines/>
        <w:spacing w:before="300" w:after="100" w:line="280" w:lineRule="exact"/>
        <w:outlineLvl w:val="3"/>
        <w:rPr>
          <w:rFonts w:ascii="宋体" w:hAnsi="宋体" w:eastAsia="宋体" w:cs="宋体"/>
          <w:b/>
          <w:bCs/>
          <w:szCs w:val="21"/>
        </w:rPr>
      </w:pPr>
      <w:bookmarkStart w:id="422" w:name="_Toc989311"/>
      <w:r>
        <w:rPr>
          <w:rFonts w:ascii="宋体" w:hAnsi="宋体" w:eastAsia="宋体" w:cs="宋体"/>
          <w:b/>
          <w:bCs/>
          <w:szCs w:val="21"/>
        </w:rPr>
        <w:t>（1） 重要的合营企业或联营企业</w:t>
      </w:r>
      <w:bookmarkEnd w:id="422"/>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0783B20">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DEBF20">
            <w:pPr>
              <w:spacing w:before="40" w:after="40" w:line="240" w:lineRule="exact"/>
              <w:jc w:val="center"/>
              <w:rPr>
                <w:rFonts w:ascii="宋体" w:hAnsi="宋体" w:eastAsia="宋体" w:cs="宋体"/>
                <w:sz w:val="18"/>
                <w:szCs w:val="18"/>
              </w:rPr>
            </w:pPr>
            <w:r>
              <w:rPr>
                <w:rFonts w:ascii="宋体" w:hAnsi="宋体" w:eastAsia="宋体" w:cs="宋体"/>
                <w:sz w:val="18"/>
                <w:szCs w:val="18"/>
              </w:rPr>
              <w:t>合营企业或联营企业名称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572A54">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FFD472">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860409">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655B963">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B60F5D">
            <w:pPr>
              <w:spacing w:before="40" w:after="40" w:line="240" w:lineRule="exact"/>
              <w:jc w:val="center"/>
              <w:rPr>
                <w:rFonts w:ascii="宋体" w:hAnsi="宋体" w:eastAsia="宋体" w:cs="宋体"/>
                <w:sz w:val="18"/>
                <w:szCs w:val="18"/>
              </w:rPr>
            </w:pPr>
            <w:r>
              <w:rPr>
                <w:rFonts w:ascii="宋体" w:hAnsi="宋体" w:eastAsia="宋体" w:cs="宋体"/>
                <w:sz w:val="18"/>
                <w:szCs w:val="18"/>
              </w:rPr>
              <w:t>对合营企业或联营企业投资的会计处理方法</w:t>
            </w:r>
          </w:p>
        </w:tc>
      </w:tr>
      <w:tr w14:paraId="092DF119">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811A62"/>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DE00B0"/>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DCD26AC"/>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25159F2"/>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F45B00">
            <w:pPr>
              <w:spacing w:before="40" w:after="40" w:line="240" w:lineRule="exact"/>
              <w:jc w:val="center"/>
              <w:rPr>
                <w:rFonts w:ascii="宋体" w:hAnsi="宋体" w:eastAsia="宋体" w:cs="宋体"/>
                <w:sz w:val="18"/>
                <w:szCs w:val="18"/>
              </w:rPr>
            </w:pPr>
            <w:r>
              <w:rPr>
                <w:rFonts w:ascii="宋体" w:hAnsi="宋体" w:eastAsia="宋体" w:cs="宋体"/>
                <w:sz w:val="18"/>
                <w:szCs w:val="18"/>
              </w:rPr>
              <w:t>直接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53F0C9">
            <w:pPr>
              <w:spacing w:before="40" w:after="40" w:line="240" w:lineRule="exact"/>
              <w:jc w:val="center"/>
              <w:rPr>
                <w:rFonts w:ascii="宋体" w:hAnsi="宋体" w:eastAsia="宋体" w:cs="宋体"/>
                <w:sz w:val="18"/>
                <w:szCs w:val="18"/>
              </w:rPr>
            </w:pPr>
            <w:r>
              <w:rPr>
                <w:rFonts w:ascii="宋体" w:hAnsi="宋体" w:eastAsia="宋体" w:cs="宋体"/>
                <w:sz w:val="18"/>
                <w:szCs w:val="18"/>
              </w:rPr>
              <w:t>间接</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490412"/>
        </w:tc>
      </w:tr>
    </w:tbl>
    <w:p w14:paraId="2827A5D0">
      <w:pPr>
        <w:spacing w:before="100" w:after="100" w:line="240" w:lineRule="exact"/>
      </w:pPr>
      <w:r>
        <w:rPr>
          <w:rFonts w:ascii="宋体" w:hAnsi="宋体" w:eastAsia="宋体" w:cs="宋体"/>
          <w:sz w:val="18"/>
          <w:szCs w:val="18"/>
        </w:rPr>
        <w:t>在合营企业或联营企业的持股比例不同于表决权比例的说明：</w:t>
      </w:r>
    </w:p>
    <w:p w14:paraId="395ABEEC">
      <w:pPr>
        <w:spacing w:before="100" w:after="100" w:line="240" w:lineRule="exact"/>
      </w:pPr>
      <w:r>
        <w:rPr>
          <w:rFonts w:ascii="宋体" w:hAnsi="宋体" w:eastAsia="宋体" w:cs="宋体"/>
          <w:sz w:val="18"/>
          <w:szCs w:val="18"/>
        </w:rPr>
        <w:t>持有20%以下表决权但具有重大影响，或者持有20%或以上表决权但不具有重大影响的依据：</w:t>
      </w:r>
    </w:p>
    <w:p w14:paraId="56AA39E4">
      <w:pPr>
        <w:keepNext/>
        <w:keepLines/>
        <w:spacing w:before="300" w:after="100" w:line="280" w:lineRule="exact"/>
        <w:outlineLvl w:val="3"/>
        <w:rPr>
          <w:rFonts w:ascii="宋体" w:hAnsi="宋体" w:eastAsia="宋体" w:cs="宋体"/>
          <w:b/>
          <w:bCs/>
          <w:szCs w:val="21"/>
        </w:rPr>
      </w:pPr>
      <w:bookmarkStart w:id="423" w:name="_Toc989312"/>
      <w:r>
        <w:rPr>
          <w:rFonts w:ascii="宋体" w:hAnsi="宋体" w:eastAsia="宋体" w:cs="宋体"/>
          <w:b/>
          <w:bCs/>
          <w:szCs w:val="21"/>
        </w:rPr>
        <w:t>（2） 重要合营企业的主要财务信息</w:t>
      </w:r>
      <w:bookmarkEnd w:id="423"/>
    </w:p>
    <w:p w14:paraId="5B7BC23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E8A9885">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5D6580D"/>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FCBAA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922B0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期初余额/上期发生额</w:t>
            </w:r>
          </w:p>
        </w:tc>
      </w:tr>
      <w:tr w14:paraId="0395D4A9">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09F764"/>
        </w:tc>
        <w:tc>
          <w:tcPr>
            <w:tcW w:w="3213" w:type="dxa"/>
            <w:tcBorders>
              <w:top w:val="single" w:color="auto" w:sz="2" w:space="0"/>
              <w:left w:val="single" w:color="auto" w:sz="2" w:space="0"/>
              <w:bottom w:val="single" w:color="auto" w:sz="2" w:space="0"/>
              <w:right w:val="single" w:color="auto" w:sz="2" w:space="0"/>
            </w:tcBorders>
            <w:vAlign w:val="center"/>
          </w:tcPr>
          <w:p w14:paraId="07647F57">
            <w:pPr>
              <w:spacing w:line="240" w:lineRule="exact"/>
              <w:jc w:val="center"/>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575CF13">
            <w:pPr>
              <w:spacing w:line="240" w:lineRule="exact"/>
              <w:jc w:val="center"/>
              <w:rPr>
                <w:rFonts w:ascii="宋体" w:hAnsi="宋体" w:eastAsia="宋体" w:cs="宋体"/>
                <w:sz w:val="18"/>
                <w:szCs w:val="18"/>
              </w:rPr>
            </w:pPr>
          </w:p>
        </w:tc>
      </w:tr>
      <w:tr w14:paraId="5CA480A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0C192F">
            <w:pPr>
              <w:spacing w:before="40" w:after="40" w:line="240" w:lineRule="exac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392EE5F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39BA14">
            <w:pPr>
              <w:spacing w:line="240" w:lineRule="exact"/>
              <w:jc w:val="right"/>
              <w:rPr>
                <w:rFonts w:ascii="宋体" w:hAnsi="宋体" w:eastAsia="宋体" w:cs="宋体"/>
                <w:sz w:val="18"/>
                <w:szCs w:val="18"/>
              </w:rPr>
            </w:pPr>
          </w:p>
        </w:tc>
      </w:tr>
      <w:tr w14:paraId="5779E70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E9973C">
            <w:pPr>
              <w:spacing w:before="40" w:after="40" w:line="240" w:lineRule="exact"/>
              <w:rPr>
                <w:rFonts w:ascii="宋体" w:hAnsi="宋体" w:eastAsia="宋体" w:cs="宋体"/>
                <w:sz w:val="18"/>
                <w:szCs w:val="18"/>
              </w:rPr>
            </w:pPr>
            <w:r>
              <w:rPr>
                <w:rFonts w:ascii="宋体" w:hAnsi="宋体" w:eastAsia="宋体" w:cs="宋体"/>
                <w:sz w:val="18"/>
                <w:szCs w:val="18"/>
              </w:rPr>
              <w:t>其中：现金和现金等价物</w:t>
            </w:r>
          </w:p>
        </w:tc>
        <w:tc>
          <w:tcPr>
            <w:tcW w:w="3213" w:type="dxa"/>
            <w:tcBorders>
              <w:top w:val="single" w:color="auto" w:sz="2" w:space="0"/>
              <w:left w:val="single" w:color="auto" w:sz="2" w:space="0"/>
              <w:bottom w:val="single" w:color="auto" w:sz="2" w:space="0"/>
              <w:right w:val="single" w:color="auto" w:sz="2" w:space="0"/>
            </w:tcBorders>
            <w:vAlign w:val="center"/>
          </w:tcPr>
          <w:p w14:paraId="755BB49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2BA586">
            <w:pPr>
              <w:spacing w:line="240" w:lineRule="exact"/>
              <w:jc w:val="right"/>
              <w:rPr>
                <w:rFonts w:ascii="宋体" w:hAnsi="宋体" w:eastAsia="宋体" w:cs="宋体"/>
                <w:sz w:val="18"/>
                <w:szCs w:val="18"/>
              </w:rPr>
            </w:pPr>
          </w:p>
        </w:tc>
      </w:tr>
      <w:tr w14:paraId="55B94E2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A0360D">
            <w:pPr>
              <w:spacing w:before="40" w:after="40" w:line="240" w:lineRule="exac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F469A5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9CD58E">
            <w:pPr>
              <w:spacing w:line="240" w:lineRule="exact"/>
              <w:jc w:val="right"/>
              <w:rPr>
                <w:rFonts w:ascii="宋体" w:hAnsi="宋体" w:eastAsia="宋体" w:cs="宋体"/>
                <w:sz w:val="18"/>
                <w:szCs w:val="18"/>
              </w:rPr>
            </w:pPr>
          </w:p>
        </w:tc>
      </w:tr>
      <w:tr w14:paraId="2847699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F6FB8B">
            <w:pPr>
              <w:spacing w:before="40" w:after="40" w:line="240" w:lineRule="exact"/>
              <w:rPr>
                <w:rFonts w:ascii="宋体" w:hAnsi="宋体" w:eastAsia="宋体" w:cs="宋体"/>
                <w:sz w:val="18"/>
                <w:szCs w:val="18"/>
              </w:rPr>
            </w:pPr>
            <w:r>
              <w:rPr>
                <w:rFonts w:ascii="宋体" w:hAnsi="宋体" w:eastAsia="宋体" w:cs="宋体"/>
                <w:sz w:val="18"/>
                <w:szCs w:val="18"/>
              </w:rPr>
              <w:t>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5E1CCCC6">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1E8BA80">
            <w:pPr>
              <w:spacing w:line="240" w:lineRule="exact"/>
              <w:jc w:val="right"/>
              <w:rPr>
                <w:rFonts w:ascii="宋体" w:hAnsi="宋体" w:eastAsia="宋体" w:cs="宋体"/>
                <w:sz w:val="18"/>
                <w:szCs w:val="18"/>
              </w:rPr>
            </w:pPr>
          </w:p>
        </w:tc>
      </w:tr>
      <w:tr w14:paraId="153EA38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A98178">
            <w:pPr>
              <w:spacing w:before="40" w:after="40" w:line="240" w:lineRule="exac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3FD8AF5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CC434C">
            <w:pPr>
              <w:spacing w:line="240" w:lineRule="exact"/>
              <w:jc w:val="right"/>
              <w:rPr>
                <w:rFonts w:ascii="宋体" w:hAnsi="宋体" w:eastAsia="宋体" w:cs="宋体"/>
                <w:sz w:val="18"/>
                <w:szCs w:val="18"/>
              </w:rPr>
            </w:pPr>
          </w:p>
        </w:tc>
      </w:tr>
      <w:tr w14:paraId="6A4EDEC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39775">
            <w:pPr>
              <w:spacing w:before="40" w:after="40" w:line="240" w:lineRule="exac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DA6263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13F299">
            <w:pPr>
              <w:spacing w:line="240" w:lineRule="exact"/>
              <w:jc w:val="right"/>
              <w:rPr>
                <w:rFonts w:ascii="宋体" w:hAnsi="宋体" w:eastAsia="宋体" w:cs="宋体"/>
                <w:sz w:val="18"/>
                <w:szCs w:val="18"/>
              </w:rPr>
            </w:pPr>
          </w:p>
        </w:tc>
      </w:tr>
      <w:tr w14:paraId="419855E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C45FA9">
            <w:pPr>
              <w:spacing w:before="40" w:after="40" w:line="240" w:lineRule="exac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E96D68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B09D88">
            <w:pPr>
              <w:spacing w:line="240" w:lineRule="exact"/>
              <w:jc w:val="right"/>
              <w:rPr>
                <w:rFonts w:ascii="宋体" w:hAnsi="宋体" w:eastAsia="宋体" w:cs="宋体"/>
                <w:sz w:val="18"/>
                <w:szCs w:val="18"/>
              </w:rPr>
            </w:pPr>
          </w:p>
        </w:tc>
      </w:tr>
      <w:tr w14:paraId="200C3A6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25581E">
            <w:pPr>
              <w:spacing w:before="40" w:after="40" w:line="240" w:lineRule="exact"/>
              <w:rPr>
                <w:rFonts w:ascii="宋体" w:hAnsi="宋体" w:eastAsia="宋体" w:cs="宋体"/>
                <w:sz w:val="18"/>
                <w:szCs w:val="18"/>
              </w:rPr>
            </w:pPr>
            <w:r>
              <w:rPr>
                <w:rFonts w:ascii="宋体" w:hAnsi="宋体" w:eastAsia="宋体" w:cs="宋体"/>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0FB2236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052293">
            <w:pPr>
              <w:spacing w:line="240" w:lineRule="exact"/>
              <w:jc w:val="right"/>
              <w:rPr>
                <w:rFonts w:ascii="宋体" w:hAnsi="宋体" w:eastAsia="宋体" w:cs="宋体"/>
                <w:sz w:val="18"/>
                <w:szCs w:val="18"/>
              </w:rPr>
            </w:pPr>
          </w:p>
        </w:tc>
      </w:tr>
      <w:tr w14:paraId="43FD5D4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29EC9F">
            <w:pPr>
              <w:spacing w:before="40" w:after="40" w:line="240" w:lineRule="exact"/>
              <w:rPr>
                <w:rFonts w:ascii="宋体" w:hAnsi="宋体" w:eastAsia="宋体" w:cs="宋体"/>
                <w:sz w:val="18"/>
                <w:szCs w:val="18"/>
              </w:rPr>
            </w:pPr>
            <w:r>
              <w:rPr>
                <w:rFonts w:ascii="宋体" w:hAnsi="宋体" w:eastAsia="宋体" w:cs="宋体"/>
                <w:sz w:val="18"/>
                <w:szCs w:val="18"/>
              </w:rPr>
              <w:t>归属于母公司股东权益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336749C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856195">
            <w:pPr>
              <w:spacing w:line="240" w:lineRule="exact"/>
              <w:jc w:val="right"/>
              <w:rPr>
                <w:rFonts w:ascii="宋体" w:hAnsi="宋体" w:eastAsia="宋体" w:cs="宋体"/>
                <w:sz w:val="18"/>
                <w:szCs w:val="18"/>
              </w:rPr>
            </w:pPr>
          </w:p>
        </w:tc>
      </w:tr>
      <w:tr w14:paraId="764876A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EF756E">
            <w:pPr>
              <w:spacing w:before="40" w:after="40" w:line="240" w:lineRule="exact"/>
              <w:rPr>
                <w:rFonts w:ascii="宋体" w:hAnsi="宋体" w:eastAsia="宋体" w:cs="宋体"/>
                <w:sz w:val="18"/>
                <w:szCs w:val="18"/>
              </w:rPr>
            </w:pPr>
            <w:r>
              <w:rPr>
                <w:rFonts w:ascii="宋体" w:hAnsi="宋体" w:eastAsia="宋体" w:cs="宋体"/>
                <w:sz w:val="18"/>
                <w:szCs w:val="18"/>
              </w:rPr>
              <w:t>按持股比例计算的净资产份额</w:t>
            </w:r>
          </w:p>
        </w:tc>
        <w:tc>
          <w:tcPr>
            <w:tcW w:w="3213" w:type="dxa"/>
            <w:tcBorders>
              <w:top w:val="single" w:color="auto" w:sz="2" w:space="0"/>
              <w:left w:val="single" w:color="auto" w:sz="2" w:space="0"/>
              <w:bottom w:val="single" w:color="auto" w:sz="2" w:space="0"/>
              <w:right w:val="single" w:color="auto" w:sz="2" w:space="0"/>
            </w:tcBorders>
            <w:vAlign w:val="center"/>
          </w:tcPr>
          <w:p w14:paraId="2278EF9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8CBD57">
            <w:pPr>
              <w:spacing w:line="240" w:lineRule="exact"/>
              <w:jc w:val="right"/>
              <w:rPr>
                <w:rFonts w:ascii="宋体" w:hAnsi="宋体" w:eastAsia="宋体" w:cs="宋体"/>
                <w:sz w:val="18"/>
                <w:szCs w:val="18"/>
              </w:rPr>
            </w:pPr>
          </w:p>
        </w:tc>
      </w:tr>
      <w:tr w14:paraId="3EC26F6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50E93A">
            <w:pPr>
              <w:spacing w:before="40" w:after="40" w:line="240" w:lineRule="exact"/>
              <w:rPr>
                <w:rFonts w:ascii="宋体" w:hAnsi="宋体" w:eastAsia="宋体" w:cs="宋体"/>
                <w:sz w:val="18"/>
                <w:szCs w:val="18"/>
              </w:rPr>
            </w:pPr>
            <w:r>
              <w:rPr>
                <w:rFonts w:ascii="宋体" w:hAnsi="宋体" w:eastAsia="宋体" w:cs="宋体"/>
                <w:sz w:val="18"/>
                <w:szCs w:val="18"/>
              </w:rPr>
              <w:t>调整事项</w:t>
            </w:r>
          </w:p>
        </w:tc>
        <w:tc>
          <w:tcPr>
            <w:tcW w:w="3213" w:type="dxa"/>
            <w:tcBorders>
              <w:top w:val="single" w:color="auto" w:sz="2" w:space="0"/>
              <w:left w:val="single" w:color="auto" w:sz="2" w:space="0"/>
              <w:bottom w:val="single" w:color="auto" w:sz="2" w:space="0"/>
              <w:right w:val="single" w:color="auto" w:sz="2" w:space="0"/>
            </w:tcBorders>
            <w:vAlign w:val="center"/>
          </w:tcPr>
          <w:p w14:paraId="6D7E9E45">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8ABEB2">
            <w:pPr>
              <w:spacing w:line="240" w:lineRule="exact"/>
              <w:jc w:val="right"/>
              <w:rPr>
                <w:rFonts w:ascii="宋体" w:hAnsi="宋体" w:eastAsia="宋体" w:cs="宋体"/>
                <w:sz w:val="18"/>
                <w:szCs w:val="18"/>
              </w:rPr>
            </w:pPr>
          </w:p>
        </w:tc>
      </w:tr>
      <w:tr w14:paraId="008A7FD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39B4B7">
            <w:pPr>
              <w:spacing w:before="40" w:after="40" w:line="240" w:lineRule="exact"/>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74D69D9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683372">
            <w:pPr>
              <w:spacing w:line="240" w:lineRule="exact"/>
              <w:jc w:val="right"/>
              <w:rPr>
                <w:rFonts w:ascii="宋体" w:hAnsi="宋体" w:eastAsia="宋体" w:cs="宋体"/>
                <w:sz w:val="18"/>
                <w:szCs w:val="18"/>
              </w:rPr>
            </w:pPr>
          </w:p>
        </w:tc>
      </w:tr>
      <w:tr w14:paraId="19B67C3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575CBB">
            <w:pPr>
              <w:spacing w:before="40" w:after="40" w:line="240" w:lineRule="exact"/>
              <w:rPr>
                <w:rFonts w:ascii="宋体" w:hAnsi="宋体" w:eastAsia="宋体" w:cs="宋体"/>
                <w:sz w:val="18"/>
                <w:szCs w:val="18"/>
              </w:rPr>
            </w:pPr>
            <w:r>
              <w:rPr>
                <w:rFonts w:ascii="宋体" w:hAnsi="宋体" w:eastAsia="宋体" w:cs="宋体"/>
                <w:sz w:val="18"/>
                <w:szCs w:val="18"/>
              </w:rPr>
              <w:t>--内部交易未实现利润</w:t>
            </w:r>
          </w:p>
        </w:tc>
        <w:tc>
          <w:tcPr>
            <w:tcW w:w="3213" w:type="dxa"/>
            <w:tcBorders>
              <w:top w:val="single" w:color="auto" w:sz="2" w:space="0"/>
              <w:left w:val="single" w:color="auto" w:sz="2" w:space="0"/>
              <w:bottom w:val="single" w:color="auto" w:sz="2" w:space="0"/>
              <w:right w:val="single" w:color="auto" w:sz="2" w:space="0"/>
            </w:tcBorders>
            <w:vAlign w:val="center"/>
          </w:tcPr>
          <w:p w14:paraId="1E8D54E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FF784A">
            <w:pPr>
              <w:spacing w:line="240" w:lineRule="exact"/>
              <w:jc w:val="right"/>
              <w:rPr>
                <w:rFonts w:ascii="宋体" w:hAnsi="宋体" w:eastAsia="宋体" w:cs="宋体"/>
                <w:sz w:val="18"/>
                <w:szCs w:val="18"/>
              </w:rPr>
            </w:pPr>
          </w:p>
        </w:tc>
      </w:tr>
      <w:tr w14:paraId="080FDE3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C7E87B">
            <w:pPr>
              <w:spacing w:before="40" w:after="40" w:line="240" w:lineRule="exac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782E6762">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411D5A">
            <w:pPr>
              <w:spacing w:line="240" w:lineRule="exact"/>
              <w:jc w:val="right"/>
              <w:rPr>
                <w:rFonts w:ascii="宋体" w:hAnsi="宋体" w:eastAsia="宋体" w:cs="宋体"/>
                <w:sz w:val="18"/>
                <w:szCs w:val="18"/>
              </w:rPr>
            </w:pPr>
          </w:p>
        </w:tc>
      </w:tr>
      <w:tr w14:paraId="2E8AC7E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CB9EC4">
            <w:pPr>
              <w:spacing w:before="40" w:after="40" w:line="240" w:lineRule="exact"/>
              <w:rPr>
                <w:rFonts w:ascii="宋体" w:hAnsi="宋体" w:eastAsia="宋体" w:cs="宋体"/>
                <w:sz w:val="18"/>
                <w:szCs w:val="18"/>
              </w:rPr>
            </w:pPr>
            <w:r>
              <w:rPr>
                <w:rFonts w:ascii="宋体" w:hAnsi="宋体" w:eastAsia="宋体" w:cs="宋体"/>
                <w:sz w:val="18"/>
                <w:szCs w:val="18"/>
              </w:rPr>
              <w:t>对合营企业权益投资的账面价值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1596C26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ACFDA0">
            <w:pPr>
              <w:spacing w:line="240" w:lineRule="exact"/>
              <w:jc w:val="right"/>
              <w:rPr>
                <w:rFonts w:ascii="宋体" w:hAnsi="宋体" w:eastAsia="宋体" w:cs="宋体"/>
                <w:sz w:val="18"/>
                <w:szCs w:val="18"/>
              </w:rPr>
            </w:pPr>
          </w:p>
        </w:tc>
      </w:tr>
      <w:tr w14:paraId="7BBAC93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23CE86">
            <w:pPr>
              <w:spacing w:before="40" w:after="40" w:line="240" w:lineRule="exact"/>
              <w:rPr>
                <w:rFonts w:ascii="宋体" w:hAnsi="宋体" w:eastAsia="宋体" w:cs="宋体"/>
                <w:sz w:val="18"/>
                <w:szCs w:val="18"/>
              </w:rPr>
            </w:pPr>
            <w:r>
              <w:rPr>
                <w:rFonts w:ascii="宋体" w:hAnsi="宋体" w:eastAsia="宋体" w:cs="宋体"/>
                <w:sz w:val="18"/>
                <w:szCs w:val="18"/>
              </w:rPr>
              <w:t>存在公开报价的合营企业权益投资的公允价值</w:t>
            </w:r>
          </w:p>
        </w:tc>
        <w:tc>
          <w:tcPr>
            <w:tcW w:w="3213" w:type="dxa"/>
            <w:tcBorders>
              <w:top w:val="single" w:color="auto" w:sz="2" w:space="0"/>
              <w:left w:val="single" w:color="auto" w:sz="2" w:space="0"/>
              <w:bottom w:val="single" w:color="auto" w:sz="2" w:space="0"/>
              <w:right w:val="single" w:color="auto" w:sz="2" w:space="0"/>
            </w:tcBorders>
            <w:vAlign w:val="center"/>
          </w:tcPr>
          <w:p w14:paraId="01B6A9D9">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9EA207">
            <w:pPr>
              <w:spacing w:line="240" w:lineRule="exact"/>
              <w:jc w:val="right"/>
              <w:rPr>
                <w:rFonts w:ascii="宋体" w:hAnsi="宋体" w:eastAsia="宋体" w:cs="宋体"/>
                <w:sz w:val="18"/>
                <w:szCs w:val="18"/>
              </w:rPr>
            </w:pPr>
          </w:p>
        </w:tc>
      </w:tr>
      <w:tr w14:paraId="2560AA6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C68904">
            <w:pPr>
              <w:spacing w:before="40" w:after="40" w:line="240" w:lineRule="exact"/>
              <w:rPr>
                <w:rFonts w:ascii="宋体" w:hAnsi="宋体" w:eastAsia="宋体" w:cs="宋体"/>
                <w:sz w:val="18"/>
                <w:szCs w:val="18"/>
              </w:rPr>
            </w:pPr>
            <w:r>
              <w:rPr>
                <w:rFonts w:ascii="宋体" w:hAnsi="宋体" w:eastAsia="宋体" w:cs="宋体"/>
                <w:sz w:val="18"/>
                <w:szCs w:val="18"/>
              </w:rPr>
              <w:t>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26833B4B">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8661BF">
            <w:pPr>
              <w:spacing w:line="240" w:lineRule="exact"/>
              <w:jc w:val="right"/>
              <w:rPr>
                <w:rFonts w:ascii="宋体" w:hAnsi="宋体" w:eastAsia="宋体" w:cs="宋体"/>
                <w:sz w:val="18"/>
                <w:szCs w:val="18"/>
              </w:rPr>
            </w:pPr>
          </w:p>
        </w:tc>
      </w:tr>
      <w:tr w14:paraId="4A957DB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75752E">
            <w:pPr>
              <w:spacing w:before="40" w:after="40" w:line="240" w:lineRule="exact"/>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1D1D17B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229AB3">
            <w:pPr>
              <w:spacing w:line="240" w:lineRule="exact"/>
              <w:jc w:val="right"/>
              <w:rPr>
                <w:rFonts w:ascii="宋体" w:hAnsi="宋体" w:eastAsia="宋体" w:cs="宋体"/>
                <w:sz w:val="18"/>
                <w:szCs w:val="18"/>
              </w:rPr>
            </w:pPr>
          </w:p>
        </w:tc>
      </w:tr>
      <w:tr w14:paraId="1541E5D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05F57B">
            <w:pPr>
              <w:spacing w:before="40" w:after="40" w:line="240" w:lineRule="exact"/>
              <w:rPr>
                <w:rFonts w:ascii="宋体" w:hAnsi="宋体" w:eastAsia="宋体" w:cs="宋体"/>
                <w:sz w:val="18"/>
                <w:szCs w:val="18"/>
              </w:rPr>
            </w:pPr>
            <w:r>
              <w:rPr>
                <w:rFonts w:ascii="宋体" w:hAnsi="宋体" w:eastAsia="宋体" w:cs="宋体"/>
                <w:sz w:val="18"/>
                <w:szCs w:val="18"/>
              </w:rPr>
              <w:t>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53A769E4">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896337B">
            <w:pPr>
              <w:spacing w:line="240" w:lineRule="exact"/>
              <w:jc w:val="right"/>
              <w:rPr>
                <w:rFonts w:ascii="宋体" w:hAnsi="宋体" w:eastAsia="宋体" w:cs="宋体"/>
                <w:sz w:val="18"/>
                <w:szCs w:val="18"/>
              </w:rPr>
            </w:pPr>
          </w:p>
        </w:tc>
      </w:tr>
      <w:tr w14:paraId="7088593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1BB2D1">
            <w:pPr>
              <w:spacing w:before="40" w:after="40" w:line="240" w:lineRule="exact"/>
              <w:rPr>
                <w:rFonts w:ascii="宋体" w:hAnsi="宋体" w:eastAsia="宋体" w:cs="宋体"/>
                <w:sz w:val="18"/>
                <w:szCs w:val="18"/>
              </w:rPr>
            </w:pPr>
            <w:r>
              <w:rPr>
                <w:rFonts w:ascii="宋体" w:hAnsi="宋体" w:eastAsia="宋体" w:cs="宋体"/>
                <w:sz w:val="18"/>
                <w:szCs w:val="18"/>
              </w:rPr>
              <w:t>净利润</w:t>
            </w:r>
          </w:p>
        </w:tc>
        <w:tc>
          <w:tcPr>
            <w:tcW w:w="3213" w:type="dxa"/>
            <w:tcBorders>
              <w:top w:val="single" w:color="auto" w:sz="2" w:space="0"/>
              <w:left w:val="single" w:color="auto" w:sz="2" w:space="0"/>
              <w:bottom w:val="single" w:color="auto" w:sz="2" w:space="0"/>
              <w:right w:val="single" w:color="auto" w:sz="2" w:space="0"/>
            </w:tcBorders>
            <w:vAlign w:val="center"/>
          </w:tcPr>
          <w:p w14:paraId="6DA7AE8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DE55A4">
            <w:pPr>
              <w:spacing w:line="240" w:lineRule="exact"/>
              <w:jc w:val="right"/>
              <w:rPr>
                <w:rFonts w:ascii="宋体" w:hAnsi="宋体" w:eastAsia="宋体" w:cs="宋体"/>
                <w:sz w:val="18"/>
                <w:szCs w:val="18"/>
              </w:rPr>
            </w:pPr>
          </w:p>
        </w:tc>
      </w:tr>
      <w:tr w14:paraId="790F5A1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D31DEC">
            <w:pPr>
              <w:spacing w:before="40" w:after="40" w:line="240" w:lineRule="exact"/>
              <w:rPr>
                <w:rFonts w:ascii="宋体" w:hAnsi="宋体" w:eastAsia="宋体" w:cs="宋体"/>
                <w:sz w:val="18"/>
                <w:szCs w:val="18"/>
              </w:rPr>
            </w:pPr>
            <w:r>
              <w:rPr>
                <w:rFonts w:ascii="宋体" w:hAnsi="宋体" w:eastAsia="宋体" w:cs="宋体"/>
                <w:sz w:val="18"/>
                <w:szCs w:val="18"/>
              </w:rPr>
              <w:t>终止经营的净利润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732FAE4A">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3E38A2">
            <w:pPr>
              <w:spacing w:line="240" w:lineRule="exact"/>
              <w:jc w:val="right"/>
              <w:rPr>
                <w:rFonts w:ascii="宋体" w:hAnsi="宋体" w:eastAsia="宋体" w:cs="宋体"/>
                <w:sz w:val="18"/>
                <w:szCs w:val="18"/>
              </w:rPr>
            </w:pPr>
          </w:p>
        </w:tc>
      </w:tr>
      <w:tr w14:paraId="025AA37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0124BC">
            <w:pPr>
              <w:spacing w:before="40" w:after="40" w:line="240" w:lineRule="exact"/>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FEB399C">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0DCC12">
            <w:pPr>
              <w:spacing w:line="240" w:lineRule="exact"/>
              <w:jc w:val="right"/>
              <w:rPr>
                <w:rFonts w:ascii="宋体" w:hAnsi="宋体" w:eastAsia="宋体" w:cs="宋体"/>
                <w:sz w:val="18"/>
                <w:szCs w:val="18"/>
              </w:rPr>
            </w:pPr>
          </w:p>
        </w:tc>
      </w:tr>
      <w:tr w14:paraId="28B1BED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3CAB72">
            <w:pPr>
              <w:spacing w:before="40" w:after="40" w:line="240" w:lineRule="exact"/>
              <w:rPr>
                <w:rFonts w:ascii="宋体" w:hAnsi="宋体" w:eastAsia="宋体" w:cs="宋体"/>
                <w:sz w:val="18"/>
                <w:szCs w:val="18"/>
              </w:rPr>
            </w:pPr>
            <w:r>
              <w:rPr>
                <w:rFonts w:ascii="宋体" w:hAnsi="宋体" w:eastAsia="宋体" w:cs="宋体"/>
                <w:sz w:val="18"/>
                <w:szCs w:val="18"/>
              </w:rPr>
              <w:t>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348A1141">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C4B71E">
            <w:pPr>
              <w:spacing w:line="240" w:lineRule="exact"/>
              <w:jc w:val="right"/>
              <w:rPr>
                <w:rFonts w:ascii="宋体" w:hAnsi="宋体" w:eastAsia="宋体" w:cs="宋体"/>
                <w:sz w:val="18"/>
                <w:szCs w:val="18"/>
              </w:rPr>
            </w:pPr>
          </w:p>
        </w:tc>
      </w:tr>
      <w:tr w14:paraId="3A887F0D">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5F2CF6A">
            <w:pPr>
              <w:spacing w:line="240" w:lineRule="exac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0BEDC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AD9DB8">
            <w:pPr>
              <w:spacing w:line="240" w:lineRule="exact"/>
              <w:jc w:val="right"/>
              <w:rPr>
                <w:rFonts w:ascii="宋体" w:hAnsi="宋体" w:eastAsia="宋体" w:cs="宋体"/>
                <w:sz w:val="18"/>
                <w:szCs w:val="18"/>
              </w:rPr>
            </w:pPr>
          </w:p>
        </w:tc>
      </w:tr>
      <w:tr w14:paraId="02FEF4B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7EDC15">
            <w:pPr>
              <w:spacing w:before="40" w:after="40" w:line="240" w:lineRule="exact"/>
              <w:rPr>
                <w:rFonts w:ascii="宋体" w:hAnsi="宋体" w:eastAsia="宋体" w:cs="宋体"/>
                <w:sz w:val="18"/>
                <w:szCs w:val="18"/>
              </w:rPr>
            </w:pPr>
            <w:r>
              <w:rPr>
                <w:rFonts w:ascii="宋体" w:hAnsi="宋体" w:eastAsia="宋体" w:cs="宋体"/>
                <w:sz w:val="18"/>
                <w:szCs w:val="18"/>
              </w:rPr>
              <w:t>本年度收到的来自合营企业的股利</w:t>
            </w:r>
          </w:p>
        </w:tc>
        <w:tc>
          <w:tcPr>
            <w:tcW w:w="3213" w:type="dxa"/>
            <w:tcBorders>
              <w:top w:val="single" w:color="auto" w:sz="2" w:space="0"/>
              <w:left w:val="single" w:color="auto" w:sz="2" w:space="0"/>
              <w:bottom w:val="single" w:color="auto" w:sz="2" w:space="0"/>
              <w:right w:val="single" w:color="auto" w:sz="2" w:space="0"/>
            </w:tcBorders>
            <w:vAlign w:val="center"/>
          </w:tcPr>
          <w:p w14:paraId="1ACDDA9D">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648695D">
            <w:pPr>
              <w:spacing w:line="240" w:lineRule="exact"/>
              <w:jc w:val="right"/>
              <w:rPr>
                <w:rFonts w:ascii="宋体" w:hAnsi="宋体" w:eastAsia="宋体" w:cs="宋体"/>
                <w:sz w:val="18"/>
                <w:szCs w:val="18"/>
              </w:rPr>
            </w:pPr>
          </w:p>
        </w:tc>
      </w:tr>
    </w:tbl>
    <w:p w14:paraId="2FD91044">
      <w:pPr>
        <w:spacing w:before="100" w:after="100" w:line="240" w:lineRule="exact"/>
      </w:pPr>
      <w:r>
        <w:rPr>
          <w:rFonts w:ascii="宋体" w:hAnsi="宋体" w:eastAsia="宋体" w:cs="宋体"/>
          <w:sz w:val="18"/>
          <w:szCs w:val="18"/>
        </w:rPr>
        <w:t>其他说明</w:t>
      </w:r>
    </w:p>
    <w:p w14:paraId="489A5C25">
      <w:pPr>
        <w:keepNext/>
        <w:keepLines/>
        <w:spacing w:before="300" w:after="100" w:line="280" w:lineRule="exact"/>
        <w:outlineLvl w:val="3"/>
        <w:rPr>
          <w:rFonts w:ascii="宋体" w:hAnsi="宋体" w:eastAsia="宋体" w:cs="宋体"/>
          <w:b/>
          <w:bCs/>
          <w:szCs w:val="21"/>
        </w:rPr>
      </w:pPr>
      <w:bookmarkStart w:id="424" w:name="_Toc989313"/>
      <w:r>
        <w:rPr>
          <w:rFonts w:ascii="宋体" w:hAnsi="宋体" w:eastAsia="宋体" w:cs="宋体"/>
          <w:b/>
          <w:bCs/>
          <w:szCs w:val="21"/>
        </w:rPr>
        <w:t>（3） 重要联营企业的主要财务信息</w:t>
      </w:r>
      <w:bookmarkEnd w:id="424"/>
    </w:p>
    <w:p w14:paraId="64CDC0A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9155E91">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64658A"/>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A9832A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BDD04F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期初余额/上期发生额</w:t>
            </w:r>
          </w:p>
        </w:tc>
      </w:tr>
      <w:tr w14:paraId="7928AF51">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D98F6F"/>
        </w:tc>
        <w:tc>
          <w:tcPr>
            <w:tcW w:w="1928" w:type="dxa"/>
            <w:tcBorders>
              <w:top w:val="single" w:color="auto" w:sz="2" w:space="0"/>
              <w:left w:val="single" w:color="auto" w:sz="2" w:space="0"/>
              <w:bottom w:val="single" w:color="auto" w:sz="2" w:space="0"/>
              <w:right w:val="single" w:color="auto" w:sz="2" w:space="0"/>
            </w:tcBorders>
            <w:vAlign w:val="center"/>
          </w:tcPr>
          <w:p w14:paraId="1C6055FD">
            <w:pPr>
              <w:spacing w:line="240" w:lineRule="exact"/>
              <w:jc w:val="center"/>
              <w:rPr>
                <w:rFonts w:ascii="宋体" w:hAnsi="宋体" w:eastAsia="宋体" w:cs="宋体"/>
                <w:sz w:val="18"/>
                <w:szCs w:val="18"/>
              </w:rPr>
            </w:pPr>
            <w:r>
              <w:rPr>
                <w:rFonts w:ascii="宋体" w:hAnsi="宋体" w:eastAsia="宋体" w:cs="宋体"/>
                <w:sz w:val="18"/>
                <w:szCs w:val="18"/>
              </w:rPr>
              <w:t>四川恒生科技发展有限公司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36CF9B62">
            <w:pPr>
              <w:spacing w:line="240" w:lineRule="exact"/>
              <w:jc w:val="center"/>
              <w:rPr>
                <w:rFonts w:ascii="宋体" w:hAnsi="宋体" w:eastAsia="宋体" w:cs="宋体"/>
                <w:sz w:val="18"/>
                <w:szCs w:val="18"/>
              </w:rPr>
            </w:pPr>
            <w:r>
              <w:rPr>
                <w:rFonts w:ascii="宋体" w:hAnsi="宋体" w:eastAsia="宋体" w:cs="宋体"/>
                <w:sz w:val="18"/>
                <w:szCs w:val="18"/>
              </w:rPr>
              <w:t>苏州华信善达力创投资企业</w:t>
            </w:r>
          </w:p>
          <w:p w14:paraId="5588DB96">
            <w:pPr>
              <w:spacing w:line="240" w:lineRule="exact"/>
              <w:jc w:val="center"/>
              <w:rPr>
                <w:rFonts w:ascii="宋体" w:hAnsi="宋体" w:eastAsia="宋体" w:cs="宋体"/>
                <w:sz w:val="18"/>
                <w:szCs w:val="18"/>
              </w:rPr>
            </w:pPr>
            <w:r>
              <w:rPr>
                <w:rFonts w:ascii="宋体" w:hAnsi="宋体" w:eastAsia="宋体" w:cs="宋体"/>
                <w:sz w:val="18"/>
                <w:szCs w:val="18"/>
              </w:rPr>
              <w:t>(有限合伙)</w:t>
            </w:r>
          </w:p>
        </w:tc>
        <w:tc>
          <w:tcPr>
            <w:tcW w:w="1928" w:type="dxa"/>
            <w:tcBorders>
              <w:top w:val="single" w:color="auto" w:sz="2" w:space="0"/>
              <w:left w:val="single" w:color="auto" w:sz="2" w:space="0"/>
              <w:bottom w:val="single" w:color="auto" w:sz="2" w:space="0"/>
              <w:right w:val="single" w:color="auto" w:sz="2" w:space="0"/>
            </w:tcBorders>
            <w:vAlign w:val="center"/>
          </w:tcPr>
          <w:p w14:paraId="7E5CF34A">
            <w:pPr>
              <w:spacing w:line="240" w:lineRule="exact"/>
              <w:jc w:val="center"/>
              <w:rPr>
                <w:rFonts w:ascii="宋体" w:hAnsi="宋体" w:eastAsia="宋体" w:cs="宋体"/>
                <w:sz w:val="18"/>
                <w:szCs w:val="18"/>
              </w:rPr>
            </w:pPr>
            <w:r>
              <w:rPr>
                <w:rFonts w:ascii="宋体" w:hAnsi="宋体" w:eastAsia="宋体" w:cs="宋体"/>
                <w:sz w:val="18"/>
                <w:szCs w:val="18"/>
              </w:rPr>
              <w:t>四川恒生科技发展有限公司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4EEE4A01">
            <w:pPr>
              <w:spacing w:line="240" w:lineRule="exact"/>
              <w:jc w:val="center"/>
              <w:rPr>
                <w:rFonts w:ascii="宋体" w:hAnsi="宋体" w:eastAsia="宋体" w:cs="宋体"/>
                <w:sz w:val="18"/>
                <w:szCs w:val="18"/>
              </w:rPr>
            </w:pPr>
            <w:r>
              <w:rPr>
                <w:rFonts w:ascii="宋体" w:hAnsi="宋体" w:eastAsia="宋体" w:cs="宋体"/>
                <w:sz w:val="18"/>
                <w:szCs w:val="18"/>
              </w:rPr>
              <w:t>苏州华信善达力创投资企业</w:t>
            </w:r>
          </w:p>
          <w:p w14:paraId="2699E666">
            <w:pPr>
              <w:spacing w:line="240" w:lineRule="exact"/>
              <w:jc w:val="center"/>
              <w:rPr>
                <w:rFonts w:ascii="宋体" w:hAnsi="宋体" w:eastAsia="宋体" w:cs="宋体"/>
                <w:sz w:val="18"/>
                <w:szCs w:val="18"/>
              </w:rPr>
            </w:pPr>
            <w:r>
              <w:rPr>
                <w:rFonts w:ascii="宋体" w:hAnsi="宋体" w:eastAsia="宋体" w:cs="宋体"/>
                <w:sz w:val="18"/>
                <w:szCs w:val="18"/>
              </w:rPr>
              <w:t>(有限合伙)</w:t>
            </w:r>
          </w:p>
        </w:tc>
      </w:tr>
      <w:tr w14:paraId="616C72BC">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DAB595">
            <w:pPr>
              <w:spacing w:before="40" w:after="40" w:line="240" w:lineRule="exact"/>
              <w:rPr>
                <w:rFonts w:ascii="宋体" w:hAnsi="宋体" w:eastAsia="宋体" w:cs="宋体"/>
                <w:sz w:val="18"/>
                <w:szCs w:val="18"/>
              </w:rPr>
            </w:pPr>
            <w:r>
              <w:rPr>
                <w:rFonts w:ascii="宋体" w:hAnsi="宋体" w:eastAsia="宋体" w:cs="宋体"/>
                <w:sz w:val="18"/>
                <w:szCs w:val="18"/>
              </w:rPr>
              <w:t>流动资产</w:t>
            </w:r>
          </w:p>
        </w:tc>
        <w:tc>
          <w:tcPr>
            <w:tcW w:w="1928" w:type="dxa"/>
            <w:tcBorders>
              <w:top w:val="single" w:color="auto" w:sz="2" w:space="0"/>
              <w:left w:val="single" w:color="auto" w:sz="2" w:space="0"/>
              <w:bottom w:val="single" w:color="auto" w:sz="2" w:space="0"/>
              <w:right w:val="single" w:color="auto" w:sz="2" w:space="0"/>
            </w:tcBorders>
            <w:vAlign w:val="center"/>
          </w:tcPr>
          <w:p w14:paraId="6974D20B">
            <w:pPr>
              <w:spacing w:line="240" w:lineRule="exact"/>
              <w:jc w:val="right"/>
              <w:rPr>
                <w:rFonts w:ascii="宋体" w:hAnsi="宋体" w:eastAsia="宋体" w:cs="宋体"/>
                <w:sz w:val="18"/>
                <w:szCs w:val="18"/>
              </w:rPr>
            </w:pPr>
            <w:r>
              <w:rPr>
                <w:rFonts w:ascii="宋体" w:hAnsi="宋体" w:eastAsia="宋体" w:cs="宋体"/>
                <w:sz w:val="18"/>
                <w:szCs w:val="18"/>
              </w:rPr>
              <w:t>12,318,081.68</w:t>
            </w:r>
          </w:p>
        </w:tc>
        <w:tc>
          <w:tcPr>
            <w:tcW w:w="1928" w:type="dxa"/>
            <w:tcBorders>
              <w:top w:val="single" w:color="auto" w:sz="2" w:space="0"/>
              <w:left w:val="single" w:color="auto" w:sz="2" w:space="0"/>
              <w:bottom w:val="single" w:color="auto" w:sz="2" w:space="0"/>
              <w:right w:val="single" w:color="auto" w:sz="2" w:space="0"/>
            </w:tcBorders>
            <w:vAlign w:val="center"/>
          </w:tcPr>
          <w:p w14:paraId="41AAE3B0">
            <w:pPr>
              <w:spacing w:line="240" w:lineRule="exact"/>
              <w:jc w:val="right"/>
              <w:rPr>
                <w:rFonts w:ascii="宋体" w:hAnsi="宋体" w:eastAsia="宋体" w:cs="宋体"/>
                <w:sz w:val="18"/>
                <w:szCs w:val="18"/>
              </w:rPr>
            </w:pPr>
            <w:r>
              <w:rPr>
                <w:rFonts w:ascii="宋体" w:hAnsi="宋体" w:eastAsia="宋体" w:cs="宋体"/>
                <w:sz w:val="18"/>
                <w:szCs w:val="18"/>
              </w:rPr>
              <w:t>60,833,976.60</w:t>
            </w:r>
          </w:p>
        </w:tc>
        <w:tc>
          <w:tcPr>
            <w:tcW w:w="1928" w:type="dxa"/>
            <w:tcBorders>
              <w:top w:val="single" w:color="auto" w:sz="2" w:space="0"/>
              <w:left w:val="single" w:color="auto" w:sz="2" w:space="0"/>
              <w:bottom w:val="single" w:color="auto" w:sz="2" w:space="0"/>
              <w:right w:val="single" w:color="auto" w:sz="2" w:space="0"/>
            </w:tcBorders>
            <w:vAlign w:val="center"/>
          </w:tcPr>
          <w:p w14:paraId="53ED9BCC">
            <w:pPr>
              <w:spacing w:line="240" w:lineRule="exact"/>
              <w:jc w:val="right"/>
              <w:rPr>
                <w:rFonts w:ascii="宋体" w:hAnsi="宋体" w:eastAsia="宋体" w:cs="宋体"/>
                <w:sz w:val="18"/>
                <w:szCs w:val="18"/>
              </w:rPr>
            </w:pPr>
            <w:r>
              <w:rPr>
                <w:rFonts w:ascii="宋体" w:hAnsi="宋体" w:eastAsia="宋体" w:cs="宋体"/>
                <w:sz w:val="18"/>
                <w:szCs w:val="18"/>
              </w:rPr>
              <w:t>8,288,633.16</w:t>
            </w:r>
          </w:p>
        </w:tc>
        <w:tc>
          <w:tcPr>
            <w:tcW w:w="1928" w:type="dxa"/>
            <w:tcBorders>
              <w:top w:val="single" w:color="auto" w:sz="2" w:space="0"/>
              <w:left w:val="single" w:color="auto" w:sz="2" w:space="0"/>
              <w:bottom w:val="single" w:color="auto" w:sz="2" w:space="0"/>
              <w:right w:val="single" w:color="auto" w:sz="2" w:space="0"/>
            </w:tcBorders>
            <w:vAlign w:val="center"/>
          </w:tcPr>
          <w:p w14:paraId="5D7EB82D">
            <w:pPr>
              <w:spacing w:line="240" w:lineRule="exact"/>
              <w:jc w:val="right"/>
              <w:rPr>
                <w:rFonts w:ascii="宋体" w:hAnsi="宋体" w:eastAsia="宋体" w:cs="宋体"/>
                <w:sz w:val="18"/>
                <w:szCs w:val="18"/>
              </w:rPr>
            </w:pPr>
            <w:r>
              <w:rPr>
                <w:rFonts w:ascii="宋体" w:hAnsi="宋体" w:eastAsia="宋体" w:cs="宋体"/>
                <w:sz w:val="18"/>
                <w:szCs w:val="18"/>
              </w:rPr>
              <w:t>60,826,413.41</w:t>
            </w:r>
          </w:p>
        </w:tc>
      </w:tr>
      <w:tr w14:paraId="2C42823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7A6EB7">
            <w:pPr>
              <w:spacing w:before="40" w:after="40" w:line="240" w:lineRule="exact"/>
              <w:rPr>
                <w:rFonts w:ascii="宋体" w:hAnsi="宋体" w:eastAsia="宋体" w:cs="宋体"/>
                <w:sz w:val="18"/>
                <w:szCs w:val="18"/>
              </w:rPr>
            </w:pPr>
            <w:r>
              <w:rPr>
                <w:rFonts w:ascii="宋体" w:hAnsi="宋体" w:eastAsia="宋体" w:cs="宋体"/>
                <w:sz w:val="18"/>
                <w:szCs w:val="18"/>
              </w:rPr>
              <w:t>非流动资产</w:t>
            </w:r>
          </w:p>
        </w:tc>
        <w:tc>
          <w:tcPr>
            <w:tcW w:w="1928" w:type="dxa"/>
            <w:tcBorders>
              <w:top w:val="single" w:color="auto" w:sz="2" w:space="0"/>
              <w:left w:val="single" w:color="auto" w:sz="2" w:space="0"/>
              <w:bottom w:val="single" w:color="auto" w:sz="2" w:space="0"/>
              <w:right w:val="single" w:color="auto" w:sz="2" w:space="0"/>
            </w:tcBorders>
            <w:vAlign w:val="center"/>
          </w:tcPr>
          <w:p w14:paraId="2BF622D8">
            <w:pPr>
              <w:spacing w:line="240" w:lineRule="exact"/>
              <w:jc w:val="right"/>
              <w:rPr>
                <w:rFonts w:ascii="宋体" w:hAnsi="宋体" w:eastAsia="宋体" w:cs="宋体"/>
                <w:sz w:val="18"/>
                <w:szCs w:val="18"/>
              </w:rPr>
            </w:pPr>
            <w:r>
              <w:rPr>
                <w:rFonts w:ascii="宋体" w:hAnsi="宋体" w:eastAsia="宋体" w:cs="宋体"/>
                <w:sz w:val="18"/>
                <w:szCs w:val="18"/>
              </w:rPr>
              <w:t>401,689,507.56</w:t>
            </w:r>
          </w:p>
        </w:tc>
        <w:tc>
          <w:tcPr>
            <w:tcW w:w="1928" w:type="dxa"/>
            <w:tcBorders>
              <w:top w:val="single" w:color="auto" w:sz="2" w:space="0"/>
              <w:left w:val="single" w:color="auto" w:sz="2" w:space="0"/>
              <w:bottom w:val="single" w:color="auto" w:sz="2" w:space="0"/>
              <w:right w:val="single" w:color="auto" w:sz="2" w:space="0"/>
            </w:tcBorders>
            <w:vAlign w:val="center"/>
          </w:tcPr>
          <w:p w14:paraId="1CA3936F">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A5BD06E">
            <w:pPr>
              <w:spacing w:line="240" w:lineRule="exact"/>
              <w:jc w:val="right"/>
              <w:rPr>
                <w:rFonts w:ascii="宋体" w:hAnsi="宋体" w:eastAsia="宋体" w:cs="宋体"/>
                <w:sz w:val="18"/>
                <w:szCs w:val="18"/>
              </w:rPr>
            </w:pPr>
            <w:r>
              <w:rPr>
                <w:rFonts w:ascii="宋体" w:hAnsi="宋体" w:eastAsia="宋体" w:cs="宋体"/>
                <w:sz w:val="18"/>
                <w:szCs w:val="18"/>
              </w:rPr>
              <w:t>412,379,029.45</w:t>
            </w:r>
          </w:p>
        </w:tc>
        <w:tc>
          <w:tcPr>
            <w:tcW w:w="1928" w:type="dxa"/>
            <w:tcBorders>
              <w:top w:val="single" w:color="auto" w:sz="2" w:space="0"/>
              <w:left w:val="single" w:color="auto" w:sz="2" w:space="0"/>
              <w:bottom w:val="single" w:color="auto" w:sz="2" w:space="0"/>
              <w:right w:val="single" w:color="auto" w:sz="2" w:space="0"/>
            </w:tcBorders>
            <w:vAlign w:val="center"/>
          </w:tcPr>
          <w:p w14:paraId="3F57F443">
            <w:pPr>
              <w:spacing w:line="240" w:lineRule="exact"/>
              <w:jc w:val="right"/>
              <w:rPr>
                <w:rFonts w:ascii="宋体" w:hAnsi="宋体" w:eastAsia="宋体" w:cs="宋体"/>
                <w:sz w:val="18"/>
                <w:szCs w:val="18"/>
              </w:rPr>
            </w:pPr>
          </w:p>
        </w:tc>
      </w:tr>
      <w:tr w14:paraId="7E61A86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8928BB">
            <w:pPr>
              <w:spacing w:before="40" w:after="40" w:line="240" w:lineRule="exact"/>
              <w:rPr>
                <w:rFonts w:ascii="宋体" w:hAnsi="宋体" w:eastAsia="宋体" w:cs="宋体"/>
                <w:sz w:val="18"/>
                <w:szCs w:val="18"/>
              </w:rPr>
            </w:pPr>
            <w:r>
              <w:rPr>
                <w:rFonts w:ascii="宋体" w:hAnsi="宋体" w:eastAsia="宋体" w:cs="宋体"/>
                <w:sz w:val="18"/>
                <w:szCs w:val="18"/>
              </w:rPr>
              <w:t>资产合计</w:t>
            </w:r>
          </w:p>
        </w:tc>
        <w:tc>
          <w:tcPr>
            <w:tcW w:w="1928" w:type="dxa"/>
            <w:tcBorders>
              <w:top w:val="single" w:color="auto" w:sz="2" w:space="0"/>
              <w:left w:val="single" w:color="auto" w:sz="2" w:space="0"/>
              <w:bottom w:val="single" w:color="auto" w:sz="2" w:space="0"/>
              <w:right w:val="single" w:color="auto" w:sz="2" w:space="0"/>
            </w:tcBorders>
            <w:vAlign w:val="center"/>
          </w:tcPr>
          <w:p w14:paraId="3EEC57BD">
            <w:pPr>
              <w:spacing w:line="240" w:lineRule="exact"/>
              <w:jc w:val="right"/>
              <w:rPr>
                <w:rFonts w:ascii="宋体" w:hAnsi="宋体" w:eastAsia="宋体" w:cs="宋体"/>
                <w:sz w:val="18"/>
                <w:szCs w:val="18"/>
              </w:rPr>
            </w:pPr>
            <w:r>
              <w:rPr>
                <w:rFonts w:ascii="宋体" w:hAnsi="宋体" w:eastAsia="宋体" w:cs="宋体"/>
                <w:sz w:val="18"/>
                <w:szCs w:val="18"/>
              </w:rPr>
              <w:t>414,007,589.24</w:t>
            </w:r>
          </w:p>
        </w:tc>
        <w:tc>
          <w:tcPr>
            <w:tcW w:w="1928" w:type="dxa"/>
            <w:tcBorders>
              <w:top w:val="single" w:color="auto" w:sz="2" w:space="0"/>
              <w:left w:val="single" w:color="auto" w:sz="2" w:space="0"/>
              <w:bottom w:val="single" w:color="auto" w:sz="2" w:space="0"/>
              <w:right w:val="single" w:color="auto" w:sz="2" w:space="0"/>
            </w:tcBorders>
            <w:vAlign w:val="center"/>
          </w:tcPr>
          <w:p w14:paraId="0BEEC448">
            <w:pPr>
              <w:spacing w:line="240" w:lineRule="exact"/>
              <w:jc w:val="right"/>
              <w:rPr>
                <w:rFonts w:ascii="宋体" w:hAnsi="宋体" w:eastAsia="宋体" w:cs="宋体"/>
                <w:sz w:val="18"/>
                <w:szCs w:val="18"/>
              </w:rPr>
            </w:pPr>
            <w:r>
              <w:rPr>
                <w:rFonts w:ascii="宋体" w:hAnsi="宋体" w:eastAsia="宋体" w:cs="宋体"/>
                <w:sz w:val="18"/>
                <w:szCs w:val="18"/>
              </w:rPr>
              <w:t>60,833,976.60</w:t>
            </w:r>
          </w:p>
        </w:tc>
        <w:tc>
          <w:tcPr>
            <w:tcW w:w="1928" w:type="dxa"/>
            <w:tcBorders>
              <w:top w:val="single" w:color="auto" w:sz="2" w:space="0"/>
              <w:left w:val="single" w:color="auto" w:sz="2" w:space="0"/>
              <w:bottom w:val="single" w:color="auto" w:sz="2" w:space="0"/>
              <w:right w:val="single" w:color="auto" w:sz="2" w:space="0"/>
            </w:tcBorders>
            <w:vAlign w:val="center"/>
          </w:tcPr>
          <w:p w14:paraId="61ECB0BB">
            <w:pPr>
              <w:spacing w:line="240" w:lineRule="exact"/>
              <w:jc w:val="right"/>
              <w:rPr>
                <w:rFonts w:ascii="宋体" w:hAnsi="宋体" w:eastAsia="宋体" w:cs="宋体"/>
                <w:sz w:val="18"/>
                <w:szCs w:val="18"/>
              </w:rPr>
            </w:pPr>
            <w:r>
              <w:rPr>
                <w:rFonts w:ascii="宋体" w:hAnsi="宋体" w:eastAsia="宋体" w:cs="宋体"/>
                <w:sz w:val="18"/>
                <w:szCs w:val="18"/>
              </w:rPr>
              <w:t>420,667,662.61</w:t>
            </w:r>
          </w:p>
        </w:tc>
        <w:tc>
          <w:tcPr>
            <w:tcW w:w="1928" w:type="dxa"/>
            <w:tcBorders>
              <w:top w:val="single" w:color="auto" w:sz="2" w:space="0"/>
              <w:left w:val="single" w:color="auto" w:sz="2" w:space="0"/>
              <w:bottom w:val="single" w:color="auto" w:sz="2" w:space="0"/>
              <w:right w:val="single" w:color="auto" w:sz="2" w:space="0"/>
            </w:tcBorders>
            <w:vAlign w:val="center"/>
          </w:tcPr>
          <w:p w14:paraId="5044E713">
            <w:pPr>
              <w:spacing w:line="240" w:lineRule="exact"/>
              <w:jc w:val="right"/>
              <w:rPr>
                <w:rFonts w:ascii="宋体" w:hAnsi="宋体" w:eastAsia="宋体" w:cs="宋体"/>
                <w:sz w:val="18"/>
                <w:szCs w:val="18"/>
              </w:rPr>
            </w:pPr>
            <w:r>
              <w:rPr>
                <w:rFonts w:ascii="宋体" w:hAnsi="宋体" w:eastAsia="宋体" w:cs="宋体"/>
                <w:sz w:val="18"/>
                <w:szCs w:val="18"/>
              </w:rPr>
              <w:t>60,826,413.41</w:t>
            </w:r>
          </w:p>
        </w:tc>
      </w:tr>
      <w:tr w14:paraId="74BE65BB">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858156">
            <w:pPr>
              <w:spacing w:before="40" w:after="40" w:line="240" w:lineRule="exact"/>
              <w:rPr>
                <w:rFonts w:ascii="宋体" w:hAnsi="宋体" w:eastAsia="宋体" w:cs="宋体"/>
                <w:sz w:val="18"/>
                <w:szCs w:val="18"/>
              </w:rPr>
            </w:pPr>
            <w:r>
              <w:rPr>
                <w:rFonts w:ascii="宋体" w:hAnsi="宋体" w:eastAsia="宋体" w:cs="宋体"/>
                <w:sz w:val="18"/>
                <w:szCs w:val="18"/>
              </w:rPr>
              <w:t>流动负债</w:t>
            </w:r>
          </w:p>
        </w:tc>
        <w:tc>
          <w:tcPr>
            <w:tcW w:w="1928" w:type="dxa"/>
            <w:tcBorders>
              <w:top w:val="single" w:color="auto" w:sz="2" w:space="0"/>
              <w:left w:val="single" w:color="auto" w:sz="2" w:space="0"/>
              <w:bottom w:val="single" w:color="auto" w:sz="2" w:space="0"/>
              <w:right w:val="single" w:color="auto" w:sz="2" w:space="0"/>
            </w:tcBorders>
            <w:vAlign w:val="center"/>
          </w:tcPr>
          <w:p w14:paraId="33BF6987">
            <w:pPr>
              <w:spacing w:line="240" w:lineRule="exact"/>
              <w:jc w:val="right"/>
              <w:rPr>
                <w:rFonts w:ascii="宋体" w:hAnsi="宋体" w:eastAsia="宋体" w:cs="宋体"/>
                <w:sz w:val="18"/>
                <w:szCs w:val="18"/>
              </w:rPr>
            </w:pPr>
            <w:r>
              <w:rPr>
                <w:rFonts w:ascii="宋体" w:hAnsi="宋体" w:eastAsia="宋体" w:cs="宋体"/>
                <w:sz w:val="18"/>
                <w:szCs w:val="18"/>
              </w:rPr>
              <w:t>34,019,304.90</w:t>
            </w:r>
          </w:p>
        </w:tc>
        <w:tc>
          <w:tcPr>
            <w:tcW w:w="1928" w:type="dxa"/>
            <w:tcBorders>
              <w:top w:val="single" w:color="auto" w:sz="2" w:space="0"/>
              <w:left w:val="single" w:color="auto" w:sz="2" w:space="0"/>
              <w:bottom w:val="single" w:color="auto" w:sz="2" w:space="0"/>
              <w:right w:val="single" w:color="auto" w:sz="2" w:space="0"/>
            </w:tcBorders>
            <w:vAlign w:val="center"/>
          </w:tcPr>
          <w:p w14:paraId="51403D1A">
            <w:pPr>
              <w:spacing w:line="240" w:lineRule="exact"/>
              <w:jc w:val="right"/>
              <w:rPr>
                <w:rFonts w:ascii="宋体" w:hAnsi="宋体" w:eastAsia="宋体" w:cs="宋体"/>
                <w:sz w:val="18"/>
                <w:szCs w:val="18"/>
              </w:rPr>
            </w:pPr>
            <w:r>
              <w:rPr>
                <w:rFonts w:ascii="宋体" w:hAnsi="宋体" w:eastAsia="宋体" w:cs="宋体"/>
                <w:sz w:val="18"/>
                <w:szCs w:val="18"/>
              </w:rPr>
              <w:t>8,128,100.00</w:t>
            </w:r>
          </w:p>
        </w:tc>
        <w:tc>
          <w:tcPr>
            <w:tcW w:w="1928" w:type="dxa"/>
            <w:tcBorders>
              <w:top w:val="single" w:color="auto" w:sz="2" w:space="0"/>
              <w:left w:val="single" w:color="auto" w:sz="2" w:space="0"/>
              <w:bottom w:val="single" w:color="auto" w:sz="2" w:space="0"/>
              <w:right w:val="single" w:color="auto" w:sz="2" w:space="0"/>
            </w:tcBorders>
            <w:vAlign w:val="center"/>
          </w:tcPr>
          <w:p w14:paraId="2874FF37">
            <w:pPr>
              <w:spacing w:line="240" w:lineRule="exact"/>
              <w:jc w:val="right"/>
              <w:rPr>
                <w:rFonts w:ascii="宋体" w:hAnsi="宋体" w:eastAsia="宋体" w:cs="宋体"/>
                <w:sz w:val="18"/>
                <w:szCs w:val="18"/>
              </w:rPr>
            </w:pPr>
            <w:r>
              <w:rPr>
                <w:rFonts w:ascii="宋体" w:hAnsi="宋体" w:eastAsia="宋体" w:cs="宋体"/>
                <w:sz w:val="18"/>
                <w:szCs w:val="18"/>
              </w:rPr>
              <w:t>34,042,774.18</w:t>
            </w:r>
          </w:p>
        </w:tc>
        <w:tc>
          <w:tcPr>
            <w:tcW w:w="1928" w:type="dxa"/>
            <w:tcBorders>
              <w:top w:val="single" w:color="auto" w:sz="2" w:space="0"/>
              <w:left w:val="single" w:color="auto" w:sz="2" w:space="0"/>
              <w:bottom w:val="single" w:color="auto" w:sz="2" w:space="0"/>
              <w:right w:val="single" w:color="auto" w:sz="2" w:space="0"/>
            </w:tcBorders>
            <w:vAlign w:val="center"/>
          </w:tcPr>
          <w:p w14:paraId="2B6FA29F">
            <w:pPr>
              <w:spacing w:line="240" w:lineRule="exact"/>
              <w:jc w:val="right"/>
              <w:rPr>
                <w:rFonts w:ascii="宋体" w:hAnsi="宋体" w:eastAsia="宋体" w:cs="宋体"/>
                <w:sz w:val="18"/>
                <w:szCs w:val="18"/>
              </w:rPr>
            </w:pPr>
            <w:r>
              <w:rPr>
                <w:rFonts w:ascii="宋体" w:hAnsi="宋体" w:eastAsia="宋体" w:cs="宋体"/>
                <w:sz w:val="18"/>
                <w:szCs w:val="18"/>
              </w:rPr>
              <w:t>8,127,752.00</w:t>
            </w:r>
          </w:p>
        </w:tc>
      </w:tr>
      <w:tr w14:paraId="483BCF35">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51AB13">
            <w:pPr>
              <w:spacing w:before="40" w:after="40" w:line="240" w:lineRule="exact"/>
              <w:rPr>
                <w:rFonts w:ascii="宋体" w:hAnsi="宋体" w:eastAsia="宋体" w:cs="宋体"/>
                <w:sz w:val="18"/>
                <w:szCs w:val="18"/>
              </w:rPr>
            </w:pPr>
            <w:r>
              <w:rPr>
                <w:rFonts w:ascii="宋体" w:hAnsi="宋体" w:eastAsia="宋体" w:cs="宋体"/>
                <w:sz w:val="18"/>
                <w:szCs w:val="18"/>
              </w:rPr>
              <w:t>非流动负债</w:t>
            </w:r>
          </w:p>
        </w:tc>
        <w:tc>
          <w:tcPr>
            <w:tcW w:w="1928" w:type="dxa"/>
            <w:tcBorders>
              <w:top w:val="single" w:color="auto" w:sz="2" w:space="0"/>
              <w:left w:val="single" w:color="auto" w:sz="2" w:space="0"/>
              <w:bottom w:val="single" w:color="auto" w:sz="2" w:space="0"/>
              <w:right w:val="single" w:color="auto" w:sz="2" w:space="0"/>
            </w:tcBorders>
            <w:vAlign w:val="center"/>
          </w:tcPr>
          <w:p w14:paraId="231CC05C">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10C55B3">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1408A6B">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40B1545">
            <w:pPr>
              <w:spacing w:line="240" w:lineRule="exact"/>
              <w:jc w:val="right"/>
              <w:rPr>
                <w:rFonts w:ascii="宋体" w:hAnsi="宋体" w:eastAsia="宋体" w:cs="宋体"/>
                <w:sz w:val="18"/>
                <w:szCs w:val="18"/>
              </w:rPr>
            </w:pPr>
          </w:p>
        </w:tc>
      </w:tr>
      <w:tr w14:paraId="72D4025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89079C">
            <w:pPr>
              <w:spacing w:before="40" w:after="40" w:line="240" w:lineRule="exact"/>
              <w:rPr>
                <w:rFonts w:ascii="宋体" w:hAnsi="宋体" w:eastAsia="宋体" w:cs="宋体"/>
                <w:sz w:val="18"/>
                <w:szCs w:val="18"/>
              </w:rPr>
            </w:pPr>
            <w:r>
              <w:rPr>
                <w:rFonts w:ascii="宋体" w:hAnsi="宋体" w:eastAsia="宋体" w:cs="宋体"/>
                <w:sz w:val="18"/>
                <w:szCs w:val="18"/>
              </w:rPr>
              <w:t>负债合计</w:t>
            </w:r>
          </w:p>
        </w:tc>
        <w:tc>
          <w:tcPr>
            <w:tcW w:w="1928" w:type="dxa"/>
            <w:tcBorders>
              <w:top w:val="single" w:color="auto" w:sz="2" w:space="0"/>
              <w:left w:val="single" w:color="auto" w:sz="2" w:space="0"/>
              <w:bottom w:val="single" w:color="auto" w:sz="2" w:space="0"/>
              <w:right w:val="single" w:color="auto" w:sz="2" w:space="0"/>
            </w:tcBorders>
            <w:vAlign w:val="center"/>
          </w:tcPr>
          <w:p w14:paraId="58F5BFF7">
            <w:pPr>
              <w:spacing w:line="240" w:lineRule="exact"/>
              <w:jc w:val="right"/>
              <w:rPr>
                <w:rFonts w:ascii="宋体" w:hAnsi="宋体" w:eastAsia="宋体" w:cs="宋体"/>
                <w:sz w:val="18"/>
                <w:szCs w:val="18"/>
              </w:rPr>
            </w:pPr>
            <w:r>
              <w:rPr>
                <w:rFonts w:ascii="宋体" w:hAnsi="宋体" w:eastAsia="宋体" w:cs="宋体"/>
                <w:sz w:val="18"/>
                <w:szCs w:val="18"/>
              </w:rPr>
              <w:t>34,019,304.90</w:t>
            </w:r>
          </w:p>
        </w:tc>
        <w:tc>
          <w:tcPr>
            <w:tcW w:w="1928" w:type="dxa"/>
            <w:tcBorders>
              <w:top w:val="single" w:color="auto" w:sz="2" w:space="0"/>
              <w:left w:val="single" w:color="auto" w:sz="2" w:space="0"/>
              <w:bottom w:val="single" w:color="auto" w:sz="2" w:space="0"/>
              <w:right w:val="single" w:color="auto" w:sz="2" w:space="0"/>
            </w:tcBorders>
            <w:vAlign w:val="center"/>
          </w:tcPr>
          <w:p w14:paraId="66D24DD4">
            <w:pPr>
              <w:spacing w:line="240" w:lineRule="exact"/>
              <w:jc w:val="right"/>
              <w:rPr>
                <w:rFonts w:ascii="宋体" w:hAnsi="宋体" w:eastAsia="宋体" w:cs="宋体"/>
                <w:sz w:val="18"/>
                <w:szCs w:val="18"/>
              </w:rPr>
            </w:pPr>
            <w:r>
              <w:rPr>
                <w:rFonts w:ascii="宋体" w:hAnsi="宋体" w:eastAsia="宋体" w:cs="宋体"/>
                <w:sz w:val="18"/>
                <w:szCs w:val="18"/>
              </w:rPr>
              <w:t>8,128,100.00</w:t>
            </w:r>
          </w:p>
        </w:tc>
        <w:tc>
          <w:tcPr>
            <w:tcW w:w="1928" w:type="dxa"/>
            <w:tcBorders>
              <w:top w:val="single" w:color="auto" w:sz="2" w:space="0"/>
              <w:left w:val="single" w:color="auto" w:sz="2" w:space="0"/>
              <w:bottom w:val="single" w:color="auto" w:sz="2" w:space="0"/>
              <w:right w:val="single" w:color="auto" w:sz="2" w:space="0"/>
            </w:tcBorders>
            <w:vAlign w:val="center"/>
          </w:tcPr>
          <w:p w14:paraId="2D00BBD2">
            <w:pPr>
              <w:spacing w:line="240" w:lineRule="exact"/>
              <w:jc w:val="right"/>
              <w:rPr>
                <w:rFonts w:ascii="宋体" w:hAnsi="宋体" w:eastAsia="宋体" w:cs="宋体"/>
                <w:sz w:val="18"/>
                <w:szCs w:val="18"/>
              </w:rPr>
            </w:pPr>
            <w:r>
              <w:rPr>
                <w:rFonts w:ascii="宋体" w:hAnsi="宋体" w:eastAsia="宋体" w:cs="宋体"/>
                <w:sz w:val="18"/>
                <w:szCs w:val="18"/>
              </w:rPr>
              <w:t>34,042,774.18</w:t>
            </w:r>
          </w:p>
        </w:tc>
        <w:tc>
          <w:tcPr>
            <w:tcW w:w="1928" w:type="dxa"/>
            <w:tcBorders>
              <w:top w:val="single" w:color="auto" w:sz="2" w:space="0"/>
              <w:left w:val="single" w:color="auto" w:sz="2" w:space="0"/>
              <w:bottom w:val="single" w:color="auto" w:sz="2" w:space="0"/>
              <w:right w:val="single" w:color="auto" w:sz="2" w:space="0"/>
            </w:tcBorders>
            <w:vAlign w:val="center"/>
          </w:tcPr>
          <w:p w14:paraId="10324028">
            <w:pPr>
              <w:spacing w:line="240" w:lineRule="exact"/>
              <w:jc w:val="right"/>
              <w:rPr>
                <w:rFonts w:ascii="宋体" w:hAnsi="宋体" w:eastAsia="宋体" w:cs="宋体"/>
                <w:sz w:val="18"/>
                <w:szCs w:val="18"/>
              </w:rPr>
            </w:pPr>
            <w:r>
              <w:rPr>
                <w:rFonts w:ascii="宋体" w:hAnsi="宋体" w:eastAsia="宋体" w:cs="宋体"/>
                <w:sz w:val="18"/>
                <w:szCs w:val="18"/>
              </w:rPr>
              <w:t>8,127,752.00</w:t>
            </w:r>
          </w:p>
        </w:tc>
      </w:tr>
      <w:tr w14:paraId="1669BFE6">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A6AAC34">
            <w:pPr>
              <w:spacing w:line="240" w:lineRule="exac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95D369B">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804D1D9">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BF316EC">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7C33233">
            <w:pPr>
              <w:spacing w:line="240" w:lineRule="exact"/>
              <w:jc w:val="right"/>
              <w:rPr>
                <w:rFonts w:ascii="宋体" w:hAnsi="宋体" w:eastAsia="宋体" w:cs="宋体"/>
                <w:sz w:val="18"/>
                <w:szCs w:val="18"/>
              </w:rPr>
            </w:pPr>
          </w:p>
        </w:tc>
      </w:tr>
      <w:tr w14:paraId="55A68C9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F38749">
            <w:pPr>
              <w:spacing w:before="40" w:after="40" w:line="240" w:lineRule="exact"/>
              <w:rPr>
                <w:rFonts w:ascii="宋体" w:hAnsi="宋体" w:eastAsia="宋体" w:cs="宋体"/>
                <w:sz w:val="18"/>
                <w:szCs w:val="18"/>
              </w:rPr>
            </w:pPr>
            <w:r>
              <w:rPr>
                <w:rFonts w:ascii="宋体" w:hAnsi="宋体" w:eastAsia="宋体" w:cs="宋体"/>
                <w:sz w:val="18"/>
                <w:szCs w:val="18"/>
              </w:rPr>
              <w:t>少数股东权益</w:t>
            </w:r>
          </w:p>
        </w:tc>
        <w:tc>
          <w:tcPr>
            <w:tcW w:w="1928" w:type="dxa"/>
            <w:tcBorders>
              <w:top w:val="single" w:color="auto" w:sz="2" w:space="0"/>
              <w:left w:val="single" w:color="auto" w:sz="2" w:space="0"/>
              <w:bottom w:val="single" w:color="auto" w:sz="2" w:space="0"/>
              <w:right w:val="single" w:color="auto" w:sz="2" w:space="0"/>
            </w:tcBorders>
            <w:vAlign w:val="center"/>
          </w:tcPr>
          <w:p w14:paraId="2699E638">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921BEFE">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EA90F83">
            <w:pPr>
              <w:spacing w:line="240" w:lineRule="exact"/>
              <w:jc w:val="right"/>
              <w:rPr>
                <w:rFonts w:ascii="宋体" w:hAnsi="宋体" w:eastAsia="宋体" w:cs="宋体"/>
                <w:sz w:val="18"/>
                <w:szCs w:val="18"/>
              </w:rPr>
            </w:pPr>
            <w:r>
              <w:rPr>
                <w:rFonts w:ascii="宋体" w:hAnsi="宋体" w:eastAsia="宋体" w:cs="宋体"/>
                <w:sz w:val="18"/>
                <w:szCs w:val="18"/>
              </w:rPr>
              <w:t>-765,984.45</w:t>
            </w:r>
          </w:p>
        </w:tc>
        <w:tc>
          <w:tcPr>
            <w:tcW w:w="1928" w:type="dxa"/>
            <w:tcBorders>
              <w:top w:val="single" w:color="auto" w:sz="2" w:space="0"/>
              <w:left w:val="single" w:color="auto" w:sz="2" w:space="0"/>
              <w:bottom w:val="single" w:color="auto" w:sz="2" w:space="0"/>
              <w:right w:val="single" w:color="auto" w:sz="2" w:space="0"/>
            </w:tcBorders>
            <w:vAlign w:val="center"/>
          </w:tcPr>
          <w:p w14:paraId="56C4C42B">
            <w:pPr>
              <w:spacing w:line="240" w:lineRule="exact"/>
              <w:jc w:val="right"/>
              <w:rPr>
                <w:rFonts w:ascii="宋体" w:hAnsi="宋体" w:eastAsia="宋体" w:cs="宋体"/>
                <w:sz w:val="18"/>
                <w:szCs w:val="18"/>
              </w:rPr>
            </w:pPr>
          </w:p>
        </w:tc>
      </w:tr>
      <w:tr w14:paraId="3428758B">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6BACE8">
            <w:pPr>
              <w:spacing w:before="40" w:after="40" w:line="240" w:lineRule="exact"/>
              <w:rPr>
                <w:rFonts w:ascii="宋体" w:hAnsi="宋体" w:eastAsia="宋体" w:cs="宋体"/>
                <w:sz w:val="18"/>
                <w:szCs w:val="18"/>
              </w:rPr>
            </w:pPr>
            <w:r>
              <w:rPr>
                <w:rFonts w:ascii="宋体" w:hAnsi="宋体" w:eastAsia="宋体" w:cs="宋体"/>
                <w:sz w:val="18"/>
                <w:szCs w:val="18"/>
              </w:rPr>
              <w:t>归属于母公司股东权益</w:t>
            </w:r>
          </w:p>
        </w:tc>
        <w:tc>
          <w:tcPr>
            <w:tcW w:w="1928" w:type="dxa"/>
            <w:tcBorders>
              <w:top w:val="single" w:color="auto" w:sz="2" w:space="0"/>
              <w:left w:val="single" w:color="auto" w:sz="2" w:space="0"/>
              <w:bottom w:val="single" w:color="auto" w:sz="2" w:space="0"/>
              <w:right w:val="single" w:color="auto" w:sz="2" w:space="0"/>
            </w:tcBorders>
            <w:vAlign w:val="center"/>
          </w:tcPr>
          <w:p w14:paraId="4AD52163">
            <w:pPr>
              <w:spacing w:line="240" w:lineRule="exact"/>
              <w:jc w:val="right"/>
              <w:rPr>
                <w:rFonts w:ascii="宋体" w:hAnsi="宋体" w:eastAsia="宋体" w:cs="宋体"/>
                <w:sz w:val="18"/>
                <w:szCs w:val="18"/>
              </w:rPr>
            </w:pPr>
            <w:r>
              <w:rPr>
                <w:rFonts w:ascii="宋体" w:hAnsi="宋体" w:eastAsia="宋体" w:cs="宋体"/>
                <w:sz w:val="18"/>
                <w:szCs w:val="18"/>
              </w:rPr>
              <w:t>380,766,687.83</w:t>
            </w:r>
          </w:p>
        </w:tc>
        <w:tc>
          <w:tcPr>
            <w:tcW w:w="1928" w:type="dxa"/>
            <w:tcBorders>
              <w:top w:val="single" w:color="auto" w:sz="2" w:space="0"/>
              <w:left w:val="single" w:color="auto" w:sz="2" w:space="0"/>
              <w:bottom w:val="single" w:color="auto" w:sz="2" w:space="0"/>
              <w:right w:val="single" w:color="auto" w:sz="2" w:space="0"/>
            </w:tcBorders>
            <w:vAlign w:val="center"/>
          </w:tcPr>
          <w:p w14:paraId="6D6EBC63">
            <w:pPr>
              <w:spacing w:line="240" w:lineRule="exact"/>
              <w:jc w:val="right"/>
              <w:rPr>
                <w:rFonts w:ascii="宋体" w:hAnsi="宋体" w:eastAsia="宋体" w:cs="宋体"/>
                <w:sz w:val="18"/>
                <w:szCs w:val="18"/>
              </w:rPr>
            </w:pPr>
            <w:r>
              <w:rPr>
                <w:rFonts w:ascii="宋体" w:hAnsi="宋体" w:eastAsia="宋体" w:cs="宋体"/>
                <w:sz w:val="18"/>
                <w:szCs w:val="18"/>
              </w:rPr>
              <w:t>52,705,876.60</w:t>
            </w:r>
          </w:p>
        </w:tc>
        <w:tc>
          <w:tcPr>
            <w:tcW w:w="1928" w:type="dxa"/>
            <w:tcBorders>
              <w:top w:val="single" w:color="auto" w:sz="2" w:space="0"/>
              <w:left w:val="single" w:color="auto" w:sz="2" w:space="0"/>
              <w:bottom w:val="single" w:color="auto" w:sz="2" w:space="0"/>
              <w:right w:val="single" w:color="auto" w:sz="2" w:space="0"/>
            </w:tcBorders>
            <w:vAlign w:val="center"/>
          </w:tcPr>
          <w:p w14:paraId="4C3E119C">
            <w:pPr>
              <w:spacing w:line="240" w:lineRule="exact"/>
              <w:jc w:val="right"/>
              <w:rPr>
                <w:rFonts w:ascii="宋体" w:hAnsi="宋体" w:eastAsia="宋体" w:cs="宋体"/>
                <w:sz w:val="18"/>
                <w:szCs w:val="18"/>
              </w:rPr>
            </w:pPr>
            <w:r>
              <w:rPr>
                <w:rFonts w:ascii="宋体" w:hAnsi="宋体" w:eastAsia="宋体" w:cs="宋体"/>
                <w:sz w:val="18"/>
                <w:szCs w:val="18"/>
              </w:rPr>
              <w:t>387,390,872.87</w:t>
            </w:r>
          </w:p>
        </w:tc>
        <w:tc>
          <w:tcPr>
            <w:tcW w:w="1928" w:type="dxa"/>
            <w:tcBorders>
              <w:top w:val="single" w:color="auto" w:sz="2" w:space="0"/>
              <w:left w:val="single" w:color="auto" w:sz="2" w:space="0"/>
              <w:bottom w:val="single" w:color="auto" w:sz="2" w:space="0"/>
              <w:right w:val="single" w:color="auto" w:sz="2" w:space="0"/>
            </w:tcBorders>
            <w:vAlign w:val="center"/>
          </w:tcPr>
          <w:p w14:paraId="04365A07">
            <w:pPr>
              <w:spacing w:line="240" w:lineRule="exact"/>
              <w:jc w:val="right"/>
              <w:rPr>
                <w:rFonts w:ascii="宋体" w:hAnsi="宋体" w:eastAsia="宋体" w:cs="宋体"/>
                <w:sz w:val="18"/>
                <w:szCs w:val="18"/>
              </w:rPr>
            </w:pPr>
            <w:r>
              <w:rPr>
                <w:rFonts w:ascii="宋体" w:hAnsi="宋体" w:eastAsia="宋体" w:cs="宋体"/>
                <w:sz w:val="18"/>
                <w:szCs w:val="18"/>
              </w:rPr>
              <w:t>52,698,661.41</w:t>
            </w:r>
          </w:p>
        </w:tc>
      </w:tr>
      <w:tr w14:paraId="71D2821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32156A">
            <w:pPr>
              <w:spacing w:before="40" w:after="40" w:line="240" w:lineRule="exact"/>
              <w:rPr>
                <w:rFonts w:ascii="宋体" w:hAnsi="宋体" w:eastAsia="宋体" w:cs="宋体"/>
                <w:sz w:val="18"/>
                <w:szCs w:val="18"/>
              </w:rPr>
            </w:pPr>
            <w:r>
              <w:rPr>
                <w:rFonts w:ascii="宋体" w:hAnsi="宋体" w:eastAsia="宋体" w:cs="宋体"/>
                <w:sz w:val="18"/>
                <w:szCs w:val="18"/>
              </w:rPr>
              <w:t>按持股比例计算的净资产份额</w:t>
            </w:r>
          </w:p>
        </w:tc>
        <w:tc>
          <w:tcPr>
            <w:tcW w:w="1928" w:type="dxa"/>
            <w:tcBorders>
              <w:top w:val="single" w:color="auto" w:sz="2" w:space="0"/>
              <w:left w:val="single" w:color="auto" w:sz="2" w:space="0"/>
              <w:bottom w:val="single" w:color="auto" w:sz="2" w:space="0"/>
              <w:right w:val="single" w:color="auto" w:sz="2" w:space="0"/>
            </w:tcBorders>
            <w:vAlign w:val="center"/>
          </w:tcPr>
          <w:p w14:paraId="0F6C34AA">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1928" w:type="dxa"/>
            <w:tcBorders>
              <w:top w:val="single" w:color="auto" w:sz="2" w:space="0"/>
              <w:left w:val="single" w:color="auto" w:sz="2" w:space="0"/>
              <w:bottom w:val="single" w:color="auto" w:sz="2" w:space="0"/>
              <w:right w:val="single" w:color="auto" w:sz="2" w:space="0"/>
            </w:tcBorders>
            <w:vAlign w:val="center"/>
          </w:tcPr>
          <w:p w14:paraId="452D173A">
            <w:pPr>
              <w:spacing w:line="240" w:lineRule="exact"/>
              <w:jc w:val="right"/>
              <w:rPr>
                <w:rFonts w:ascii="宋体" w:hAnsi="宋体" w:eastAsia="宋体" w:cs="宋体"/>
                <w:sz w:val="18"/>
                <w:szCs w:val="18"/>
              </w:rPr>
            </w:pPr>
            <w:r>
              <w:rPr>
                <w:rFonts w:ascii="宋体" w:hAnsi="宋体" w:eastAsia="宋体" w:cs="宋体"/>
                <w:sz w:val="18"/>
                <w:szCs w:val="18"/>
              </w:rPr>
              <w:t>26,352,938.30</w:t>
            </w:r>
          </w:p>
        </w:tc>
        <w:tc>
          <w:tcPr>
            <w:tcW w:w="1928" w:type="dxa"/>
            <w:tcBorders>
              <w:top w:val="single" w:color="auto" w:sz="2" w:space="0"/>
              <w:left w:val="single" w:color="auto" w:sz="2" w:space="0"/>
              <w:bottom w:val="single" w:color="auto" w:sz="2" w:space="0"/>
              <w:right w:val="single" w:color="auto" w:sz="2" w:space="0"/>
            </w:tcBorders>
            <w:vAlign w:val="center"/>
          </w:tcPr>
          <w:p w14:paraId="6DE0F21F">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1928" w:type="dxa"/>
            <w:tcBorders>
              <w:top w:val="single" w:color="auto" w:sz="2" w:space="0"/>
              <w:left w:val="single" w:color="auto" w:sz="2" w:space="0"/>
              <w:bottom w:val="single" w:color="auto" w:sz="2" w:space="0"/>
              <w:right w:val="single" w:color="auto" w:sz="2" w:space="0"/>
            </w:tcBorders>
            <w:vAlign w:val="center"/>
          </w:tcPr>
          <w:p w14:paraId="69B5783C">
            <w:pPr>
              <w:spacing w:line="240" w:lineRule="exact"/>
              <w:jc w:val="right"/>
              <w:rPr>
                <w:rFonts w:ascii="宋体" w:hAnsi="宋体" w:eastAsia="宋体" w:cs="宋体"/>
                <w:sz w:val="18"/>
                <w:szCs w:val="18"/>
              </w:rPr>
            </w:pPr>
            <w:r>
              <w:rPr>
                <w:rFonts w:ascii="宋体" w:hAnsi="宋体" w:eastAsia="宋体" w:cs="宋体"/>
                <w:sz w:val="18"/>
                <w:szCs w:val="18"/>
              </w:rPr>
              <w:t>26,349,330.71</w:t>
            </w:r>
          </w:p>
        </w:tc>
      </w:tr>
      <w:tr w14:paraId="71267D7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D4B213">
            <w:pPr>
              <w:spacing w:before="40" w:after="40" w:line="240" w:lineRule="exact"/>
              <w:rPr>
                <w:rFonts w:ascii="宋体" w:hAnsi="宋体" w:eastAsia="宋体" w:cs="宋体"/>
                <w:sz w:val="18"/>
                <w:szCs w:val="18"/>
              </w:rPr>
            </w:pPr>
            <w:r>
              <w:rPr>
                <w:rFonts w:ascii="宋体" w:hAnsi="宋体" w:eastAsia="宋体" w:cs="宋体"/>
                <w:sz w:val="18"/>
                <w:szCs w:val="18"/>
              </w:rPr>
              <w:t>调整事项</w:t>
            </w:r>
          </w:p>
        </w:tc>
        <w:tc>
          <w:tcPr>
            <w:tcW w:w="1928" w:type="dxa"/>
            <w:tcBorders>
              <w:top w:val="single" w:color="auto" w:sz="2" w:space="0"/>
              <w:left w:val="single" w:color="auto" w:sz="2" w:space="0"/>
              <w:bottom w:val="single" w:color="auto" w:sz="2" w:space="0"/>
              <w:right w:val="single" w:color="auto" w:sz="2" w:space="0"/>
            </w:tcBorders>
            <w:vAlign w:val="center"/>
          </w:tcPr>
          <w:p w14:paraId="01C04BF6">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92ED3AA">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47AFC8D">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D3764E6">
            <w:pPr>
              <w:spacing w:line="240" w:lineRule="exact"/>
              <w:jc w:val="right"/>
              <w:rPr>
                <w:rFonts w:ascii="宋体" w:hAnsi="宋体" w:eastAsia="宋体" w:cs="宋体"/>
                <w:sz w:val="18"/>
                <w:szCs w:val="18"/>
              </w:rPr>
            </w:pPr>
          </w:p>
        </w:tc>
      </w:tr>
      <w:tr w14:paraId="3E769E1E">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A7CA4B">
            <w:pPr>
              <w:spacing w:before="40" w:after="40" w:line="240" w:lineRule="exact"/>
              <w:rPr>
                <w:rFonts w:ascii="宋体" w:hAnsi="宋体" w:eastAsia="宋体" w:cs="宋体"/>
                <w:sz w:val="18"/>
                <w:szCs w:val="18"/>
              </w:rPr>
            </w:pPr>
            <w:r>
              <w:rPr>
                <w:rFonts w:ascii="宋体" w:hAnsi="宋体" w:eastAsia="宋体" w:cs="宋体"/>
                <w:sz w:val="18"/>
                <w:szCs w:val="18"/>
              </w:rPr>
              <w:t>--商誉</w:t>
            </w:r>
          </w:p>
        </w:tc>
        <w:tc>
          <w:tcPr>
            <w:tcW w:w="1928" w:type="dxa"/>
            <w:tcBorders>
              <w:top w:val="single" w:color="auto" w:sz="2" w:space="0"/>
              <w:left w:val="single" w:color="auto" w:sz="2" w:space="0"/>
              <w:bottom w:val="single" w:color="auto" w:sz="2" w:space="0"/>
              <w:right w:val="single" w:color="auto" w:sz="2" w:space="0"/>
            </w:tcBorders>
            <w:vAlign w:val="center"/>
          </w:tcPr>
          <w:p w14:paraId="7C088286">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D844271">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5F5DB52">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3EB8C6A">
            <w:pPr>
              <w:spacing w:line="240" w:lineRule="exact"/>
              <w:jc w:val="right"/>
              <w:rPr>
                <w:rFonts w:ascii="宋体" w:hAnsi="宋体" w:eastAsia="宋体" w:cs="宋体"/>
                <w:sz w:val="18"/>
                <w:szCs w:val="18"/>
              </w:rPr>
            </w:pPr>
          </w:p>
        </w:tc>
      </w:tr>
      <w:tr w14:paraId="3C205D0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9CB60B">
            <w:pPr>
              <w:spacing w:before="40" w:after="40" w:line="240" w:lineRule="exact"/>
              <w:rPr>
                <w:rFonts w:ascii="宋体" w:hAnsi="宋体" w:eastAsia="宋体" w:cs="宋体"/>
                <w:sz w:val="18"/>
                <w:szCs w:val="18"/>
              </w:rPr>
            </w:pPr>
            <w:r>
              <w:rPr>
                <w:rFonts w:ascii="宋体" w:hAnsi="宋体" w:eastAsia="宋体" w:cs="宋体"/>
                <w:sz w:val="18"/>
                <w:szCs w:val="18"/>
              </w:rPr>
              <w:t>--内部交易未实现利润</w:t>
            </w:r>
          </w:p>
        </w:tc>
        <w:tc>
          <w:tcPr>
            <w:tcW w:w="1928" w:type="dxa"/>
            <w:tcBorders>
              <w:top w:val="single" w:color="auto" w:sz="2" w:space="0"/>
              <w:left w:val="single" w:color="auto" w:sz="2" w:space="0"/>
              <w:bottom w:val="single" w:color="auto" w:sz="2" w:space="0"/>
              <w:right w:val="single" w:color="auto" w:sz="2" w:space="0"/>
            </w:tcBorders>
            <w:vAlign w:val="center"/>
          </w:tcPr>
          <w:p w14:paraId="0200B957">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0D2DCF3">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47345C5">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5489246">
            <w:pPr>
              <w:spacing w:line="240" w:lineRule="exact"/>
              <w:jc w:val="right"/>
              <w:rPr>
                <w:rFonts w:ascii="宋体" w:hAnsi="宋体" w:eastAsia="宋体" w:cs="宋体"/>
                <w:sz w:val="18"/>
                <w:szCs w:val="18"/>
              </w:rPr>
            </w:pPr>
          </w:p>
        </w:tc>
      </w:tr>
      <w:tr w14:paraId="77448EEB">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9C8D1C">
            <w:pPr>
              <w:spacing w:before="40" w:after="40" w:line="240" w:lineRule="exact"/>
              <w:rPr>
                <w:rFonts w:ascii="宋体" w:hAnsi="宋体" w:eastAsia="宋体" w:cs="宋体"/>
                <w:sz w:val="18"/>
                <w:szCs w:val="18"/>
              </w:rPr>
            </w:pPr>
            <w:r>
              <w:rPr>
                <w:rFonts w:ascii="宋体" w:hAnsi="宋体" w:eastAsia="宋体" w:cs="宋体"/>
                <w:sz w:val="18"/>
                <w:szCs w:val="18"/>
              </w:rPr>
              <w:t>--其他</w:t>
            </w:r>
          </w:p>
        </w:tc>
        <w:tc>
          <w:tcPr>
            <w:tcW w:w="1928" w:type="dxa"/>
            <w:tcBorders>
              <w:top w:val="single" w:color="auto" w:sz="2" w:space="0"/>
              <w:left w:val="single" w:color="auto" w:sz="2" w:space="0"/>
              <w:bottom w:val="single" w:color="auto" w:sz="2" w:space="0"/>
              <w:right w:val="single" w:color="auto" w:sz="2" w:space="0"/>
            </w:tcBorders>
            <w:vAlign w:val="center"/>
          </w:tcPr>
          <w:p w14:paraId="50DE4948">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AAE2E63">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7368700">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1E5C85E">
            <w:pPr>
              <w:spacing w:line="240" w:lineRule="exact"/>
              <w:jc w:val="right"/>
              <w:rPr>
                <w:rFonts w:ascii="宋体" w:hAnsi="宋体" w:eastAsia="宋体" w:cs="宋体"/>
                <w:sz w:val="18"/>
                <w:szCs w:val="18"/>
              </w:rPr>
            </w:pPr>
          </w:p>
        </w:tc>
      </w:tr>
      <w:tr w14:paraId="794674A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2BC63C">
            <w:pPr>
              <w:spacing w:before="40" w:after="40" w:line="240" w:lineRule="exact"/>
              <w:rPr>
                <w:rFonts w:ascii="宋体" w:hAnsi="宋体" w:eastAsia="宋体" w:cs="宋体"/>
                <w:sz w:val="18"/>
                <w:szCs w:val="18"/>
              </w:rPr>
            </w:pPr>
            <w:r>
              <w:rPr>
                <w:rFonts w:ascii="宋体" w:hAnsi="宋体" w:eastAsia="宋体" w:cs="宋体"/>
                <w:sz w:val="18"/>
                <w:szCs w:val="18"/>
              </w:rPr>
              <w:t>对联营企业权益投资的账面价值</w:t>
            </w:r>
          </w:p>
        </w:tc>
        <w:tc>
          <w:tcPr>
            <w:tcW w:w="1928" w:type="dxa"/>
            <w:tcBorders>
              <w:top w:val="single" w:color="auto" w:sz="2" w:space="0"/>
              <w:left w:val="single" w:color="auto" w:sz="2" w:space="0"/>
              <w:bottom w:val="single" w:color="auto" w:sz="2" w:space="0"/>
              <w:right w:val="single" w:color="auto" w:sz="2" w:space="0"/>
            </w:tcBorders>
            <w:vAlign w:val="center"/>
          </w:tcPr>
          <w:p w14:paraId="56609ED2">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1928" w:type="dxa"/>
            <w:tcBorders>
              <w:top w:val="single" w:color="auto" w:sz="2" w:space="0"/>
              <w:left w:val="single" w:color="auto" w:sz="2" w:space="0"/>
              <w:bottom w:val="single" w:color="auto" w:sz="2" w:space="0"/>
              <w:right w:val="single" w:color="auto" w:sz="2" w:space="0"/>
            </w:tcBorders>
            <w:vAlign w:val="center"/>
          </w:tcPr>
          <w:p w14:paraId="53B9D2E0">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1928" w:type="dxa"/>
            <w:tcBorders>
              <w:top w:val="single" w:color="auto" w:sz="2" w:space="0"/>
              <w:left w:val="single" w:color="auto" w:sz="2" w:space="0"/>
              <w:bottom w:val="single" w:color="auto" w:sz="2" w:space="0"/>
              <w:right w:val="single" w:color="auto" w:sz="2" w:space="0"/>
            </w:tcBorders>
            <w:vAlign w:val="center"/>
          </w:tcPr>
          <w:p w14:paraId="1ADBCD7E">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1928" w:type="dxa"/>
            <w:tcBorders>
              <w:top w:val="single" w:color="auto" w:sz="2" w:space="0"/>
              <w:left w:val="single" w:color="auto" w:sz="2" w:space="0"/>
              <w:bottom w:val="single" w:color="auto" w:sz="2" w:space="0"/>
              <w:right w:val="single" w:color="auto" w:sz="2" w:space="0"/>
            </w:tcBorders>
            <w:vAlign w:val="center"/>
          </w:tcPr>
          <w:p w14:paraId="7D6726BF">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00D714F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EF53F73">
            <w:pPr>
              <w:spacing w:before="40" w:after="40" w:line="240" w:lineRule="exact"/>
              <w:rPr>
                <w:rFonts w:ascii="宋体" w:hAnsi="宋体" w:eastAsia="宋体" w:cs="宋体"/>
                <w:sz w:val="18"/>
                <w:szCs w:val="18"/>
              </w:rPr>
            </w:pPr>
            <w:r>
              <w:rPr>
                <w:rFonts w:ascii="宋体" w:hAnsi="宋体" w:eastAsia="宋体" w:cs="宋体"/>
                <w:sz w:val="18"/>
                <w:szCs w:val="18"/>
              </w:rPr>
              <w:t>存在公开报价的联营企业权益投资的公允价值</w:t>
            </w:r>
          </w:p>
        </w:tc>
        <w:tc>
          <w:tcPr>
            <w:tcW w:w="1928" w:type="dxa"/>
            <w:tcBorders>
              <w:top w:val="single" w:color="auto" w:sz="2" w:space="0"/>
              <w:left w:val="single" w:color="auto" w:sz="2" w:space="0"/>
              <w:bottom w:val="single" w:color="auto" w:sz="2" w:space="0"/>
              <w:right w:val="single" w:color="auto" w:sz="2" w:space="0"/>
            </w:tcBorders>
            <w:vAlign w:val="center"/>
          </w:tcPr>
          <w:p w14:paraId="418FD51A">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5EF145F">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FED56C0">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F260693">
            <w:pPr>
              <w:spacing w:line="240" w:lineRule="exact"/>
              <w:jc w:val="right"/>
              <w:rPr>
                <w:rFonts w:ascii="宋体" w:hAnsi="宋体" w:eastAsia="宋体" w:cs="宋体"/>
                <w:sz w:val="18"/>
                <w:szCs w:val="18"/>
              </w:rPr>
            </w:pPr>
          </w:p>
        </w:tc>
      </w:tr>
      <w:tr w14:paraId="5330E01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4B055E">
            <w:pPr>
              <w:spacing w:before="40" w:after="40" w:line="240" w:lineRule="exact"/>
              <w:rPr>
                <w:rFonts w:ascii="宋体" w:hAnsi="宋体" w:eastAsia="宋体" w:cs="宋体"/>
                <w:sz w:val="18"/>
                <w:szCs w:val="18"/>
              </w:rPr>
            </w:pPr>
            <w:r>
              <w:rPr>
                <w:rFonts w:ascii="宋体" w:hAnsi="宋体" w:eastAsia="宋体" w:cs="宋体"/>
                <w:sz w:val="18"/>
                <w:szCs w:val="18"/>
              </w:rPr>
              <w:t>营业收入</w:t>
            </w:r>
          </w:p>
        </w:tc>
        <w:tc>
          <w:tcPr>
            <w:tcW w:w="1928" w:type="dxa"/>
            <w:tcBorders>
              <w:top w:val="single" w:color="auto" w:sz="2" w:space="0"/>
              <w:left w:val="single" w:color="auto" w:sz="2" w:space="0"/>
              <w:bottom w:val="single" w:color="auto" w:sz="2" w:space="0"/>
              <w:right w:val="single" w:color="auto" w:sz="2" w:space="0"/>
            </w:tcBorders>
            <w:vAlign w:val="center"/>
          </w:tcPr>
          <w:p w14:paraId="1719BA3F">
            <w:pPr>
              <w:spacing w:line="240" w:lineRule="exact"/>
              <w:jc w:val="right"/>
              <w:rPr>
                <w:rFonts w:ascii="宋体" w:hAnsi="宋体" w:eastAsia="宋体" w:cs="宋体"/>
                <w:sz w:val="18"/>
                <w:szCs w:val="18"/>
              </w:rPr>
            </w:pPr>
            <w:r>
              <w:rPr>
                <w:rFonts w:ascii="宋体" w:hAnsi="宋体" w:eastAsia="宋体" w:cs="宋体"/>
                <w:sz w:val="18"/>
                <w:szCs w:val="18"/>
              </w:rPr>
              <w:t>17,164,729.41</w:t>
            </w:r>
          </w:p>
        </w:tc>
        <w:tc>
          <w:tcPr>
            <w:tcW w:w="1928" w:type="dxa"/>
            <w:tcBorders>
              <w:top w:val="single" w:color="auto" w:sz="2" w:space="0"/>
              <w:left w:val="single" w:color="auto" w:sz="2" w:space="0"/>
              <w:bottom w:val="single" w:color="auto" w:sz="2" w:space="0"/>
              <w:right w:val="single" w:color="auto" w:sz="2" w:space="0"/>
            </w:tcBorders>
            <w:vAlign w:val="center"/>
          </w:tcPr>
          <w:p w14:paraId="510AD2AF">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7416E93">
            <w:pPr>
              <w:spacing w:line="240" w:lineRule="exact"/>
              <w:jc w:val="right"/>
              <w:rPr>
                <w:rFonts w:ascii="宋体" w:hAnsi="宋体" w:eastAsia="宋体" w:cs="宋体"/>
                <w:sz w:val="18"/>
                <w:szCs w:val="18"/>
              </w:rPr>
            </w:pPr>
            <w:r>
              <w:rPr>
                <w:rFonts w:ascii="宋体" w:hAnsi="宋体" w:eastAsia="宋体" w:cs="宋体"/>
                <w:sz w:val="18"/>
                <w:szCs w:val="18"/>
              </w:rPr>
              <w:t>17,293,082.57</w:t>
            </w:r>
          </w:p>
        </w:tc>
        <w:tc>
          <w:tcPr>
            <w:tcW w:w="1928" w:type="dxa"/>
            <w:tcBorders>
              <w:top w:val="single" w:color="auto" w:sz="2" w:space="0"/>
              <w:left w:val="single" w:color="auto" w:sz="2" w:space="0"/>
              <w:bottom w:val="single" w:color="auto" w:sz="2" w:space="0"/>
              <w:right w:val="single" w:color="auto" w:sz="2" w:space="0"/>
            </w:tcBorders>
            <w:vAlign w:val="center"/>
          </w:tcPr>
          <w:p w14:paraId="143BBF91">
            <w:pPr>
              <w:spacing w:line="240" w:lineRule="exact"/>
              <w:jc w:val="right"/>
              <w:rPr>
                <w:rFonts w:ascii="宋体" w:hAnsi="宋体" w:eastAsia="宋体" w:cs="宋体"/>
                <w:sz w:val="18"/>
                <w:szCs w:val="18"/>
              </w:rPr>
            </w:pPr>
          </w:p>
        </w:tc>
      </w:tr>
      <w:tr w14:paraId="5FEB83CA">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109D1B">
            <w:pPr>
              <w:spacing w:before="40" w:after="40" w:line="240" w:lineRule="exact"/>
              <w:rPr>
                <w:rFonts w:ascii="宋体" w:hAnsi="宋体" w:eastAsia="宋体" w:cs="宋体"/>
                <w:sz w:val="18"/>
                <w:szCs w:val="18"/>
              </w:rPr>
            </w:pPr>
            <w:r>
              <w:rPr>
                <w:rFonts w:ascii="宋体" w:hAnsi="宋体" w:eastAsia="宋体" w:cs="宋体"/>
                <w:sz w:val="18"/>
                <w:szCs w:val="18"/>
              </w:rPr>
              <w:t>净利润</w:t>
            </w:r>
          </w:p>
        </w:tc>
        <w:tc>
          <w:tcPr>
            <w:tcW w:w="1928" w:type="dxa"/>
            <w:tcBorders>
              <w:top w:val="single" w:color="auto" w:sz="2" w:space="0"/>
              <w:left w:val="single" w:color="auto" w:sz="2" w:space="0"/>
              <w:bottom w:val="single" w:color="auto" w:sz="2" w:space="0"/>
              <w:right w:val="single" w:color="auto" w:sz="2" w:space="0"/>
            </w:tcBorders>
            <w:vAlign w:val="center"/>
          </w:tcPr>
          <w:p w14:paraId="3967DFBD">
            <w:pPr>
              <w:spacing w:line="240" w:lineRule="exact"/>
              <w:jc w:val="right"/>
              <w:rPr>
                <w:rFonts w:ascii="宋体" w:hAnsi="宋体" w:eastAsia="宋体" w:cs="宋体"/>
                <w:sz w:val="18"/>
                <w:szCs w:val="18"/>
              </w:rPr>
            </w:pPr>
            <w:r>
              <w:rPr>
                <w:rFonts w:ascii="宋体" w:hAnsi="宋体" w:eastAsia="宋体" w:cs="宋体"/>
                <w:sz w:val="18"/>
                <w:szCs w:val="18"/>
              </w:rPr>
              <w:t>-6,636,604.08</w:t>
            </w:r>
          </w:p>
        </w:tc>
        <w:tc>
          <w:tcPr>
            <w:tcW w:w="1928" w:type="dxa"/>
            <w:tcBorders>
              <w:top w:val="single" w:color="auto" w:sz="2" w:space="0"/>
              <w:left w:val="single" w:color="auto" w:sz="2" w:space="0"/>
              <w:bottom w:val="single" w:color="auto" w:sz="2" w:space="0"/>
              <w:right w:val="single" w:color="auto" w:sz="2" w:space="0"/>
            </w:tcBorders>
            <w:vAlign w:val="center"/>
          </w:tcPr>
          <w:p w14:paraId="60FF21B6">
            <w:pPr>
              <w:spacing w:line="240" w:lineRule="exact"/>
              <w:jc w:val="right"/>
              <w:rPr>
                <w:rFonts w:ascii="宋体" w:hAnsi="宋体" w:eastAsia="宋体" w:cs="宋体"/>
                <w:sz w:val="18"/>
                <w:szCs w:val="18"/>
              </w:rPr>
            </w:pPr>
            <w:r>
              <w:rPr>
                <w:rFonts w:ascii="宋体" w:hAnsi="宋体" w:eastAsia="宋体" w:cs="宋体"/>
                <w:sz w:val="18"/>
                <w:szCs w:val="18"/>
              </w:rPr>
              <w:t>7,215.19</w:t>
            </w:r>
          </w:p>
        </w:tc>
        <w:tc>
          <w:tcPr>
            <w:tcW w:w="1928" w:type="dxa"/>
            <w:tcBorders>
              <w:top w:val="single" w:color="auto" w:sz="2" w:space="0"/>
              <w:left w:val="single" w:color="auto" w:sz="2" w:space="0"/>
              <w:bottom w:val="single" w:color="auto" w:sz="2" w:space="0"/>
              <w:right w:val="single" w:color="auto" w:sz="2" w:space="0"/>
            </w:tcBorders>
            <w:vAlign w:val="center"/>
          </w:tcPr>
          <w:p w14:paraId="36BD2AF8">
            <w:pPr>
              <w:spacing w:line="240" w:lineRule="exact"/>
              <w:jc w:val="right"/>
              <w:rPr>
                <w:rFonts w:ascii="宋体" w:hAnsi="宋体" w:eastAsia="宋体" w:cs="宋体"/>
                <w:sz w:val="18"/>
                <w:szCs w:val="18"/>
              </w:rPr>
            </w:pPr>
            <w:r>
              <w:rPr>
                <w:rFonts w:ascii="宋体" w:hAnsi="宋体" w:eastAsia="宋体" w:cs="宋体"/>
                <w:sz w:val="18"/>
                <w:szCs w:val="18"/>
              </w:rPr>
              <w:t>-8,329,303.01</w:t>
            </w:r>
          </w:p>
        </w:tc>
        <w:tc>
          <w:tcPr>
            <w:tcW w:w="1928" w:type="dxa"/>
            <w:tcBorders>
              <w:top w:val="single" w:color="auto" w:sz="2" w:space="0"/>
              <w:left w:val="single" w:color="auto" w:sz="2" w:space="0"/>
              <w:bottom w:val="single" w:color="auto" w:sz="2" w:space="0"/>
              <w:right w:val="single" w:color="auto" w:sz="2" w:space="0"/>
            </w:tcBorders>
            <w:vAlign w:val="center"/>
          </w:tcPr>
          <w:p w14:paraId="12263C7F">
            <w:pPr>
              <w:spacing w:line="240" w:lineRule="exact"/>
              <w:jc w:val="right"/>
              <w:rPr>
                <w:rFonts w:ascii="宋体" w:hAnsi="宋体" w:eastAsia="宋体" w:cs="宋体"/>
                <w:sz w:val="18"/>
                <w:szCs w:val="18"/>
              </w:rPr>
            </w:pPr>
            <w:r>
              <w:rPr>
                <w:rFonts w:ascii="宋体" w:hAnsi="宋体" w:eastAsia="宋体" w:cs="宋体"/>
                <w:sz w:val="18"/>
                <w:szCs w:val="18"/>
              </w:rPr>
              <w:t>81,757.11</w:t>
            </w:r>
          </w:p>
        </w:tc>
      </w:tr>
      <w:tr w14:paraId="73718EB3">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2BCA4D">
            <w:pPr>
              <w:spacing w:before="40" w:after="40" w:line="240" w:lineRule="exact"/>
              <w:rPr>
                <w:rFonts w:ascii="宋体" w:hAnsi="宋体" w:eastAsia="宋体" w:cs="宋体"/>
                <w:sz w:val="18"/>
                <w:szCs w:val="18"/>
              </w:rPr>
            </w:pPr>
            <w:r>
              <w:rPr>
                <w:rFonts w:ascii="宋体" w:hAnsi="宋体" w:eastAsia="宋体" w:cs="宋体"/>
                <w:sz w:val="18"/>
                <w:szCs w:val="18"/>
              </w:rPr>
              <w:t>终止经营的净利润</w:t>
            </w:r>
          </w:p>
        </w:tc>
        <w:tc>
          <w:tcPr>
            <w:tcW w:w="1928" w:type="dxa"/>
            <w:tcBorders>
              <w:top w:val="single" w:color="auto" w:sz="2" w:space="0"/>
              <w:left w:val="single" w:color="auto" w:sz="2" w:space="0"/>
              <w:bottom w:val="single" w:color="auto" w:sz="2" w:space="0"/>
              <w:right w:val="single" w:color="auto" w:sz="2" w:space="0"/>
            </w:tcBorders>
            <w:vAlign w:val="center"/>
          </w:tcPr>
          <w:p w14:paraId="4FFCD7B8">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1EC8F54">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B43490E">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F567920">
            <w:pPr>
              <w:spacing w:line="240" w:lineRule="exact"/>
              <w:jc w:val="right"/>
              <w:rPr>
                <w:rFonts w:ascii="宋体" w:hAnsi="宋体" w:eastAsia="宋体" w:cs="宋体"/>
                <w:sz w:val="18"/>
                <w:szCs w:val="18"/>
              </w:rPr>
            </w:pPr>
          </w:p>
        </w:tc>
      </w:tr>
      <w:tr w14:paraId="5E25CCFC">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7C4D34">
            <w:pPr>
              <w:spacing w:before="40" w:after="40" w:line="240" w:lineRule="exact"/>
              <w:rPr>
                <w:rFonts w:ascii="宋体" w:hAnsi="宋体" w:eastAsia="宋体" w:cs="宋体"/>
                <w:sz w:val="18"/>
                <w:szCs w:val="18"/>
              </w:rPr>
            </w:pPr>
            <w:r>
              <w:rPr>
                <w:rFonts w:ascii="宋体" w:hAnsi="宋体" w:eastAsia="宋体" w:cs="宋体"/>
                <w:sz w:val="18"/>
                <w:szCs w:val="18"/>
              </w:rPr>
              <w:t>其他综合收益</w:t>
            </w:r>
          </w:p>
        </w:tc>
        <w:tc>
          <w:tcPr>
            <w:tcW w:w="1928" w:type="dxa"/>
            <w:tcBorders>
              <w:top w:val="single" w:color="auto" w:sz="2" w:space="0"/>
              <w:left w:val="single" w:color="auto" w:sz="2" w:space="0"/>
              <w:bottom w:val="single" w:color="auto" w:sz="2" w:space="0"/>
              <w:right w:val="single" w:color="auto" w:sz="2" w:space="0"/>
            </w:tcBorders>
            <w:vAlign w:val="center"/>
          </w:tcPr>
          <w:p w14:paraId="49AABE8C">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65CE7F6">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53B9FCF">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B6EA110">
            <w:pPr>
              <w:spacing w:line="240" w:lineRule="exact"/>
              <w:jc w:val="right"/>
              <w:rPr>
                <w:rFonts w:ascii="宋体" w:hAnsi="宋体" w:eastAsia="宋体" w:cs="宋体"/>
                <w:sz w:val="18"/>
                <w:szCs w:val="18"/>
              </w:rPr>
            </w:pPr>
          </w:p>
        </w:tc>
      </w:tr>
      <w:tr w14:paraId="359F092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35C838">
            <w:pPr>
              <w:spacing w:before="40" w:after="40" w:line="240" w:lineRule="exact"/>
              <w:rPr>
                <w:rFonts w:ascii="宋体" w:hAnsi="宋体" w:eastAsia="宋体" w:cs="宋体"/>
                <w:sz w:val="18"/>
                <w:szCs w:val="18"/>
              </w:rPr>
            </w:pPr>
            <w:r>
              <w:rPr>
                <w:rFonts w:ascii="宋体" w:hAnsi="宋体" w:eastAsia="宋体" w:cs="宋体"/>
                <w:sz w:val="18"/>
                <w:szCs w:val="18"/>
              </w:rPr>
              <w:t>综合收益总额</w:t>
            </w:r>
          </w:p>
        </w:tc>
        <w:tc>
          <w:tcPr>
            <w:tcW w:w="1928" w:type="dxa"/>
            <w:tcBorders>
              <w:top w:val="single" w:color="auto" w:sz="2" w:space="0"/>
              <w:left w:val="single" w:color="auto" w:sz="2" w:space="0"/>
              <w:bottom w:val="single" w:color="auto" w:sz="2" w:space="0"/>
              <w:right w:val="single" w:color="auto" w:sz="2" w:space="0"/>
            </w:tcBorders>
            <w:vAlign w:val="center"/>
          </w:tcPr>
          <w:p w14:paraId="094F0309">
            <w:pPr>
              <w:spacing w:line="240" w:lineRule="exact"/>
              <w:jc w:val="right"/>
              <w:rPr>
                <w:rFonts w:ascii="宋体" w:hAnsi="宋体" w:eastAsia="宋体" w:cs="宋体"/>
                <w:sz w:val="18"/>
                <w:szCs w:val="18"/>
              </w:rPr>
            </w:pPr>
            <w:r>
              <w:rPr>
                <w:rFonts w:ascii="宋体" w:hAnsi="宋体" w:eastAsia="宋体" w:cs="宋体"/>
                <w:sz w:val="18"/>
                <w:szCs w:val="18"/>
              </w:rPr>
              <w:t>-6,636,604.08</w:t>
            </w:r>
          </w:p>
        </w:tc>
        <w:tc>
          <w:tcPr>
            <w:tcW w:w="1928" w:type="dxa"/>
            <w:tcBorders>
              <w:top w:val="single" w:color="auto" w:sz="2" w:space="0"/>
              <w:left w:val="single" w:color="auto" w:sz="2" w:space="0"/>
              <w:bottom w:val="single" w:color="auto" w:sz="2" w:space="0"/>
              <w:right w:val="single" w:color="auto" w:sz="2" w:space="0"/>
            </w:tcBorders>
            <w:vAlign w:val="center"/>
          </w:tcPr>
          <w:p w14:paraId="373418F5">
            <w:pPr>
              <w:spacing w:line="240" w:lineRule="exact"/>
              <w:jc w:val="right"/>
              <w:rPr>
                <w:rFonts w:ascii="宋体" w:hAnsi="宋体" w:eastAsia="宋体" w:cs="宋体"/>
                <w:sz w:val="18"/>
                <w:szCs w:val="18"/>
              </w:rPr>
            </w:pPr>
            <w:r>
              <w:rPr>
                <w:rFonts w:ascii="宋体" w:hAnsi="宋体" w:eastAsia="宋体" w:cs="宋体"/>
                <w:sz w:val="18"/>
                <w:szCs w:val="18"/>
              </w:rPr>
              <w:t>7,215.19</w:t>
            </w:r>
          </w:p>
        </w:tc>
        <w:tc>
          <w:tcPr>
            <w:tcW w:w="1928" w:type="dxa"/>
            <w:tcBorders>
              <w:top w:val="single" w:color="auto" w:sz="2" w:space="0"/>
              <w:left w:val="single" w:color="auto" w:sz="2" w:space="0"/>
              <w:bottom w:val="single" w:color="auto" w:sz="2" w:space="0"/>
              <w:right w:val="single" w:color="auto" w:sz="2" w:space="0"/>
            </w:tcBorders>
            <w:vAlign w:val="center"/>
          </w:tcPr>
          <w:p w14:paraId="64AE3AAE">
            <w:pPr>
              <w:spacing w:line="240" w:lineRule="exact"/>
              <w:jc w:val="right"/>
              <w:rPr>
                <w:rFonts w:ascii="宋体" w:hAnsi="宋体" w:eastAsia="宋体" w:cs="宋体"/>
                <w:sz w:val="18"/>
                <w:szCs w:val="18"/>
              </w:rPr>
            </w:pPr>
            <w:r>
              <w:rPr>
                <w:rFonts w:ascii="宋体" w:hAnsi="宋体" w:eastAsia="宋体" w:cs="宋体"/>
                <w:sz w:val="18"/>
                <w:szCs w:val="18"/>
              </w:rPr>
              <w:t>-8,329,303.01</w:t>
            </w:r>
          </w:p>
        </w:tc>
        <w:tc>
          <w:tcPr>
            <w:tcW w:w="1928" w:type="dxa"/>
            <w:tcBorders>
              <w:top w:val="single" w:color="auto" w:sz="2" w:space="0"/>
              <w:left w:val="single" w:color="auto" w:sz="2" w:space="0"/>
              <w:bottom w:val="single" w:color="auto" w:sz="2" w:space="0"/>
              <w:right w:val="single" w:color="auto" w:sz="2" w:space="0"/>
            </w:tcBorders>
            <w:vAlign w:val="center"/>
          </w:tcPr>
          <w:p w14:paraId="0B0E1096">
            <w:pPr>
              <w:spacing w:line="240" w:lineRule="exact"/>
              <w:jc w:val="right"/>
              <w:rPr>
                <w:rFonts w:ascii="宋体" w:hAnsi="宋体" w:eastAsia="宋体" w:cs="宋体"/>
                <w:sz w:val="18"/>
                <w:szCs w:val="18"/>
              </w:rPr>
            </w:pPr>
            <w:r>
              <w:rPr>
                <w:rFonts w:ascii="宋体" w:hAnsi="宋体" w:eastAsia="宋体" w:cs="宋体"/>
                <w:sz w:val="18"/>
                <w:szCs w:val="18"/>
              </w:rPr>
              <w:t>81,757.11</w:t>
            </w:r>
          </w:p>
        </w:tc>
      </w:tr>
      <w:tr w14:paraId="4B9F2C7A">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12E317F">
            <w:pPr>
              <w:spacing w:line="240" w:lineRule="exac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42DAE4D">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7849FA7">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5EDC826">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E2424A8">
            <w:pPr>
              <w:spacing w:line="240" w:lineRule="exact"/>
              <w:jc w:val="right"/>
              <w:rPr>
                <w:rFonts w:ascii="宋体" w:hAnsi="宋体" w:eastAsia="宋体" w:cs="宋体"/>
                <w:sz w:val="18"/>
                <w:szCs w:val="18"/>
              </w:rPr>
            </w:pPr>
          </w:p>
        </w:tc>
      </w:tr>
      <w:tr w14:paraId="0AE5C223">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7A3071">
            <w:pPr>
              <w:spacing w:before="40" w:after="40" w:line="240" w:lineRule="exact"/>
              <w:rPr>
                <w:rFonts w:ascii="宋体" w:hAnsi="宋体" w:eastAsia="宋体" w:cs="宋体"/>
                <w:sz w:val="18"/>
                <w:szCs w:val="18"/>
              </w:rPr>
            </w:pPr>
            <w:r>
              <w:rPr>
                <w:rFonts w:ascii="宋体" w:hAnsi="宋体" w:eastAsia="宋体" w:cs="宋体"/>
                <w:sz w:val="18"/>
                <w:szCs w:val="18"/>
              </w:rPr>
              <w:t>本年度收到的来自联营企业的股利</w:t>
            </w:r>
          </w:p>
        </w:tc>
        <w:tc>
          <w:tcPr>
            <w:tcW w:w="1928" w:type="dxa"/>
            <w:tcBorders>
              <w:top w:val="single" w:color="auto" w:sz="2" w:space="0"/>
              <w:left w:val="single" w:color="auto" w:sz="2" w:space="0"/>
              <w:bottom w:val="single" w:color="auto" w:sz="2" w:space="0"/>
              <w:right w:val="single" w:color="auto" w:sz="2" w:space="0"/>
            </w:tcBorders>
            <w:vAlign w:val="center"/>
          </w:tcPr>
          <w:p w14:paraId="4EA13D03">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AAE6D64">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0A74BE1">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D16B335">
            <w:pPr>
              <w:spacing w:line="240" w:lineRule="exact"/>
              <w:jc w:val="right"/>
              <w:rPr>
                <w:rFonts w:ascii="宋体" w:hAnsi="宋体" w:eastAsia="宋体" w:cs="宋体"/>
                <w:sz w:val="18"/>
                <w:szCs w:val="18"/>
              </w:rPr>
            </w:pPr>
          </w:p>
        </w:tc>
      </w:tr>
    </w:tbl>
    <w:p w14:paraId="2B556FF0">
      <w:pPr>
        <w:spacing w:before="20" w:after="20" w:line="240" w:lineRule="auto"/>
        <w:rPr>
          <w:rFonts w:ascii="宋体" w:hAnsi="宋体" w:eastAsia="宋体" w:cs="宋体"/>
          <w:sz w:val="18"/>
          <w:szCs w:val="18"/>
        </w:rPr>
      </w:pPr>
      <w:r>
        <w:rPr>
          <w:rFonts w:ascii="宋体" w:hAnsi="宋体" w:eastAsia="宋体" w:cs="宋体"/>
          <w:sz w:val="18"/>
          <w:szCs w:val="18"/>
        </w:rPr>
        <w:t>其他说明</w:t>
      </w:r>
    </w:p>
    <w:p w14:paraId="07B41F03">
      <w:pPr>
        <w:pStyle w:val="9"/>
        <w:spacing w:before="20" w:beforeAutospacing="0" w:after="20" w:afterAutospacing="0" w:line="240" w:lineRule="auto"/>
        <w:ind w:left="22" w:firstLine="480"/>
        <w:rPr>
          <w:sz w:val="18"/>
          <w:szCs w:val="18"/>
        </w:rPr>
      </w:pPr>
      <w:r>
        <w:rPr>
          <w:rFonts w:hint="eastAsia"/>
          <w:sz w:val="18"/>
          <w:szCs w:val="18"/>
        </w:rPr>
        <w:t>注：苏州华信善达力创投资企业(有限合伙)于2021年12月23日存续期届满，经全体合伙人一致同意解散。2022年11月合伙人中广核资本控股有限公司向法院申请强制清算，法院于2023年1月接受中广核资本控股有限公司的申请并指定了清算人对苏州华信善达力创投资企业(有限合伙)的清算工作。</w:t>
      </w:r>
    </w:p>
    <w:p w14:paraId="24165AE2">
      <w:pPr>
        <w:pStyle w:val="9"/>
        <w:spacing w:before="20" w:beforeAutospacing="0" w:after="20" w:afterAutospacing="0" w:line="240" w:lineRule="auto"/>
        <w:ind w:left="22" w:firstLine="480"/>
        <w:rPr>
          <w:sz w:val="18"/>
          <w:szCs w:val="18"/>
        </w:rPr>
      </w:pPr>
      <w:r>
        <w:rPr>
          <w:rFonts w:hint="eastAsia"/>
          <w:sz w:val="18"/>
          <w:szCs w:val="18"/>
        </w:rPr>
        <w:t>截至本报告日，华信善达的清算工作仍在进行中，公司已对苏州华信善达力创投资企业(有限合伙)全额计提减值。</w:t>
      </w:r>
    </w:p>
    <w:p w14:paraId="08A94AB3">
      <w:pPr>
        <w:keepNext/>
        <w:keepLines/>
        <w:spacing w:before="300" w:after="100" w:line="280" w:lineRule="exact"/>
        <w:outlineLvl w:val="3"/>
        <w:rPr>
          <w:rFonts w:ascii="宋体" w:hAnsi="宋体" w:eastAsia="宋体" w:cs="宋体"/>
          <w:b/>
          <w:bCs/>
          <w:szCs w:val="21"/>
        </w:rPr>
      </w:pPr>
      <w:bookmarkStart w:id="425" w:name="_Toc989314"/>
      <w:r>
        <w:rPr>
          <w:rFonts w:ascii="宋体" w:hAnsi="宋体" w:eastAsia="宋体" w:cs="宋体"/>
          <w:b/>
          <w:bCs/>
          <w:szCs w:val="21"/>
        </w:rPr>
        <w:t>（4） 不重要的合营企业和联营企业的汇总财务信息</w:t>
      </w:r>
      <w:bookmarkEnd w:id="425"/>
    </w:p>
    <w:p w14:paraId="61A36A2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03B092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2C2BB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94F0C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E4F29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期初余额/上期发生额</w:t>
            </w:r>
          </w:p>
        </w:tc>
      </w:tr>
      <w:tr w14:paraId="41D1151B">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DA305F">
            <w:pPr>
              <w:spacing w:before="40" w:after="40" w:line="240" w:lineRule="exact"/>
              <w:rPr>
                <w:rFonts w:ascii="宋体" w:hAnsi="宋体" w:eastAsia="宋体" w:cs="宋体"/>
                <w:sz w:val="18"/>
                <w:szCs w:val="18"/>
              </w:rPr>
            </w:pPr>
            <w:r>
              <w:rPr>
                <w:rFonts w:ascii="宋体" w:hAnsi="宋体" w:eastAsia="宋体" w:cs="宋体"/>
                <w:sz w:val="18"/>
                <w:szCs w:val="18"/>
              </w:rPr>
              <w:t>合营企业：</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7E903E"/>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06B4C"/>
        </w:tc>
      </w:tr>
      <w:tr w14:paraId="04CC5B6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238620">
            <w:pPr>
              <w:spacing w:before="40" w:after="40" w:line="240" w:lineRule="exact"/>
              <w:rPr>
                <w:rFonts w:ascii="宋体" w:hAnsi="宋体" w:eastAsia="宋体" w:cs="宋体"/>
                <w:sz w:val="18"/>
                <w:szCs w:val="18"/>
              </w:rPr>
            </w:pPr>
            <w:r>
              <w:rPr>
                <w:rFonts w:ascii="宋体" w:hAnsi="宋体" w:eastAsia="宋体" w:cs="宋体"/>
                <w:sz w:val="18"/>
                <w:szCs w:val="18"/>
              </w:rPr>
              <w:t>下列各项按持股比例计算的合计数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DD40E2"/>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0EEDFA"/>
        </w:tc>
      </w:tr>
      <w:tr w14:paraId="3FF9B89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DC22A4">
            <w:pPr>
              <w:spacing w:before="40" w:after="40" w:line="240" w:lineRule="exact"/>
              <w:rPr>
                <w:rFonts w:ascii="宋体" w:hAnsi="宋体" w:eastAsia="宋体" w:cs="宋体"/>
                <w:sz w:val="18"/>
                <w:szCs w:val="18"/>
              </w:rPr>
            </w:pPr>
            <w:r>
              <w:rPr>
                <w:rFonts w:ascii="宋体" w:hAnsi="宋体" w:eastAsia="宋体" w:cs="宋体"/>
                <w:sz w:val="18"/>
                <w:szCs w:val="18"/>
              </w:rPr>
              <w:t>联营企业：</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29B057"/>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5ECD60"/>
        </w:tc>
      </w:tr>
      <w:tr w14:paraId="098E4247">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2A3A3C">
            <w:pPr>
              <w:spacing w:before="40" w:after="40" w:line="240" w:lineRule="exact"/>
              <w:rPr>
                <w:rFonts w:ascii="宋体" w:hAnsi="宋体" w:eastAsia="宋体" w:cs="宋体"/>
                <w:sz w:val="18"/>
                <w:szCs w:val="18"/>
              </w:rPr>
            </w:pPr>
            <w:r>
              <w:rPr>
                <w:rFonts w:ascii="宋体" w:hAnsi="宋体" w:eastAsia="宋体" w:cs="宋体"/>
                <w:sz w:val="18"/>
                <w:szCs w:val="18"/>
              </w:rPr>
              <w:t>下列各项按持股比例计算的合计数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090C66"/>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2DA7E2"/>
        </w:tc>
      </w:tr>
    </w:tbl>
    <w:p w14:paraId="2C8EE7C3">
      <w:pPr>
        <w:spacing w:before="100" w:after="100" w:line="240" w:lineRule="exact"/>
      </w:pPr>
      <w:r>
        <w:rPr>
          <w:rFonts w:ascii="宋体" w:hAnsi="宋体" w:eastAsia="宋体" w:cs="宋体"/>
          <w:sz w:val="18"/>
          <w:szCs w:val="18"/>
        </w:rPr>
        <w:t>其他说明</w:t>
      </w:r>
    </w:p>
    <w:p w14:paraId="0CBBCAC1">
      <w:pPr>
        <w:keepNext/>
        <w:keepLines/>
        <w:spacing w:before="300" w:after="100" w:line="280" w:lineRule="exact"/>
        <w:outlineLvl w:val="3"/>
      </w:pPr>
      <w:bookmarkStart w:id="426" w:name="_Toc989315"/>
      <w:r>
        <w:rPr>
          <w:rFonts w:ascii="宋体" w:hAnsi="宋体" w:eastAsia="宋体" w:cs="宋体"/>
          <w:b/>
          <w:bCs/>
          <w:szCs w:val="21"/>
        </w:rPr>
        <w:t>（5） 合营企业或联营企业向本公司转移资金的能力存在重大限制的说明</w:t>
      </w:r>
      <w:bookmarkEnd w:id="426"/>
    </w:p>
    <w:p w14:paraId="1B5E0860">
      <w:pPr>
        <w:keepNext/>
        <w:keepLines/>
        <w:spacing w:before="300" w:after="100" w:line="280" w:lineRule="exact"/>
        <w:outlineLvl w:val="3"/>
        <w:rPr>
          <w:rFonts w:ascii="宋体" w:hAnsi="宋体" w:eastAsia="宋体" w:cs="宋体"/>
          <w:b/>
          <w:bCs/>
          <w:szCs w:val="21"/>
        </w:rPr>
      </w:pPr>
      <w:bookmarkStart w:id="427" w:name="_Toc989316"/>
      <w:r>
        <w:rPr>
          <w:rFonts w:ascii="宋体" w:hAnsi="宋体" w:eastAsia="宋体" w:cs="宋体"/>
          <w:b/>
          <w:bCs/>
          <w:szCs w:val="21"/>
        </w:rPr>
        <w:t>（6） 合营企业或联营企业发生的超额亏损</w:t>
      </w:r>
      <w:bookmarkEnd w:id="427"/>
    </w:p>
    <w:p w14:paraId="0173FF5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4FB3562">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A16F2AF">
            <w:pPr>
              <w:spacing w:before="40" w:after="40" w:line="240" w:lineRule="exact"/>
              <w:jc w:val="center"/>
              <w:rPr>
                <w:rFonts w:ascii="宋体" w:hAnsi="宋体" w:eastAsia="宋体" w:cs="宋体"/>
                <w:sz w:val="18"/>
                <w:szCs w:val="18"/>
              </w:rPr>
            </w:pPr>
            <w:r>
              <w:rPr>
                <w:rFonts w:ascii="宋体" w:hAnsi="宋体" w:eastAsia="宋体" w:cs="宋体"/>
                <w:sz w:val="18"/>
                <w:szCs w:val="18"/>
              </w:rPr>
              <w:t>合营企业或联营企业名称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D69141E">
            <w:pPr>
              <w:spacing w:before="40" w:after="40" w:line="240" w:lineRule="exact"/>
              <w:jc w:val="center"/>
              <w:rPr>
                <w:rFonts w:ascii="宋体" w:hAnsi="宋体" w:eastAsia="宋体" w:cs="宋体"/>
                <w:sz w:val="18"/>
                <w:szCs w:val="18"/>
              </w:rPr>
            </w:pPr>
            <w:r>
              <w:rPr>
                <w:rFonts w:ascii="宋体" w:hAnsi="宋体" w:eastAsia="宋体" w:cs="宋体"/>
                <w:sz w:val="18"/>
                <w:szCs w:val="18"/>
              </w:rPr>
              <w:t>累积未确认前期累计的损失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35A176">
            <w:pPr>
              <w:spacing w:before="40" w:after="40" w:line="240" w:lineRule="exact"/>
              <w:jc w:val="center"/>
              <w:rPr>
                <w:rFonts w:ascii="宋体" w:hAnsi="宋体" w:eastAsia="宋体" w:cs="宋体"/>
                <w:sz w:val="18"/>
                <w:szCs w:val="18"/>
              </w:rPr>
            </w:pPr>
            <w:r>
              <w:rPr>
                <w:rFonts w:ascii="宋体" w:hAnsi="宋体" w:eastAsia="宋体" w:cs="宋体"/>
                <w:sz w:val="18"/>
                <w:szCs w:val="18"/>
              </w:rPr>
              <w:t>本期未确认的损失（或本期分享的净利润）</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B7FE82F">
            <w:pPr>
              <w:spacing w:before="40" w:after="40" w:line="240" w:lineRule="exact"/>
              <w:jc w:val="center"/>
              <w:rPr>
                <w:rFonts w:ascii="宋体" w:hAnsi="宋体" w:eastAsia="宋体" w:cs="宋体"/>
                <w:sz w:val="18"/>
                <w:szCs w:val="18"/>
              </w:rPr>
            </w:pPr>
            <w:r>
              <w:rPr>
                <w:rFonts w:ascii="宋体" w:hAnsi="宋体" w:eastAsia="宋体" w:cs="宋体"/>
                <w:sz w:val="18"/>
                <w:szCs w:val="18"/>
              </w:rPr>
              <w:t>本期末累积未确认的损失</w:t>
            </w:r>
          </w:p>
        </w:tc>
      </w:tr>
    </w:tbl>
    <w:p w14:paraId="2450C88B">
      <w:pPr>
        <w:spacing w:before="100" w:after="100" w:line="240" w:lineRule="exact"/>
      </w:pPr>
      <w:r>
        <w:rPr>
          <w:rFonts w:ascii="宋体" w:hAnsi="宋体" w:eastAsia="宋体" w:cs="宋体"/>
          <w:sz w:val="18"/>
          <w:szCs w:val="18"/>
        </w:rPr>
        <w:t>其他说明</w:t>
      </w:r>
    </w:p>
    <w:p w14:paraId="54395EAF">
      <w:pPr>
        <w:keepNext/>
        <w:keepLines/>
        <w:spacing w:before="300" w:after="100" w:line="280" w:lineRule="exact"/>
        <w:outlineLvl w:val="3"/>
      </w:pPr>
      <w:bookmarkStart w:id="428" w:name="_Toc989317"/>
      <w:r>
        <w:rPr>
          <w:rFonts w:ascii="宋体" w:hAnsi="宋体" w:eastAsia="宋体" w:cs="宋体"/>
          <w:b/>
          <w:bCs/>
          <w:szCs w:val="21"/>
        </w:rPr>
        <w:t>（7） 与合营企业投资相关的未确认承诺</w:t>
      </w:r>
      <w:bookmarkEnd w:id="428"/>
    </w:p>
    <w:p w14:paraId="613598D4">
      <w:pPr>
        <w:keepNext/>
        <w:keepLines/>
        <w:spacing w:before="300" w:after="100" w:line="280" w:lineRule="exact"/>
        <w:outlineLvl w:val="3"/>
      </w:pPr>
      <w:bookmarkStart w:id="429" w:name="_Toc989318"/>
      <w:r>
        <w:rPr>
          <w:rFonts w:ascii="宋体" w:hAnsi="宋体" w:eastAsia="宋体" w:cs="宋体"/>
          <w:b/>
          <w:bCs/>
          <w:szCs w:val="21"/>
        </w:rPr>
        <w:t>（8） 与合营企业或联营企业投资相关的或有负债</w:t>
      </w:r>
      <w:bookmarkEnd w:id="429"/>
    </w:p>
    <w:p w14:paraId="6034D654">
      <w:pPr>
        <w:pStyle w:val="3"/>
        <w:spacing w:after="100" w:line="280" w:lineRule="exact"/>
        <w:jc w:val="left"/>
        <w:rPr>
          <w:rFonts w:ascii="宋体" w:hAnsi="宋体" w:cs="宋体"/>
          <w:b/>
          <w:bCs/>
        </w:rPr>
      </w:pPr>
      <w:bookmarkStart w:id="430" w:name="_Toc989319"/>
      <w:r>
        <w:rPr>
          <w:rFonts w:ascii="宋体" w:hAnsi="宋体" w:cs="宋体"/>
          <w:b/>
          <w:bCs/>
        </w:rPr>
        <w:t>4、重要的共同经营</w:t>
      </w:r>
      <w:bookmarkEnd w:id="430"/>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7"/>
        <w:gridCol w:w="1607"/>
        <w:gridCol w:w="1606"/>
        <w:gridCol w:w="1606"/>
        <w:gridCol w:w="1606"/>
        <w:gridCol w:w="1607"/>
      </w:tblGrid>
      <w:tr w14:paraId="340A1C71">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60F4222">
            <w:pPr>
              <w:spacing w:before="40" w:after="40" w:line="240" w:lineRule="exact"/>
              <w:jc w:val="center"/>
              <w:rPr>
                <w:rFonts w:ascii="宋体" w:hAnsi="宋体" w:eastAsia="宋体" w:cs="宋体"/>
                <w:sz w:val="18"/>
                <w:szCs w:val="18"/>
              </w:rPr>
            </w:pPr>
            <w:r>
              <w:rPr>
                <w:rFonts w:ascii="宋体" w:hAnsi="宋体" w:eastAsia="宋体" w:cs="宋体"/>
                <w:sz w:val="18"/>
                <w:szCs w:val="18"/>
              </w:rPr>
              <w:t>共同经营名称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690896">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27B5475">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63F0FC">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520BD46">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持股比例/享有的份额</w:t>
            </w:r>
          </w:p>
        </w:tc>
      </w:tr>
      <w:tr w14:paraId="746E9242">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F1F81E"/>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7C83AF1"/>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89F130"/>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1F6B3C8"/>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05B9E26">
            <w:pPr>
              <w:spacing w:before="40" w:after="40" w:line="240" w:lineRule="exact"/>
              <w:jc w:val="center"/>
              <w:rPr>
                <w:rFonts w:ascii="宋体" w:hAnsi="宋体" w:eastAsia="宋体" w:cs="宋体"/>
                <w:sz w:val="18"/>
                <w:szCs w:val="18"/>
              </w:rPr>
            </w:pPr>
            <w:r>
              <w:rPr>
                <w:rFonts w:ascii="宋体" w:hAnsi="宋体" w:eastAsia="宋体" w:cs="宋体"/>
                <w:sz w:val="18"/>
                <w:szCs w:val="18"/>
              </w:rPr>
              <w:t>直接</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CF153E">
            <w:pPr>
              <w:spacing w:before="40" w:after="40" w:line="240" w:lineRule="exact"/>
              <w:jc w:val="center"/>
              <w:rPr>
                <w:rFonts w:ascii="宋体" w:hAnsi="宋体" w:eastAsia="宋体" w:cs="宋体"/>
                <w:sz w:val="18"/>
                <w:szCs w:val="18"/>
              </w:rPr>
            </w:pPr>
            <w:r>
              <w:rPr>
                <w:rFonts w:ascii="宋体" w:hAnsi="宋体" w:eastAsia="宋体" w:cs="宋体"/>
                <w:sz w:val="18"/>
                <w:szCs w:val="18"/>
              </w:rPr>
              <w:t>间接</w:t>
            </w:r>
          </w:p>
        </w:tc>
      </w:tr>
    </w:tbl>
    <w:p w14:paraId="76936AA6">
      <w:pPr>
        <w:spacing w:before="100" w:after="100" w:line="240" w:lineRule="exact"/>
      </w:pPr>
      <w:r>
        <w:rPr>
          <w:rFonts w:ascii="宋体" w:hAnsi="宋体" w:eastAsia="宋体" w:cs="宋体"/>
          <w:sz w:val="18"/>
          <w:szCs w:val="18"/>
        </w:rPr>
        <w:t>在共同经营中的持股比例或享有的份额不同于表决权比例的说明：</w:t>
      </w:r>
    </w:p>
    <w:p w14:paraId="29CE18F8">
      <w:pPr>
        <w:spacing w:before="100" w:after="100" w:line="240" w:lineRule="exact"/>
      </w:pPr>
      <w:r>
        <w:rPr>
          <w:rFonts w:ascii="宋体" w:hAnsi="宋体" w:eastAsia="宋体" w:cs="宋体"/>
          <w:sz w:val="18"/>
          <w:szCs w:val="18"/>
        </w:rPr>
        <w:t>共同经营为单独主体的，分类为共同经营的依据：</w:t>
      </w:r>
    </w:p>
    <w:p w14:paraId="4B08F4FD">
      <w:pPr>
        <w:spacing w:before="100" w:after="100" w:line="240" w:lineRule="exact"/>
      </w:pPr>
      <w:r>
        <w:rPr>
          <w:rFonts w:ascii="宋体" w:hAnsi="宋体" w:eastAsia="宋体" w:cs="宋体"/>
          <w:sz w:val="18"/>
          <w:szCs w:val="18"/>
        </w:rPr>
        <w:t>其他说明</w:t>
      </w:r>
    </w:p>
    <w:p w14:paraId="31AB637B">
      <w:pPr>
        <w:pStyle w:val="3"/>
        <w:spacing w:after="100" w:line="280" w:lineRule="exact"/>
        <w:jc w:val="left"/>
        <w:rPr>
          <w:rFonts w:ascii="宋体" w:hAnsi="宋体" w:cs="宋体"/>
          <w:b/>
          <w:bCs/>
        </w:rPr>
      </w:pPr>
      <w:bookmarkStart w:id="431" w:name="_Toc989320"/>
      <w:r>
        <w:rPr>
          <w:rFonts w:ascii="宋体" w:hAnsi="宋体" w:cs="宋体"/>
          <w:b/>
          <w:bCs/>
        </w:rPr>
        <w:t>5、在未纳入合并财务报表范围的结构化主体中的权益</w:t>
      </w:r>
      <w:bookmarkEnd w:id="431"/>
    </w:p>
    <w:p w14:paraId="7B942EDA">
      <w:pPr>
        <w:spacing w:before="100" w:after="100" w:line="240" w:lineRule="exact"/>
      </w:pPr>
      <w:r>
        <w:rPr>
          <w:rFonts w:ascii="宋体" w:hAnsi="宋体" w:eastAsia="宋体" w:cs="宋体"/>
          <w:sz w:val="18"/>
          <w:szCs w:val="18"/>
        </w:rPr>
        <w:t>未纳入合并财务报表范围的结构化主体的相关说明：</w:t>
      </w:r>
    </w:p>
    <w:p w14:paraId="02324E7E">
      <w:pPr>
        <w:pStyle w:val="3"/>
        <w:spacing w:after="100" w:line="280" w:lineRule="exact"/>
        <w:jc w:val="left"/>
      </w:pPr>
      <w:bookmarkStart w:id="432" w:name="_Toc989321"/>
      <w:r>
        <w:rPr>
          <w:rFonts w:ascii="宋体" w:hAnsi="宋体" w:cs="宋体"/>
          <w:b/>
          <w:bCs/>
        </w:rPr>
        <w:t>6、其他</w:t>
      </w:r>
      <w:bookmarkEnd w:id="432"/>
    </w:p>
    <w:p w14:paraId="5EF9FC08">
      <w:pPr>
        <w:pStyle w:val="2"/>
        <w:spacing w:before="300" w:after="300" w:line="320" w:lineRule="exact"/>
        <w:rPr>
          <w:rFonts w:ascii="宋体" w:hAnsi="宋体" w:eastAsia="宋体" w:cs="宋体"/>
          <w:b/>
          <w:bCs/>
          <w:sz w:val="24"/>
          <w:szCs w:val="24"/>
        </w:rPr>
      </w:pPr>
      <w:bookmarkStart w:id="433" w:name="_Toc989322"/>
      <w:r>
        <w:rPr>
          <w:rFonts w:ascii="宋体" w:hAnsi="宋体" w:eastAsia="宋体" w:cs="宋体"/>
          <w:b/>
          <w:bCs/>
          <w:sz w:val="24"/>
          <w:szCs w:val="24"/>
        </w:rPr>
        <w:t>十一、政府补助</w:t>
      </w:r>
      <w:bookmarkEnd w:id="433"/>
    </w:p>
    <w:p w14:paraId="3746AAF5">
      <w:pPr>
        <w:pStyle w:val="3"/>
        <w:spacing w:after="100" w:line="280" w:lineRule="exact"/>
        <w:jc w:val="left"/>
        <w:rPr>
          <w:rFonts w:ascii="宋体" w:hAnsi="宋体" w:cs="宋体"/>
          <w:b/>
          <w:bCs/>
        </w:rPr>
      </w:pPr>
      <w:bookmarkStart w:id="434" w:name="_Toc989323"/>
      <w:r>
        <w:rPr>
          <w:rFonts w:ascii="宋体" w:hAnsi="宋体" w:cs="宋体"/>
          <w:b/>
          <w:bCs/>
        </w:rPr>
        <w:t>1、报告期末按应收金额确认的政府补助</w:t>
      </w:r>
      <w:bookmarkEnd w:id="434"/>
    </w:p>
    <w:p w14:paraId="2D1940A3">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CD17991">
      <w:pPr>
        <w:spacing w:after="100" w:line="240" w:lineRule="exact"/>
        <w:rPr>
          <w:rFonts w:ascii="宋体" w:hAnsi="宋体" w:eastAsia="宋体" w:cs="宋体"/>
          <w:sz w:val="18"/>
          <w:szCs w:val="18"/>
        </w:rPr>
      </w:pPr>
      <w:r>
        <w:rPr>
          <w:rFonts w:ascii="宋体" w:hAnsi="宋体" w:eastAsia="宋体" w:cs="宋体"/>
          <w:sz w:val="18"/>
          <w:szCs w:val="18"/>
        </w:rPr>
        <w:t>未能在预计时点收到预计金额的政府补助的原因</w:t>
      </w:r>
    </w:p>
    <w:p w14:paraId="4B318D0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6FC788C">
      <w:pPr>
        <w:pStyle w:val="3"/>
        <w:spacing w:after="100" w:line="280" w:lineRule="exact"/>
        <w:jc w:val="left"/>
        <w:rPr>
          <w:rFonts w:ascii="宋体" w:hAnsi="宋体" w:cs="宋体"/>
          <w:b/>
          <w:bCs/>
        </w:rPr>
      </w:pPr>
      <w:bookmarkStart w:id="435" w:name="_Toc989324"/>
      <w:r>
        <w:rPr>
          <w:rFonts w:ascii="宋体" w:hAnsi="宋体" w:cs="宋体"/>
          <w:b/>
          <w:bCs/>
        </w:rPr>
        <w:t>2、涉及政府补助的负债项目</w:t>
      </w:r>
      <w:bookmarkEnd w:id="435"/>
    </w:p>
    <w:p w14:paraId="5EA96A60">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462C4B6">
      <w:pPr>
        <w:pStyle w:val="3"/>
        <w:spacing w:after="100" w:line="280" w:lineRule="exact"/>
        <w:jc w:val="left"/>
        <w:rPr>
          <w:rFonts w:ascii="宋体" w:hAnsi="宋体" w:cs="宋体"/>
          <w:b/>
          <w:bCs/>
        </w:rPr>
      </w:pPr>
      <w:bookmarkStart w:id="436" w:name="_Toc989325"/>
      <w:r>
        <w:rPr>
          <w:rFonts w:ascii="宋体" w:hAnsi="宋体" w:cs="宋体"/>
          <w:b/>
          <w:bCs/>
        </w:rPr>
        <w:t>3、计入当期损益的政府补助</w:t>
      </w:r>
      <w:bookmarkEnd w:id="436"/>
    </w:p>
    <w:p w14:paraId="7C2139CE">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1B37CD0">
      <w:pPr>
        <w:pStyle w:val="2"/>
        <w:spacing w:before="300" w:after="300" w:line="320" w:lineRule="exact"/>
        <w:rPr>
          <w:rFonts w:ascii="宋体" w:hAnsi="宋体" w:eastAsia="宋体" w:cs="宋体"/>
          <w:b/>
          <w:bCs/>
          <w:sz w:val="24"/>
          <w:szCs w:val="24"/>
        </w:rPr>
      </w:pPr>
      <w:bookmarkStart w:id="437" w:name="_Toc989326"/>
      <w:r>
        <w:rPr>
          <w:rFonts w:ascii="宋体" w:hAnsi="宋体" w:eastAsia="宋体" w:cs="宋体"/>
          <w:b/>
          <w:bCs/>
          <w:sz w:val="24"/>
          <w:szCs w:val="24"/>
        </w:rPr>
        <w:t>十二、与金融工具相关的风险</w:t>
      </w:r>
      <w:bookmarkEnd w:id="437"/>
    </w:p>
    <w:p w14:paraId="7DC7FD78">
      <w:pPr>
        <w:pStyle w:val="3"/>
        <w:snapToGrid w:val="0"/>
        <w:spacing w:after="100" w:line="280" w:lineRule="exact"/>
        <w:jc w:val="left"/>
        <w:rPr>
          <w:rFonts w:ascii="宋体" w:hAnsi="宋体" w:cs="宋体"/>
          <w:b/>
          <w:bCs/>
        </w:rPr>
      </w:pPr>
      <w:bookmarkStart w:id="438" w:name="_Toc989327"/>
      <w:r>
        <w:rPr>
          <w:rFonts w:ascii="宋体" w:hAnsi="宋体" w:cs="宋体"/>
          <w:b/>
          <w:bCs/>
        </w:rPr>
        <w:t>1、金融工具产生的各类风险</w:t>
      </w:r>
      <w:bookmarkEnd w:id="438"/>
    </w:p>
    <w:p w14:paraId="7C53D07D">
      <w:pPr>
        <w:pStyle w:val="9"/>
        <w:snapToGrid w:val="0"/>
        <w:spacing w:before="0" w:beforeAutospacing="0" w:after="100" w:afterAutospacing="0" w:line="20" w:lineRule="atLeast"/>
        <w:ind w:firstLine="480"/>
      </w:pPr>
      <w:r>
        <w:rPr>
          <w:rFonts w:hint="eastAsia"/>
          <w:sz w:val="18"/>
          <w:szCs w:val="18"/>
        </w:rPr>
        <w:t>本公司的经营活动会面临各种金融风险：市场风险（主要包括利率风险）、信用风险和流动性风险。本公司已制定风险管理政策，力求减少各种风险对财务业绩的潜在不利影响。</w:t>
      </w:r>
    </w:p>
    <w:p w14:paraId="36723AD4">
      <w:pPr>
        <w:pStyle w:val="9"/>
        <w:snapToGrid w:val="0"/>
        <w:spacing w:before="0" w:beforeAutospacing="0" w:after="100" w:afterAutospacing="0" w:line="20" w:lineRule="atLeast"/>
        <w:ind w:left="424"/>
      </w:pPr>
      <w:r>
        <w:rPr>
          <w:rFonts w:hint="eastAsia"/>
          <w:sz w:val="18"/>
          <w:szCs w:val="18"/>
        </w:rPr>
        <w:t>1、市场风险</w:t>
      </w:r>
    </w:p>
    <w:p w14:paraId="5747B4C0">
      <w:pPr>
        <w:pStyle w:val="9"/>
        <w:snapToGrid w:val="0"/>
        <w:spacing w:before="0" w:beforeAutospacing="0" w:after="100" w:afterAutospacing="0" w:line="20" w:lineRule="atLeast"/>
        <w:ind w:firstLine="480"/>
        <w:jc w:val="both"/>
      </w:pPr>
      <w:r>
        <w:rPr>
          <w:rFonts w:hint="eastAsia"/>
          <w:sz w:val="18"/>
          <w:szCs w:val="18"/>
        </w:rPr>
        <w:t>本公司的利率风险主要产生于银行借款、其他借款、商业承兑汇票等带息债务。本公司带息债务主要为非金融机构借款及商业承兑汇票，这些非金融机构借款、对外开具商业承兑汇票、对外提供担保事项等，均未经本公司决策批准，且均已进入诉讼程序，因此利率风险产生的影响较大。本公司及时调整了治理层和管理层，并向公安机关报案，公安机关已立案调查；前述涉及利率风险将依赖于有效判决、裁定进行确定；本公司将积极应对诉讼、仲裁以控制利率风险。管理层调整后，本公司加强内部控制，在印章管理、对外借款、对外担保等事项上均严格按照相关决策审批流程执行，确保未来的利率风险得到控制。</w:t>
      </w:r>
    </w:p>
    <w:p w14:paraId="74EE0C81">
      <w:pPr>
        <w:pStyle w:val="9"/>
        <w:snapToGrid w:val="0"/>
        <w:spacing w:before="0" w:beforeAutospacing="0" w:after="100" w:afterAutospacing="0" w:line="20" w:lineRule="atLeast"/>
        <w:ind w:left="424"/>
      </w:pPr>
      <w:r>
        <w:rPr>
          <w:rFonts w:hint="eastAsia"/>
          <w:sz w:val="18"/>
          <w:szCs w:val="18"/>
        </w:rPr>
        <w:t>2、信用风险</w:t>
      </w:r>
    </w:p>
    <w:p w14:paraId="6B629A23">
      <w:pPr>
        <w:pStyle w:val="9"/>
        <w:snapToGrid w:val="0"/>
        <w:spacing w:before="0" w:beforeAutospacing="0" w:after="100" w:afterAutospacing="0" w:line="20" w:lineRule="atLeast"/>
        <w:ind w:firstLine="480"/>
      </w:pPr>
      <w:r>
        <w:rPr>
          <w:rFonts w:hint="eastAsia"/>
          <w:sz w:val="18"/>
          <w:szCs w:val="18"/>
        </w:rPr>
        <w:t>本公司对信用风险按组合分类进行管理。信用风险主要产生于银行存款、应收账款、其他应收款、理财产品等其他金融资产。</w:t>
      </w:r>
    </w:p>
    <w:p w14:paraId="40C0127F">
      <w:pPr>
        <w:pStyle w:val="9"/>
        <w:snapToGrid w:val="0"/>
        <w:spacing w:before="0" w:beforeAutospacing="0" w:after="100" w:afterAutospacing="0" w:line="20" w:lineRule="atLeast"/>
        <w:ind w:firstLine="480"/>
      </w:pPr>
      <w:r>
        <w:rPr>
          <w:rFonts w:hint="eastAsia"/>
          <w:sz w:val="18"/>
          <w:szCs w:val="18"/>
        </w:rPr>
        <w:t>本公司银行存款及银行理财产品主要存放于国有银行和</w:t>
      </w:r>
      <w:r>
        <w:rPr>
          <w:rFonts w:hint="eastAsia"/>
          <w:sz w:val="18"/>
          <w:szCs w:val="18"/>
          <w:lang w:val="en-US" w:eastAsia="zh-CN"/>
        </w:rPr>
        <w:t>其他</w:t>
      </w:r>
      <w:r>
        <w:rPr>
          <w:rFonts w:hint="eastAsia"/>
          <w:sz w:val="18"/>
          <w:szCs w:val="18"/>
        </w:rPr>
        <w:t>大中型上市银行，本公司认为其不存在重大的信用风险，不会产生因对方单位违约而导致的任何重大损失。</w:t>
      </w:r>
    </w:p>
    <w:p w14:paraId="23926DA0">
      <w:pPr>
        <w:pStyle w:val="9"/>
        <w:snapToGrid w:val="0"/>
        <w:spacing w:before="0" w:beforeAutospacing="0" w:after="100" w:afterAutospacing="0" w:line="20" w:lineRule="atLeast"/>
        <w:ind w:firstLine="480"/>
      </w:pPr>
      <w:r>
        <w:rPr>
          <w:rFonts w:hint="eastAsia"/>
          <w:sz w:val="18"/>
          <w:szCs w:val="18"/>
        </w:rPr>
        <w:t>对于应收账款、其他应收款，本公司设定相关政策以控制信用风险敞口。本公司基于对客户的财务状况、从第三方获取担保的可能性、信用记录及目前市场状况等其</w:t>
      </w:r>
      <w:r>
        <w:rPr>
          <w:rFonts w:hint="eastAsia"/>
          <w:sz w:val="18"/>
          <w:szCs w:val="18"/>
          <w:lang w:val="en-US" w:eastAsia="zh-CN"/>
        </w:rPr>
        <w:t>他</w:t>
      </w:r>
      <w:r>
        <w:rPr>
          <w:rFonts w:hint="eastAsia"/>
          <w:sz w:val="18"/>
          <w:szCs w:val="18"/>
        </w:rPr>
        <w:t>因素评估客户的信用资质并设置相应信用期。</w:t>
      </w:r>
    </w:p>
    <w:p w14:paraId="438464A6">
      <w:pPr>
        <w:pStyle w:val="9"/>
        <w:snapToGrid w:val="0"/>
        <w:spacing w:before="0" w:beforeAutospacing="0" w:after="100" w:afterAutospacing="0" w:line="20" w:lineRule="atLeast"/>
        <w:ind w:firstLine="480"/>
      </w:pPr>
      <w:r>
        <w:rPr>
          <w:rFonts w:hint="eastAsia"/>
          <w:sz w:val="18"/>
          <w:szCs w:val="18"/>
        </w:rPr>
        <w:t>本公司定期对客户信用记录进行监控，对于信用记录不良的客户，本公司采用书面催款、缩短信用期或取消信用期等方式，以确保本公司整体信用风险可控。</w:t>
      </w:r>
    </w:p>
    <w:p w14:paraId="4915FFC2">
      <w:pPr>
        <w:pStyle w:val="9"/>
        <w:snapToGrid w:val="0"/>
        <w:spacing w:before="0" w:beforeAutospacing="0" w:after="100" w:afterAutospacing="0" w:line="20" w:lineRule="atLeast"/>
        <w:ind w:left="424"/>
      </w:pPr>
      <w:r>
        <w:rPr>
          <w:rFonts w:hint="eastAsia"/>
          <w:sz w:val="18"/>
          <w:szCs w:val="18"/>
        </w:rPr>
        <w:t>3、流动性风险</w:t>
      </w:r>
    </w:p>
    <w:p w14:paraId="6C018BF1">
      <w:pPr>
        <w:pStyle w:val="9"/>
        <w:snapToGrid w:val="0"/>
        <w:spacing w:before="0" w:beforeAutospacing="0" w:after="100" w:afterAutospacing="0" w:line="20" w:lineRule="atLeast"/>
        <w:ind w:firstLine="480"/>
      </w:pPr>
      <w:r>
        <w:rPr>
          <w:rFonts w:hint="eastAsia"/>
          <w:sz w:val="18"/>
          <w:szCs w:val="18"/>
        </w:rPr>
        <w:t>流动性风险，是指本公司在履行以交付现金或其他金融资产的方式结算的义务时发生资金短缺的风险。</w:t>
      </w:r>
    </w:p>
    <w:p w14:paraId="12628DEC">
      <w:pPr>
        <w:pStyle w:val="9"/>
        <w:snapToGrid w:val="0"/>
        <w:spacing w:before="0" w:beforeAutospacing="0" w:after="100" w:afterAutospacing="0" w:line="20" w:lineRule="atLeast"/>
        <w:ind w:firstLine="480"/>
      </w:pPr>
      <w:r>
        <w:rPr>
          <w:rFonts w:hint="eastAsia"/>
          <w:sz w:val="18"/>
          <w:szCs w:val="18"/>
        </w:rPr>
        <w:t>管理流动风险时，本公司保持管理层认为充分的现金及现金等价物并对其进行监控，以满足本公司的经营需要，并降低现金流量波动的影响。本公司管理层对银行借款的使用情况进行监控并确保遵守借款协议。同时从主要金融机构获得提供足够备用资金的承诺，以满足短期和长期的资金需求。</w:t>
      </w:r>
    </w:p>
    <w:p w14:paraId="69EB4377">
      <w:pPr>
        <w:pStyle w:val="9"/>
        <w:snapToGrid w:val="0"/>
        <w:spacing w:before="0" w:beforeAutospacing="0" w:after="100" w:afterAutospacing="0" w:line="20" w:lineRule="atLeast"/>
        <w:ind w:firstLine="480"/>
      </w:pPr>
      <w:r>
        <w:rPr>
          <w:rFonts w:hint="eastAsia"/>
          <w:sz w:val="18"/>
          <w:szCs w:val="18"/>
        </w:rPr>
        <w:t>2024年06月30日，本公司的流动负债净额为人民币340,676,870.03元，（2023年12月31日，本公司的流动负债净额为人民币346,221.172.95元）。</w:t>
      </w:r>
    </w:p>
    <w:p w14:paraId="018816EF">
      <w:pPr>
        <w:pStyle w:val="3"/>
        <w:snapToGrid w:val="0"/>
        <w:spacing w:after="100" w:line="280" w:lineRule="exact"/>
        <w:jc w:val="left"/>
        <w:rPr>
          <w:rFonts w:ascii="宋体" w:hAnsi="宋体" w:cs="宋体"/>
          <w:b/>
          <w:bCs/>
        </w:rPr>
      </w:pPr>
      <w:bookmarkStart w:id="439" w:name="_Toc989328"/>
      <w:r>
        <w:rPr>
          <w:rFonts w:ascii="宋体" w:hAnsi="宋体" w:cs="宋体"/>
          <w:b/>
          <w:bCs/>
        </w:rPr>
        <w:t>2、套期</w:t>
      </w:r>
      <w:bookmarkEnd w:id="439"/>
    </w:p>
    <w:p w14:paraId="5CE4751C">
      <w:pPr>
        <w:keepNext/>
        <w:keepLines/>
        <w:snapToGrid w:val="0"/>
        <w:spacing w:before="300" w:after="100" w:line="280" w:lineRule="exact"/>
        <w:outlineLvl w:val="4"/>
        <w:rPr>
          <w:rFonts w:ascii="宋体" w:hAnsi="宋体" w:eastAsia="宋体" w:cs="宋体"/>
          <w:b/>
          <w:bCs/>
          <w:sz w:val="18"/>
          <w:szCs w:val="18"/>
        </w:rPr>
      </w:pPr>
      <w:bookmarkStart w:id="440" w:name="_Toc989329"/>
      <w:r>
        <w:rPr>
          <w:rFonts w:ascii="宋体" w:hAnsi="宋体" w:eastAsia="宋体" w:cs="宋体"/>
          <w:b/>
          <w:bCs/>
          <w:sz w:val="18"/>
          <w:szCs w:val="18"/>
        </w:rPr>
        <w:t>（1） 公司开展套期业务进行风险管理</w:t>
      </w:r>
      <w:bookmarkEnd w:id="440"/>
    </w:p>
    <w:p w14:paraId="436DAC68">
      <w:pPr>
        <w:snapToGrid w:val="0"/>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17BF309">
      <w:pPr>
        <w:keepNext/>
        <w:keepLines/>
        <w:snapToGrid w:val="0"/>
        <w:spacing w:before="300" w:after="100" w:line="280" w:lineRule="exact"/>
        <w:outlineLvl w:val="4"/>
        <w:rPr>
          <w:rFonts w:ascii="宋体" w:hAnsi="宋体" w:eastAsia="宋体" w:cs="宋体"/>
          <w:b/>
          <w:bCs/>
          <w:sz w:val="18"/>
          <w:szCs w:val="18"/>
        </w:rPr>
      </w:pPr>
      <w:bookmarkStart w:id="441" w:name="_Toc989330"/>
      <w:r>
        <w:rPr>
          <w:rFonts w:ascii="宋体" w:hAnsi="宋体" w:eastAsia="宋体" w:cs="宋体"/>
          <w:b/>
          <w:bCs/>
          <w:sz w:val="18"/>
          <w:szCs w:val="18"/>
        </w:rPr>
        <w:t>（2） 公司开展符合条件套期业务并应用套期会计</w:t>
      </w:r>
      <w:bookmarkEnd w:id="441"/>
    </w:p>
    <w:p w14:paraId="6B2797A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0ED459E">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F0E2E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3D11C7">
            <w:pPr>
              <w:spacing w:before="40" w:after="40" w:line="240" w:lineRule="exact"/>
              <w:jc w:val="center"/>
              <w:rPr>
                <w:rFonts w:ascii="宋体" w:hAnsi="宋体" w:eastAsia="宋体" w:cs="宋体"/>
                <w:sz w:val="18"/>
                <w:szCs w:val="18"/>
              </w:rPr>
            </w:pPr>
            <w:r>
              <w:rPr>
                <w:rFonts w:ascii="宋体" w:hAnsi="宋体" w:eastAsia="宋体" w:cs="宋体"/>
                <w:sz w:val="18"/>
                <w:szCs w:val="18"/>
              </w:rPr>
              <w:t>与被套期项目以及套期工具相关账面价值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DFEE09">
            <w:pPr>
              <w:spacing w:before="40" w:after="40" w:line="240" w:lineRule="exact"/>
              <w:jc w:val="center"/>
              <w:rPr>
                <w:rFonts w:ascii="宋体" w:hAnsi="宋体" w:eastAsia="宋体" w:cs="宋体"/>
                <w:sz w:val="18"/>
                <w:szCs w:val="18"/>
              </w:rPr>
            </w:pPr>
            <w:r>
              <w:rPr>
                <w:rFonts w:ascii="宋体" w:hAnsi="宋体" w:eastAsia="宋体" w:cs="宋体"/>
                <w:sz w:val="18"/>
                <w:szCs w:val="18"/>
              </w:rPr>
              <w:t>已确认的被套期项目账面价值中所包含的被套期项目累计公允价值套期调整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BBBB18">
            <w:pPr>
              <w:spacing w:before="40" w:after="40" w:line="240" w:lineRule="exact"/>
              <w:jc w:val="center"/>
              <w:rPr>
                <w:rFonts w:ascii="宋体" w:hAnsi="宋体" w:eastAsia="宋体" w:cs="宋体"/>
                <w:sz w:val="18"/>
                <w:szCs w:val="18"/>
              </w:rPr>
            </w:pPr>
            <w:r>
              <w:rPr>
                <w:rFonts w:ascii="宋体" w:hAnsi="宋体" w:eastAsia="宋体" w:cs="宋体"/>
                <w:sz w:val="18"/>
                <w:szCs w:val="18"/>
              </w:rPr>
              <w:t>套期有效性和套期无效部分来源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0549CF">
            <w:pPr>
              <w:spacing w:before="40" w:after="40" w:line="240" w:lineRule="exact"/>
              <w:jc w:val="center"/>
              <w:rPr>
                <w:rFonts w:ascii="宋体" w:hAnsi="宋体" w:eastAsia="宋体" w:cs="宋体"/>
                <w:sz w:val="18"/>
                <w:szCs w:val="18"/>
              </w:rPr>
            </w:pPr>
            <w:r>
              <w:rPr>
                <w:rFonts w:ascii="宋体" w:hAnsi="宋体" w:eastAsia="宋体" w:cs="宋体"/>
                <w:sz w:val="18"/>
                <w:szCs w:val="18"/>
              </w:rPr>
              <w:t>套期会计对公司的财务报表相关影响</w:t>
            </w:r>
          </w:p>
        </w:tc>
      </w:tr>
      <w:tr w14:paraId="04DD8B1F">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99499CF">
            <w:pPr>
              <w:spacing w:before="40" w:after="40" w:line="240" w:lineRule="exact"/>
              <w:rPr>
                <w:rFonts w:ascii="宋体" w:hAnsi="宋体" w:eastAsia="宋体" w:cs="宋体"/>
                <w:sz w:val="18"/>
                <w:szCs w:val="18"/>
              </w:rPr>
            </w:pPr>
            <w:r>
              <w:rPr>
                <w:rFonts w:ascii="宋体" w:hAnsi="宋体" w:eastAsia="宋体" w:cs="宋体"/>
                <w:sz w:val="18"/>
                <w:szCs w:val="18"/>
              </w:rPr>
              <w:t>套期风险类型</w:t>
            </w:r>
          </w:p>
        </w:tc>
      </w:tr>
      <w:tr w14:paraId="188D710D">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22ECD79">
            <w:pPr>
              <w:spacing w:before="40" w:after="40" w:line="240" w:lineRule="exact"/>
              <w:rPr>
                <w:rFonts w:ascii="宋体" w:hAnsi="宋体" w:eastAsia="宋体" w:cs="宋体"/>
                <w:sz w:val="18"/>
                <w:szCs w:val="18"/>
              </w:rPr>
            </w:pPr>
            <w:r>
              <w:rPr>
                <w:rFonts w:ascii="宋体" w:hAnsi="宋体" w:eastAsia="宋体" w:cs="宋体"/>
                <w:sz w:val="18"/>
                <w:szCs w:val="18"/>
              </w:rPr>
              <w:t>套期类别</w:t>
            </w:r>
          </w:p>
        </w:tc>
      </w:tr>
    </w:tbl>
    <w:p w14:paraId="22932E84">
      <w:pPr>
        <w:spacing w:before="100" w:after="100" w:line="240" w:lineRule="exact"/>
      </w:pPr>
      <w:r>
        <w:rPr>
          <w:rFonts w:ascii="宋体" w:hAnsi="宋体" w:eastAsia="宋体" w:cs="宋体"/>
          <w:sz w:val="18"/>
          <w:szCs w:val="18"/>
        </w:rPr>
        <w:t>其他说明</w:t>
      </w:r>
    </w:p>
    <w:p w14:paraId="036C3973">
      <w:pPr>
        <w:keepNext/>
        <w:keepLines/>
        <w:spacing w:before="300" w:after="100" w:line="280" w:lineRule="exact"/>
        <w:outlineLvl w:val="3"/>
        <w:rPr>
          <w:rFonts w:ascii="宋体" w:hAnsi="宋体" w:eastAsia="宋体" w:cs="宋体"/>
          <w:b/>
          <w:bCs/>
          <w:sz w:val="18"/>
          <w:szCs w:val="18"/>
        </w:rPr>
      </w:pPr>
      <w:bookmarkStart w:id="442" w:name="_Toc989331"/>
      <w:r>
        <w:rPr>
          <w:rFonts w:ascii="宋体" w:hAnsi="宋体" w:eastAsia="宋体" w:cs="宋体"/>
          <w:b/>
          <w:bCs/>
          <w:sz w:val="18"/>
          <w:szCs w:val="18"/>
        </w:rPr>
        <w:t>（3） 公司开展套期业务进行风险管理、预期能实现风险管理目标但未应用套期会计</w:t>
      </w:r>
      <w:bookmarkEnd w:id="442"/>
    </w:p>
    <w:p w14:paraId="69E4ACCB">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C5D48C">
      <w:pPr>
        <w:pStyle w:val="3"/>
        <w:spacing w:after="100" w:line="280" w:lineRule="exact"/>
        <w:jc w:val="left"/>
        <w:rPr>
          <w:rFonts w:ascii="宋体" w:hAnsi="宋体" w:cs="宋体"/>
          <w:b/>
          <w:bCs/>
        </w:rPr>
      </w:pPr>
      <w:bookmarkStart w:id="443" w:name="_Toc989332"/>
      <w:r>
        <w:rPr>
          <w:rFonts w:ascii="宋体" w:hAnsi="宋体" w:cs="宋体"/>
          <w:b/>
          <w:bCs/>
        </w:rPr>
        <w:t>3、金融资产</w:t>
      </w:r>
      <w:bookmarkEnd w:id="443"/>
    </w:p>
    <w:p w14:paraId="3477A872">
      <w:pPr>
        <w:keepNext/>
        <w:keepLines/>
        <w:spacing w:before="300" w:after="100" w:line="280" w:lineRule="exact"/>
        <w:outlineLvl w:val="3"/>
        <w:rPr>
          <w:rFonts w:ascii="宋体" w:hAnsi="宋体" w:eastAsia="宋体" w:cs="宋体"/>
          <w:b/>
          <w:bCs/>
          <w:sz w:val="18"/>
          <w:szCs w:val="18"/>
        </w:rPr>
      </w:pPr>
      <w:bookmarkStart w:id="444" w:name="_Toc989333"/>
      <w:r>
        <w:rPr>
          <w:rFonts w:ascii="宋体" w:hAnsi="宋体" w:eastAsia="宋体" w:cs="宋体"/>
          <w:b/>
          <w:bCs/>
          <w:sz w:val="18"/>
          <w:szCs w:val="18"/>
        </w:rPr>
        <w:t>（1） 转移方式分类</w:t>
      </w:r>
      <w:bookmarkEnd w:id="444"/>
    </w:p>
    <w:p w14:paraId="6D85EFF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65476D4">
      <w:pPr>
        <w:keepNext/>
        <w:keepLines/>
        <w:spacing w:before="300" w:after="100" w:line="280" w:lineRule="exact"/>
        <w:outlineLvl w:val="3"/>
        <w:rPr>
          <w:rFonts w:ascii="宋体" w:hAnsi="宋体" w:eastAsia="宋体" w:cs="宋体"/>
          <w:b/>
          <w:bCs/>
          <w:sz w:val="18"/>
          <w:szCs w:val="18"/>
        </w:rPr>
      </w:pPr>
      <w:bookmarkStart w:id="445" w:name="_Toc989334"/>
      <w:r>
        <w:rPr>
          <w:rFonts w:ascii="宋体" w:hAnsi="宋体" w:eastAsia="宋体" w:cs="宋体"/>
          <w:b/>
          <w:bCs/>
          <w:sz w:val="18"/>
          <w:szCs w:val="18"/>
        </w:rPr>
        <w:t>（2） 因转移而终止确认的金融资产</w:t>
      </w:r>
      <w:bookmarkEnd w:id="445"/>
    </w:p>
    <w:p w14:paraId="315F8C9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9A15413">
      <w:pPr>
        <w:keepNext/>
        <w:keepLines/>
        <w:spacing w:before="300" w:after="100" w:line="280" w:lineRule="exact"/>
        <w:outlineLvl w:val="3"/>
        <w:rPr>
          <w:rFonts w:ascii="宋体" w:hAnsi="宋体" w:eastAsia="宋体" w:cs="宋体"/>
          <w:b/>
          <w:bCs/>
          <w:sz w:val="18"/>
          <w:szCs w:val="18"/>
        </w:rPr>
      </w:pPr>
      <w:bookmarkStart w:id="446" w:name="_Toc989335"/>
      <w:r>
        <w:rPr>
          <w:rFonts w:ascii="宋体" w:hAnsi="宋体" w:eastAsia="宋体" w:cs="宋体"/>
          <w:b/>
          <w:bCs/>
          <w:sz w:val="18"/>
          <w:szCs w:val="18"/>
        </w:rPr>
        <w:t>（3） 继续涉入的资产转移金融资产</w:t>
      </w:r>
      <w:bookmarkEnd w:id="446"/>
    </w:p>
    <w:p w14:paraId="7D2320D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85B09F3">
      <w:pPr>
        <w:spacing w:before="100" w:after="100" w:line="240" w:lineRule="exact"/>
      </w:pPr>
      <w:r>
        <w:rPr>
          <w:rFonts w:ascii="宋体" w:hAnsi="宋体" w:eastAsia="宋体" w:cs="宋体"/>
          <w:sz w:val="18"/>
          <w:szCs w:val="18"/>
        </w:rPr>
        <w:t>其他说明</w:t>
      </w:r>
    </w:p>
    <w:p w14:paraId="0E3601D9">
      <w:pPr>
        <w:pStyle w:val="2"/>
        <w:spacing w:before="300" w:after="300" w:line="320" w:lineRule="exact"/>
        <w:rPr>
          <w:rFonts w:ascii="宋体" w:hAnsi="宋体" w:eastAsia="宋体" w:cs="宋体"/>
          <w:b/>
          <w:bCs/>
          <w:sz w:val="24"/>
          <w:szCs w:val="24"/>
        </w:rPr>
      </w:pPr>
      <w:bookmarkStart w:id="447" w:name="_Toc989336"/>
      <w:r>
        <w:rPr>
          <w:rFonts w:ascii="宋体" w:hAnsi="宋体" w:eastAsia="宋体" w:cs="宋体"/>
          <w:b/>
          <w:bCs/>
          <w:sz w:val="24"/>
          <w:szCs w:val="24"/>
        </w:rPr>
        <w:t>十三、公允价值的披露</w:t>
      </w:r>
      <w:bookmarkEnd w:id="447"/>
    </w:p>
    <w:p w14:paraId="48F19DD9">
      <w:pPr>
        <w:pStyle w:val="3"/>
        <w:spacing w:after="100" w:line="280" w:lineRule="exact"/>
        <w:jc w:val="left"/>
        <w:rPr>
          <w:rFonts w:ascii="宋体" w:hAnsi="宋体" w:cs="宋体"/>
          <w:b/>
          <w:bCs/>
        </w:rPr>
      </w:pPr>
      <w:bookmarkStart w:id="448" w:name="_Toc989337"/>
      <w:r>
        <w:rPr>
          <w:rFonts w:ascii="宋体" w:hAnsi="宋体" w:cs="宋体"/>
          <w:b/>
          <w:bCs/>
        </w:rPr>
        <w:t>1、以公允价值计量的资产和负债的期末公允价值</w:t>
      </w:r>
      <w:bookmarkEnd w:id="448"/>
    </w:p>
    <w:p w14:paraId="78417AA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DA4C523">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30A427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7711"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BA39556">
            <w:pPr>
              <w:spacing w:before="40" w:after="40" w:line="240" w:lineRule="exact"/>
              <w:jc w:val="center"/>
              <w:rPr>
                <w:rFonts w:ascii="宋体" w:hAnsi="宋体" w:eastAsia="宋体" w:cs="宋体"/>
                <w:sz w:val="18"/>
                <w:szCs w:val="18"/>
              </w:rPr>
            </w:pPr>
            <w:r>
              <w:rPr>
                <w:rFonts w:ascii="宋体" w:hAnsi="宋体" w:eastAsia="宋体" w:cs="宋体"/>
                <w:sz w:val="18"/>
                <w:szCs w:val="18"/>
              </w:rPr>
              <w:t>期末公允价值</w:t>
            </w:r>
          </w:p>
        </w:tc>
      </w:tr>
      <w:tr w14:paraId="2777E4EC">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52B7F60"/>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C22711">
            <w:pPr>
              <w:spacing w:before="40" w:after="40" w:line="240" w:lineRule="exact"/>
              <w:jc w:val="center"/>
              <w:rPr>
                <w:rFonts w:ascii="宋体" w:hAnsi="宋体" w:eastAsia="宋体" w:cs="宋体"/>
                <w:sz w:val="18"/>
                <w:szCs w:val="18"/>
              </w:rPr>
            </w:pPr>
            <w:r>
              <w:rPr>
                <w:rFonts w:ascii="宋体" w:hAnsi="宋体" w:eastAsia="宋体" w:cs="宋体"/>
                <w:sz w:val="18"/>
                <w:szCs w:val="18"/>
              </w:rPr>
              <w:t>第一层次公允价值计量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61A2EC">
            <w:pPr>
              <w:spacing w:before="40" w:after="40" w:line="240" w:lineRule="exact"/>
              <w:jc w:val="center"/>
              <w:rPr>
                <w:rFonts w:ascii="宋体" w:hAnsi="宋体" w:eastAsia="宋体" w:cs="宋体"/>
                <w:sz w:val="18"/>
                <w:szCs w:val="18"/>
              </w:rPr>
            </w:pPr>
            <w:r>
              <w:rPr>
                <w:rFonts w:ascii="宋体" w:hAnsi="宋体" w:eastAsia="宋体" w:cs="宋体"/>
                <w:sz w:val="18"/>
                <w:szCs w:val="18"/>
              </w:rPr>
              <w:t>第二层次公允价值计量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B4195E">
            <w:pPr>
              <w:spacing w:before="40" w:after="40" w:line="240" w:lineRule="exact"/>
              <w:jc w:val="center"/>
              <w:rPr>
                <w:rFonts w:ascii="宋体" w:hAnsi="宋体" w:eastAsia="宋体" w:cs="宋体"/>
                <w:sz w:val="18"/>
                <w:szCs w:val="18"/>
              </w:rPr>
            </w:pPr>
            <w:r>
              <w:rPr>
                <w:rFonts w:ascii="宋体" w:hAnsi="宋体" w:eastAsia="宋体" w:cs="宋体"/>
                <w:sz w:val="18"/>
                <w:szCs w:val="18"/>
              </w:rPr>
              <w:t>第三层次公允价值计量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3DF8A0">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2FF634D9">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96008F">
            <w:pPr>
              <w:spacing w:before="40" w:after="40" w:line="240" w:lineRule="exact"/>
              <w:rPr>
                <w:rFonts w:ascii="宋体" w:hAnsi="宋体" w:eastAsia="宋体" w:cs="宋体"/>
                <w:sz w:val="18"/>
                <w:szCs w:val="18"/>
              </w:rPr>
            </w:pPr>
            <w:r>
              <w:rPr>
                <w:rFonts w:ascii="宋体" w:hAnsi="宋体" w:eastAsia="宋体" w:cs="宋体"/>
                <w:sz w:val="18"/>
                <w:szCs w:val="18"/>
              </w:rPr>
              <w:t>一、持续的公允价值计量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EA04B16">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6D5C5E">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7D3FA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003B77">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29F573C2">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5642F9">
            <w:pPr>
              <w:spacing w:before="40" w:after="40" w:line="240" w:lineRule="exact"/>
              <w:rPr>
                <w:rFonts w:ascii="宋体" w:hAnsi="宋体" w:eastAsia="宋体" w:cs="宋体"/>
                <w:sz w:val="18"/>
                <w:szCs w:val="18"/>
              </w:rPr>
            </w:pPr>
            <w:r>
              <w:rPr>
                <w:rFonts w:ascii="宋体" w:hAnsi="宋体" w:eastAsia="宋体" w:cs="宋体"/>
                <w:sz w:val="18"/>
                <w:szCs w:val="18"/>
              </w:rPr>
              <w:t>二、非持续的公允价值计量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5411A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35897D">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BE829D9">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9A2E78">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1083E82D">
      <w:pPr>
        <w:pStyle w:val="3"/>
        <w:keepNext w:val="0"/>
        <w:keepLines w:val="0"/>
        <w:spacing w:after="100" w:line="280" w:lineRule="exact"/>
      </w:pPr>
      <w:bookmarkStart w:id="449" w:name="_Toc989338"/>
      <w:r>
        <w:rPr>
          <w:rFonts w:ascii="宋体" w:hAnsi="宋体" w:cs="宋体"/>
          <w:b/>
          <w:bCs/>
        </w:rPr>
        <w:t>2、持续和非持续第一层次公允价值计量项目市价的确定依据</w:t>
      </w:r>
      <w:bookmarkEnd w:id="449"/>
    </w:p>
    <w:p w14:paraId="4E6950B2">
      <w:pPr>
        <w:pStyle w:val="3"/>
        <w:keepNext w:val="0"/>
        <w:keepLines w:val="0"/>
        <w:spacing w:after="100" w:line="280" w:lineRule="exact"/>
      </w:pPr>
      <w:bookmarkStart w:id="450" w:name="_Toc989339"/>
      <w:r>
        <w:rPr>
          <w:rFonts w:ascii="宋体" w:hAnsi="宋体" w:cs="宋体"/>
          <w:b/>
          <w:bCs/>
        </w:rPr>
        <w:t>3、持续和非持续第二层次公允价值计量项目，采用的估值技术和重要参数的定性及定量信息</w:t>
      </w:r>
      <w:bookmarkEnd w:id="450"/>
    </w:p>
    <w:p w14:paraId="6DD276A9">
      <w:pPr>
        <w:pStyle w:val="3"/>
        <w:keepNext w:val="0"/>
        <w:keepLines w:val="0"/>
        <w:spacing w:after="100" w:line="280" w:lineRule="exact"/>
      </w:pPr>
      <w:bookmarkStart w:id="451" w:name="_Toc989340"/>
      <w:r>
        <w:rPr>
          <w:rFonts w:ascii="宋体" w:hAnsi="宋体" w:cs="宋体"/>
          <w:b/>
          <w:bCs/>
        </w:rPr>
        <w:t>4、持续和非持续第三层次公允价值计量项目，采用的估值技术和重要参数的定性及定量信息</w:t>
      </w:r>
      <w:bookmarkEnd w:id="451"/>
    </w:p>
    <w:p w14:paraId="46BF836A">
      <w:pPr>
        <w:pStyle w:val="3"/>
        <w:keepNext w:val="0"/>
        <w:keepLines w:val="0"/>
        <w:spacing w:after="100" w:line="280" w:lineRule="exact"/>
      </w:pPr>
      <w:bookmarkStart w:id="452" w:name="_Toc989341"/>
      <w:r>
        <w:rPr>
          <w:rFonts w:ascii="宋体" w:hAnsi="宋体" w:cs="宋体"/>
          <w:b/>
          <w:bCs/>
        </w:rPr>
        <w:t>5、持续的第三层次公允价值计量项目，期初与期末账面价值间的调节信息及不可观察参数敏感性分析</w:t>
      </w:r>
      <w:bookmarkEnd w:id="452"/>
    </w:p>
    <w:p w14:paraId="7A81EBA4">
      <w:pPr>
        <w:pStyle w:val="3"/>
        <w:keepNext w:val="0"/>
        <w:keepLines w:val="0"/>
        <w:spacing w:after="100" w:line="280" w:lineRule="exact"/>
      </w:pPr>
      <w:bookmarkStart w:id="453" w:name="_Toc989342"/>
      <w:r>
        <w:rPr>
          <w:rFonts w:ascii="宋体" w:hAnsi="宋体" w:cs="宋体"/>
          <w:b/>
          <w:bCs/>
        </w:rPr>
        <w:t>6、持续的公允价值计量项目，本期内发生各层级之间转换的，转换的原因及确定转换时点的政策</w:t>
      </w:r>
      <w:bookmarkEnd w:id="453"/>
    </w:p>
    <w:p w14:paraId="5CB63E44">
      <w:pPr>
        <w:pStyle w:val="3"/>
        <w:keepNext w:val="0"/>
        <w:keepLines w:val="0"/>
        <w:spacing w:after="100" w:line="280" w:lineRule="exact"/>
      </w:pPr>
      <w:bookmarkStart w:id="454" w:name="_Toc989343"/>
      <w:r>
        <w:rPr>
          <w:rFonts w:ascii="宋体" w:hAnsi="宋体" w:cs="宋体"/>
          <w:b/>
          <w:bCs/>
        </w:rPr>
        <w:t>7、本期内发生的估值技术变更及变更原因</w:t>
      </w:r>
      <w:bookmarkEnd w:id="454"/>
    </w:p>
    <w:p w14:paraId="1D2D1F11">
      <w:pPr>
        <w:pStyle w:val="3"/>
        <w:keepNext w:val="0"/>
        <w:keepLines w:val="0"/>
        <w:spacing w:after="100" w:line="280" w:lineRule="exact"/>
      </w:pPr>
      <w:bookmarkStart w:id="455" w:name="_Toc989344"/>
      <w:r>
        <w:rPr>
          <w:rFonts w:ascii="宋体" w:hAnsi="宋体" w:cs="宋体"/>
          <w:b/>
          <w:bCs/>
        </w:rPr>
        <w:t>8、不以公允价值计量的金融资产和金融负债的公允价值情况</w:t>
      </w:r>
      <w:bookmarkEnd w:id="455"/>
    </w:p>
    <w:p w14:paraId="00C12796">
      <w:pPr>
        <w:pStyle w:val="3"/>
        <w:spacing w:after="100" w:line="280" w:lineRule="exact"/>
      </w:pPr>
      <w:bookmarkStart w:id="456" w:name="_Toc989345"/>
      <w:r>
        <w:rPr>
          <w:rFonts w:ascii="宋体" w:hAnsi="宋体" w:cs="宋体"/>
          <w:b/>
          <w:bCs/>
        </w:rPr>
        <w:t>9、其他</w:t>
      </w:r>
      <w:bookmarkEnd w:id="456"/>
    </w:p>
    <w:p w14:paraId="58F0761F">
      <w:pPr>
        <w:pStyle w:val="2"/>
        <w:spacing w:before="300" w:after="300" w:line="320" w:lineRule="exact"/>
        <w:rPr>
          <w:rFonts w:ascii="宋体" w:hAnsi="宋体" w:eastAsia="宋体" w:cs="宋体"/>
          <w:b/>
          <w:bCs/>
          <w:sz w:val="24"/>
          <w:szCs w:val="24"/>
        </w:rPr>
      </w:pPr>
      <w:bookmarkStart w:id="457" w:name="_Toc989346"/>
      <w:r>
        <w:rPr>
          <w:rFonts w:ascii="宋体" w:hAnsi="宋体" w:eastAsia="宋体" w:cs="宋体"/>
          <w:b/>
          <w:bCs/>
          <w:sz w:val="24"/>
          <w:szCs w:val="24"/>
        </w:rPr>
        <w:t>十四、关联方及关联交易</w:t>
      </w:r>
      <w:bookmarkEnd w:id="457"/>
    </w:p>
    <w:p w14:paraId="1BF07096">
      <w:pPr>
        <w:pStyle w:val="3"/>
        <w:spacing w:after="100" w:line="280" w:lineRule="exact"/>
        <w:jc w:val="left"/>
        <w:rPr>
          <w:rFonts w:ascii="宋体" w:hAnsi="宋体" w:cs="宋体"/>
          <w:b/>
          <w:bCs/>
        </w:rPr>
      </w:pPr>
      <w:bookmarkStart w:id="458" w:name="_Toc989347"/>
      <w:r>
        <w:rPr>
          <w:rFonts w:ascii="宋体" w:hAnsi="宋体" w:cs="宋体"/>
          <w:b/>
          <w:bCs/>
        </w:rPr>
        <w:t>1、本企业的母公司情况</w:t>
      </w:r>
      <w:bookmarkEnd w:id="458"/>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AEF596A">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1BDE7D">
            <w:pPr>
              <w:spacing w:before="40" w:after="40" w:line="240" w:lineRule="exact"/>
              <w:jc w:val="center"/>
              <w:rPr>
                <w:rFonts w:ascii="宋体" w:hAnsi="宋体" w:eastAsia="宋体" w:cs="宋体"/>
                <w:sz w:val="18"/>
                <w:szCs w:val="18"/>
              </w:rPr>
            </w:pPr>
            <w:r>
              <w:rPr>
                <w:rFonts w:ascii="宋体" w:hAnsi="宋体" w:eastAsia="宋体" w:cs="宋体"/>
                <w:sz w:val="18"/>
                <w:szCs w:val="18"/>
              </w:rPr>
              <w:t>母公司名称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23363DD">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8AD1E6">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A362BD">
            <w:pPr>
              <w:spacing w:before="40" w:after="40" w:line="240" w:lineRule="exact"/>
              <w:jc w:val="center"/>
              <w:rPr>
                <w:rFonts w:ascii="宋体" w:hAnsi="宋体" w:eastAsia="宋体" w:cs="宋体"/>
                <w:sz w:val="18"/>
                <w:szCs w:val="18"/>
              </w:rPr>
            </w:pPr>
            <w:r>
              <w:rPr>
                <w:rFonts w:ascii="宋体" w:hAnsi="宋体" w:eastAsia="宋体" w:cs="宋体"/>
                <w:sz w:val="18"/>
                <w:szCs w:val="18"/>
              </w:rPr>
              <w:t>注册资本</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0F9BA5">
            <w:pPr>
              <w:spacing w:before="40" w:after="40" w:line="240" w:lineRule="exact"/>
              <w:jc w:val="center"/>
              <w:rPr>
                <w:rFonts w:ascii="宋体" w:hAnsi="宋体" w:eastAsia="宋体" w:cs="宋体"/>
                <w:sz w:val="18"/>
                <w:szCs w:val="18"/>
              </w:rPr>
            </w:pPr>
            <w:r>
              <w:rPr>
                <w:rFonts w:ascii="宋体" w:hAnsi="宋体" w:eastAsia="宋体" w:cs="宋体"/>
                <w:sz w:val="18"/>
                <w:szCs w:val="18"/>
              </w:rPr>
              <w:t>母公司对本企业的持股比例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D2B826">
            <w:pPr>
              <w:spacing w:before="40" w:after="40" w:line="240" w:lineRule="exact"/>
              <w:jc w:val="center"/>
              <w:rPr>
                <w:rFonts w:ascii="宋体" w:hAnsi="宋体" w:eastAsia="宋体" w:cs="宋体"/>
                <w:sz w:val="18"/>
                <w:szCs w:val="18"/>
              </w:rPr>
            </w:pPr>
            <w:r>
              <w:rPr>
                <w:rFonts w:ascii="宋体" w:hAnsi="宋体" w:eastAsia="宋体" w:cs="宋体"/>
                <w:sz w:val="18"/>
                <w:szCs w:val="18"/>
              </w:rPr>
              <w:t>母公司对本企业的表决权比例</w:t>
            </w:r>
          </w:p>
        </w:tc>
      </w:tr>
      <w:tr w14:paraId="1207F641">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B46244D">
            <w:pPr>
              <w:spacing w:line="240" w:lineRule="exact"/>
              <w:rPr>
                <w:rFonts w:ascii="宋体" w:hAnsi="宋体" w:eastAsia="宋体" w:cs="宋体"/>
                <w:sz w:val="18"/>
                <w:szCs w:val="18"/>
              </w:rPr>
            </w:pPr>
            <w:r>
              <w:rPr>
                <w:rFonts w:ascii="宋体" w:hAnsi="宋体" w:eastAsia="宋体" w:cs="宋体"/>
                <w:sz w:val="18"/>
                <w:szCs w:val="18"/>
              </w:rPr>
              <w:t>西藏盛邦控股有限公司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CEB9449">
            <w:pPr>
              <w:spacing w:line="240" w:lineRule="exact"/>
              <w:rPr>
                <w:rFonts w:ascii="宋体" w:hAnsi="宋体" w:eastAsia="宋体" w:cs="宋体"/>
                <w:sz w:val="18"/>
                <w:szCs w:val="18"/>
              </w:rPr>
            </w:pPr>
            <w:r>
              <w:rPr>
                <w:rFonts w:ascii="宋体" w:hAnsi="宋体" w:eastAsia="宋体" w:cs="宋体"/>
                <w:sz w:val="18"/>
                <w:szCs w:val="18"/>
              </w:rPr>
              <w:t>拉萨市</w:t>
            </w:r>
          </w:p>
        </w:tc>
        <w:tc>
          <w:tcPr>
            <w:tcW w:w="1606" w:type="dxa"/>
            <w:tcBorders>
              <w:top w:val="single" w:color="auto" w:sz="2" w:space="0"/>
              <w:left w:val="single" w:color="auto" w:sz="2" w:space="0"/>
              <w:bottom w:val="single" w:color="auto" w:sz="2" w:space="0"/>
              <w:right w:val="single" w:color="auto" w:sz="2" w:space="0"/>
            </w:tcBorders>
            <w:vAlign w:val="center"/>
          </w:tcPr>
          <w:p w14:paraId="64A48717">
            <w:pPr>
              <w:spacing w:line="240" w:lineRule="exact"/>
              <w:rPr>
                <w:rFonts w:ascii="宋体" w:hAnsi="宋体" w:eastAsia="宋体" w:cs="宋体"/>
                <w:sz w:val="18"/>
                <w:szCs w:val="18"/>
              </w:rPr>
            </w:pPr>
            <w:r>
              <w:rPr>
                <w:rFonts w:ascii="宋体" w:hAnsi="宋体" w:eastAsia="宋体" w:cs="宋体"/>
                <w:sz w:val="18"/>
                <w:szCs w:val="18"/>
              </w:rPr>
              <w:t>管理</w:t>
            </w:r>
          </w:p>
          <w:p w14:paraId="16DF5DA4">
            <w:pPr>
              <w:spacing w:line="240" w:lineRule="exact"/>
              <w:rPr>
                <w:rFonts w:ascii="宋体" w:hAnsi="宋体" w:eastAsia="宋体" w:cs="宋体"/>
                <w:sz w:val="18"/>
                <w:szCs w:val="18"/>
              </w:rPr>
            </w:pPr>
            <w:r>
              <w:rPr>
                <w:rFonts w:ascii="宋体" w:hAnsi="宋体" w:eastAsia="宋体" w:cs="宋体"/>
                <w:sz w:val="18"/>
                <w:szCs w:val="18"/>
              </w:rPr>
              <w:t>咨询</w:t>
            </w:r>
          </w:p>
        </w:tc>
        <w:tc>
          <w:tcPr>
            <w:tcW w:w="1606" w:type="dxa"/>
            <w:tcBorders>
              <w:top w:val="single" w:color="auto" w:sz="2" w:space="0"/>
              <w:left w:val="single" w:color="auto" w:sz="2" w:space="0"/>
              <w:bottom w:val="single" w:color="auto" w:sz="2" w:space="0"/>
              <w:right w:val="single" w:color="auto" w:sz="2" w:space="0"/>
            </w:tcBorders>
            <w:vAlign w:val="center"/>
          </w:tcPr>
          <w:p w14:paraId="12181FB8">
            <w:pPr>
              <w:spacing w:line="240" w:lineRule="exact"/>
              <w:rPr>
                <w:rFonts w:ascii="宋体" w:hAnsi="宋体" w:eastAsia="宋体" w:cs="宋体"/>
                <w:sz w:val="18"/>
                <w:szCs w:val="18"/>
              </w:rPr>
            </w:pPr>
            <w:r>
              <w:rPr>
                <w:rFonts w:ascii="宋体" w:hAnsi="宋体" w:eastAsia="宋体" w:cs="宋体"/>
                <w:sz w:val="18"/>
                <w:szCs w:val="18"/>
              </w:rPr>
              <w:t>30,000.00</w:t>
            </w:r>
          </w:p>
        </w:tc>
        <w:tc>
          <w:tcPr>
            <w:tcW w:w="1606" w:type="dxa"/>
            <w:tcBorders>
              <w:top w:val="single" w:color="auto" w:sz="2" w:space="0"/>
              <w:left w:val="single" w:color="auto" w:sz="2" w:space="0"/>
              <w:bottom w:val="single" w:color="auto" w:sz="2" w:space="0"/>
              <w:right w:val="single" w:color="auto" w:sz="2" w:space="0"/>
            </w:tcBorders>
            <w:vAlign w:val="center"/>
          </w:tcPr>
          <w:p w14:paraId="42857FBB">
            <w:pPr>
              <w:spacing w:line="240" w:lineRule="exact"/>
              <w:jc w:val="right"/>
              <w:rPr>
                <w:rFonts w:ascii="宋体" w:hAnsi="宋体" w:eastAsia="宋体" w:cs="宋体"/>
                <w:sz w:val="18"/>
                <w:szCs w:val="18"/>
              </w:rPr>
            </w:pPr>
            <w:r>
              <w:rPr>
                <w:rFonts w:ascii="宋体" w:hAnsi="宋体" w:eastAsia="宋体" w:cs="宋体"/>
                <w:sz w:val="18"/>
                <w:szCs w:val="18"/>
              </w:rPr>
              <w:t>12.74%</w:t>
            </w:r>
          </w:p>
        </w:tc>
        <w:tc>
          <w:tcPr>
            <w:tcW w:w="1606" w:type="dxa"/>
            <w:tcBorders>
              <w:top w:val="single" w:color="auto" w:sz="2" w:space="0"/>
              <w:left w:val="single" w:color="auto" w:sz="2" w:space="0"/>
              <w:bottom w:val="single" w:color="auto" w:sz="2" w:space="0"/>
              <w:right w:val="single" w:color="auto" w:sz="2" w:space="0"/>
            </w:tcBorders>
            <w:vAlign w:val="center"/>
          </w:tcPr>
          <w:p w14:paraId="1681F104">
            <w:pPr>
              <w:spacing w:line="240" w:lineRule="exact"/>
              <w:jc w:val="right"/>
              <w:rPr>
                <w:rFonts w:ascii="宋体" w:hAnsi="宋体" w:eastAsia="宋体" w:cs="宋体"/>
                <w:sz w:val="18"/>
                <w:szCs w:val="18"/>
              </w:rPr>
            </w:pPr>
            <w:r>
              <w:rPr>
                <w:rFonts w:ascii="宋体" w:hAnsi="宋体" w:eastAsia="宋体" w:cs="宋体"/>
                <w:sz w:val="18"/>
                <w:szCs w:val="18"/>
              </w:rPr>
              <w:t>12.74%</w:t>
            </w:r>
          </w:p>
        </w:tc>
      </w:tr>
    </w:tbl>
    <w:p w14:paraId="567EE03F">
      <w:pPr>
        <w:spacing w:before="100" w:after="100" w:line="240" w:lineRule="exact"/>
        <w:rPr>
          <w:rFonts w:ascii="宋体" w:hAnsi="宋体" w:eastAsia="宋体" w:cs="宋体"/>
          <w:sz w:val="18"/>
          <w:szCs w:val="18"/>
        </w:rPr>
      </w:pPr>
      <w:r>
        <w:rPr>
          <w:rFonts w:ascii="宋体" w:hAnsi="宋体" w:eastAsia="宋体" w:cs="宋体"/>
          <w:sz w:val="18"/>
          <w:szCs w:val="18"/>
        </w:rPr>
        <w:t>本企业的母公司情况的说明</w:t>
      </w:r>
    </w:p>
    <w:tbl>
      <w:tblPr>
        <w:tblStyle w:val="11"/>
        <w:tblW w:w="5000" w:type="pct"/>
        <w:jc w:val="center"/>
        <w:tblLayout w:type="autofit"/>
        <w:tblCellMar>
          <w:top w:w="0" w:type="dxa"/>
          <w:left w:w="0" w:type="dxa"/>
          <w:bottom w:w="0" w:type="dxa"/>
          <w:right w:w="0" w:type="dxa"/>
        </w:tblCellMar>
      </w:tblPr>
      <w:tblGrid>
        <w:gridCol w:w="1812"/>
        <w:gridCol w:w="1967"/>
        <w:gridCol w:w="2126"/>
        <w:gridCol w:w="2044"/>
        <w:gridCol w:w="1904"/>
      </w:tblGrid>
      <w:tr w14:paraId="19413EC1">
        <w:trPr>
          <w:trHeight w:val="397" w:hRule="atLeast"/>
          <w:tblHeader/>
          <w:jc w:val="center"/>
        </w:trPr>
        <w:tc>
          <w:tcPr>
            <w:tcW w:w="92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C6DB969">
            <w:pPr>
              <w:pStyle w:val="9"/>
              <w:spacing w:before="0" w:beforeAutospacing="0" w:after="0" w:afterAutospacing="0"/>
              <w:ind w:firstLine="19"/>
              <w:jc w:val="center"/>
              <w:rPr>
                <w:sz w:val="18"/>
                <w:szCs w:val="18"/>
              </w:rPr>
            </w:pPr>
            <w:r>
              <w:rPr>
                <w:rStyle w:val="13"/>
                <w:rFonts w:hint="eastAsia"/>
                <w:sz w:val="18"/>
                <w:szCs w:val="18"/>
              </w:rPr>
              <w:t>项 目</w:t>
            </w:r>
          </w:p>
        </w:tc>
        <w:tc>
          <w:tcPr>
            <w:tcW w:w="998"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86ED9E4">
            <w:pPr>
              <w:pStyle w:val="9"/>
              <w:spacing w:before="0" w:beforeAutospacing="0" w:after="0" w:afterAutospacing="0"/>
              <w:ind w:firstLine="19"/>
              <w:jc w:val="center"/>
              <w:rPr>
                <w:sz w:val="18"/>
                <w:szCs w:val="18"/>
              </w:rPr>
            </w:pPr>
            <w:r>
              <w:rPr>
                <w:rStyle w:val="13"/>
                <w:rFonts w:hint="eastAsia"/>
                <w:sz w:val="18"/>
                <w:szCs w:val="18"/>
              </w:rPr>
              <w:t>期初余额</w:t>
            </w:r>
          </w:p>
        </w:tc>
        <w:tc>
          <w:tcPr>
            <w:tcW w:w="1079"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FA9FD7B">
            <w:pPr>
              <w:pStyle w:val="9"/>
              <w:spacing w:before="0" w:beforeAutospacing="0" w:after="0" w:afterAutospacing="0"/>
              <w:ind w:firstLine="19"/>
              <w:jc w:val="center"/>
              <w:rPr>
                <w:sz w:val="18"/>
                <w:szCs w:val="18"/>
              </w:rPr>
            </w:pPr>
            <w:r>
              <w:rPr>
                <w:rStyle w:val="13"/>
                <w:rFonts w:hint="eastAsia"/>
                <w:sz w:val="18"/>
                <w:szCs w:val="18"/>
              </w:rPr>
              <w:t>本期增加</w:t>
            </w:r>
          </w:p>
        </w:tc>
        <w:tc>
          <w:tcPr>
            <w:tcW w:w="1037"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76E490D">
            <w:pPr>
              <w:pStyle w:val="9"/>
              <w:spacing w:before="0" w:beforeAutospacing="0" w:after="0" w:afterAutospacing="0"/>
              <w:ind w:firstLine="19"/>
              <w:jc w:val="center"/>
              <w:rPr>
                <w:sz w:val="18"/>
                <w:szCs w:val="18"/>
              </w:rPr>
            </w:pPr>
            <w:r>
              <w:rPr>
                <w:rStyle w:val="13"/>
                <w:rFonts w:hint="eastAsia"/>
                <w:sz w:val="18"/>
                <w:szCs w:val="18"/>
              </w:rPr>
              <w:t>本期减少</w:t>
            </w:r>
          </w:p>
        </w:tc>
        <w:tc>
          <w:tcPr>
            <w:tcW w:w="966"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CF54ABE">
            <w:pPr>
              <w:pStyle w:val="9"/>
              <w:spacing w:before="0" w:beforeAutospacing="0" w:after="0" w:afterAutospacing="0"/>
              <w:ind w:firstLine="19"/>
              <w:jc w:val="center"/>
              <w:rPr>
                <w:sz w:val="18"/>
                <w:szCs w:val="18"/>
              </w:rPr>
            </w:pPr>
            <w:r>
              <w:rPr>
                <w:rStyle w:val="13"/>
                <w:rFonts w:hint="eastAsia"/>
                <w:sz w:val="18"/>
                <w:szCs w:val="18"/>
              </w:rPr>
              <w:t>期末余额</w:t>
            </w:r>
          </w:p>
        </w:tc>
      </w:tr>
      <w:tr w14:paraId="64EE236B">
        <w:trPr>
          <w:trHeight w:val="397" w:hRule="atLeast"/>
          <w:jc w:val="center"/>
        </w:trPr>
        <w:tc>
          <w:tcPr>
            <w:tcW w:w="92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1142F5">
            <w:pPr>
              <w:pStyle w:val="9"/>
              <w:spacing w:before="0" w:beforeAutospacing="0" w:after="0" w:afterAutospacing="0"/>
              <w:jc w:val="center"/>
              <w:rPr>
                <w:sz w:val="18"/>
                <w:szCs w:val="18"/>
              </w:rPr>
            </w:pPr>
            <w:r>
              <w:rPr>
                <w:rFonts w:hint="eastAsia"/>
                <w:sz w:val="18"/>
                <w:szCs w:val="18"/>
              </w:rPr>
              <w:t>注册资本</w:t>
            </w:r>
          </w:p>
        </w:tc>
        <w:tc>
          <w:tcPr>
            <w:tcW w:w="998" w:type="pct"/>
            <w:tcBorders>
              <w:top w:val="nil"/>
              <w:left w:val="nil"/>
              <w:bottom w:val="single" w:color="auto" w:sz="8" w:space="0"/>
              <w:right w:val="single" w:color="auto" w:sz="8" w:space="0"/>
            </w:tcBorders>
            <w:tcMar>
              <w:top w:w="0" w:type="dxa"/>
              <w:left w:w="108" w:type="dxa"/>
              <w:bottom w:w="0" w:type="dxa"/>
              <w:right w:w="108" w:type="dxa"/>
            </w:tcMar>
            <w:vAlign w:val="center"/>
          </w:tcPr>
          <w:p w14:paraId="6C42B0D4">
            <w:pPr>
              <w:pStyle w:val="9"/>
              <w:spacing w:before="0" w:beforeAutospacing="0" w:after="0" w:afterAutospacing="0"/>
              <w:ind w:left="-420"/>
              <w:jc w:val="right"/>
              <w:textAlignment w:val="center"/>
              <w:rPr>
                <w:sz w:val="18"/>
                <w:szCs w:val="18"/>
              </w:rPr>
            </w:pPr>
            <w:r>
              <w:rPr>
                <w:rFonts w:hint="eastAsia"/>
                <w:sz w:val="18"/>
                <w:szCs w:val="18"/>
              </w:rPr>
              <w:t>300,000,000.00</w:t>
            </w:r>
          </w:p>
        </w:tc>
        <w:tc>
          <w:tcPr>
            <w:tcW w:w="1079" w:type="pct"/>
            <w:tcBorders>
              <w:top w:val="nil"/>
              <w:left w:val="nil"/>
              <w:bottom w:val="single" w:color="auto" w:sz="8" w:space="0"/>
              <w:right w:val="single" w:color="auto" w:sz="8" w:space="0"/>
            </w:tcBorders>
            <w:tcMar>
              <w:top w:w="0" w:type="dxa"/>
              <w:left w:w="108" w:type="dxa"/>
              <w:bottom w:w="0" w:type="dxa"/>
              <w:right w:w="108" w:type="dxa"/>
            </w:tcMar>
            <w:vAlign w:val="center"/>
          </w:tcPr>
          <w:p w14:paraId="5586B0B9">
            <w:pPr>
              <w:pStyle w:val="9"/>
              <w:spacing w:before="0" w:beforeAutospacing="0" w:after="0" w:afterAutospacing="0"/>
              <w:ind w:left="-420"/>
              <w:jc w:val="right"/>
              <w:textAlignment w:val="center"/>
              <w:rPr>
                <w:sz w:val="18"/>
                <w:szCs w:val="18"/>
              </w:rPr>
            </w:pPr>
            <w:r>
              <w:rPr>
                <w:rFonts w:hint="eastAsia"/>
                <w:sz w:val="18"/>
                <w:szCs w:val="18"/>
              </w:rPr>
              <w:t> </w:t>
            </w:r>
          </w:p>
        </w:tc>
        <w:tc>
          <w:tcPr>
            <w:tcW w:w="1037" w:type="pct"/>
            <w:tcBorders>
              <w:top w:val="nil"/>
              <w:left w:val="nil"/>
              <w:bottom w:val="single" w:color="auto" w:sz="8" w:space="0"/>
              <w:right w:val="single" w:color="auto" w:sz="8" w:space="0"/>
            </w:tcBorders>
            <w:tcMar>
              <w:top w:w="0" w:type="dxa"/>
              <w:left w:w="108" w:type="dxa"/>
              <w:bottom w:w="0" w:type="dxa"/>
              <w:right w:w="108" w:type="dxa"/>
            </w:tcMar>
            <w:vAlign w:val="center"/>
          </w:tcPr>
          <w:p w14:paraId="2B367EDA">
            <w:pPr>
              <w:pStyle w:val="9"/>
              <w:spacing w:before="0" w:beforeAutospacing="0" w:after="0" w:afterAutospacing="0"/>
              <w:ind w:left="-420"/>
              <w:jc w:val="right"/>
              <w:textAlignment w:val="center"/>
              <w:rPr>
                <w:sz w:val="18"/>
                <w:szCs w:val="18"/>
              </w:rPr>
            </w:pPr>
            <w:r>
              <w:rPr>
                <w:rFonts w:hint="eastAsia"/>
                <w:sz w:val="18"/>
                <w:szCs w:val="18"/>
              </w:rPr>
              <w:t> </w:t>
            </w:r>
          </w:p>
        </w:tc>
        <w:tc>
          <w:tcPr>
            <w:tcW w:w="966" w:type="pct"/>
            <w:tcBorders>
              <w:top w:val="nil"/>
              <w:left w:val="nil"/>
              <w:bottom w:val="single" w:color="auto" w:sz="8" w:space="0"/>
              <w:right w:val="single" w:color="auto" w:sz="8" w:space="0"/>
            </w:tcBorders>
            <w:tcMar>
              <w:top w:w="0" w:type="dxa"/>
              <w:left w:w="108" w:type="dxa"/>
              <w:bottom w:w="0" w:type="dxa"/>
              <w:right w:w="108" w:type="dxa"/>
            </w:tcMar>
            <w:vAlign w:val="center"/>
          </w:tcPr>
          <w:p w14:paraId="64AD3C46">
            <w:pPr>
              <w:pStyle w:val="9"/>
              <w:spacing w:before="0" w:beforeAutospacing="0" w:after="0" w:afterAutospacing="0"/>
              <w:ind w:left="-420"/>
              <w:jc w:val="right"/>
              <w:textAlignment w:val="center"/>
              <w:rPr>
                <w:sz w:val="18"/>
                <w:szCs w:val="18"/>
              </w:rPr>
            </w:pPr>
            <w:r>
              <w:rPr>
                <w:rFonts w:hint="eastAsia"/>
                <w:sz w:val="18"/>
                <w:szCs w:val="18"/>
              </w:rPr>
              <w:t>300,000,000.00</w:t>
            </w:r>
          </w:p>
        </w:tc>
      </w:tr>
    </w:tbl>
    <w:p w14:paraId="6AE002D4">
      <w:pPr>
        <w:spacing w:before="100" w:after="100" w:line="240" w:lineRule="exact"/>
        <w:rPr>
          <w:rFonts w:ascii="宋体" w:hAnsi="宋体" w:eastAsia="宋体" w:cs="宋体"/>
          <w:sz w:val="18"/>
          <w:szCs w:val="18"/>
        </w:rPr>
      </w:pPr>
      <w:r>
        <w:rPr>
          <w:rFonts w:ascii="宋体" w:hAnsi="宋体" w:eastAsia="宋体" w:cs="宋体"/>
          <w:sz w:val="18"/>
          <w:szCs w:val="18"/>
        </w:rPr>
        <w:t>本企业最终控制方是罗希。</w:t>
      </w:r>
    </w:p>
    <w:p w14:paraId="67518BEA">
      <w:pPr>
        <w:spacing w:before="100" w:after="100" w:line="240" w:lineRule="exact"/>
      </w:pPr>
      <w:r>
        <w:rPr>
          <w:rFonts w:ascii="宋体" w:hAnsi="宋体" w:eastAsia="宋体" w:cs="宋体"/>
          <w:sz w:val="18"/>
          <w:szCs w:val="18"/>
        </w:rPr>
        <w:t>其他说明：</w:t>
      </w:r>
    </w:p>
    <w:p w14:paraId="3E718D70">
      <w:pPr>
        <w:pStyle w:val="3"/>
        <w:spacing w:after="100" w:line="280" w:lineRule="exact"/>
        <w:jc w:val="left"/>
        <w:rPr>
          <w:rFonts w:ascii="宋体" w:hAnsi="宋体" w:cs="宋体"/>
          <w:b/>
          <w:bCs/>
        </w:rPr>
      </w:pPr>
      <w:bookmarkStart w:id="459" w:name="_Toc989348"/>
      <w:r>
        <w:rPr>
          <w:rFonts w:ascii="宋体" w:hAnsi="宋体" w:cs="宋体"/>
          <w:b/>
          <w:bCs/>
        </w:rPr>
        <w:t>2、本企业的子公司情况</w:t>
      </w:r>
      <w:bookmarkEnd w:id="459"/>
    </w:p>
    <w:p w14:paraId="254BDE13">
      <w:pPr>
        <w:spacing w:before="40" w:after="100" w:line="240" w:lineRule="exact"/>
        <w:rPr>
          <w:rFonts w:ascii="宋体" w:hAnsi="宋体" w:eastAsia="宋体" w:cs="宋体"/>
          <w:sz w:val="18"/>
          <w:szCs w:val="18"/>
        </w:rPr>
      </w:pPr>
      <w:r>
        <w:rPr>
          <w:rFonts w:ascii="宋体" w:hAnsi="宋体" w:eastAsia="宋体" w:cs="宋体"/>
          <w:sz w:val="18"/>
          <w:szCs w:val="18"/>
        </w:rPr>
        <w:t>本企业子公司的情况详见附注本报告第十节、十、1、在子公司的权益。</w:t>
      </w:r>
    </w:p>
    <w:p w14:paraId="6A935751">
      <w:pPr>
        <w:pStyle w:val="3"/>
        <w:spacing w:after="100" w:line="280" w:lineRule="exact"/>
        <w:jc w:val="left"/>
        <w:rPr>
          <w:rFonts w:ascii="宋体" w:hAnsi="宋体" w:cs="宋体"/>
          <w:b/>
          <w:bCs/>
        </w:rPr>
      </w:pPr>
      <w:bookmarkStart w:id="460" w:name="_Toc989349"/>
      <w:r>
        <w:rPr>
          <w:rFonts w:ascii="宋体" w:hAnsi="宋体" w:cs="宋体"/>
          <w:b/>
          <w:bCs/>
        </w:rPr>
        <w:t>3、本企业合营和联营企业情况</w:t>
      </w:r>
      <w:bookmarkEnd w:id="460"/>
    </w:p>
    <w:p w14:paraId="3189A527">
      <w:pPr>
        <w:spacing w:before="40" w:after="100" w:line="240" w:lineRule="exact"/>
        <w:rPr>
          <w:rFonts w:ascii="宋体" w:hAnsi="宋体" w:eastAsia="宋体" w:cs="宋体"/>
          <w:sz w:val="18"/>
          <w:szCs w:val="18"/>
        </w:rPr>
      </w:pPr>
      <w:r>
        <w:rPr>
          <w:rFonts w:ascii="宋体" w:hAnsi="宋体" w:eastAsia="宋体" w:cs="宋体"/>
          <w:sz w:val="18"/>
          <w:szCs w:val="18"/>
        </w:rPr>
        <w:t>本企业重要的合营或联营企业详见附注本报告第十节、十、3、在合营安排或联营企业中的权益。</w:t>
      </w:r>
    </w:p>
    <w:p w14:paraId="0891A422">
      <w:pPr>
        <w:spacing w:before="100" w:after="100" w:line="240" w:lineRule="exact"/>
        <w:rPr>
          <w:rFonts w:ascii="宋体" w:hAnsi="宋体" w:eastAsia="宋体" w:cs="宋体"/>
          <w:sz w:val="18"/>
          <w:szCs w:val="18"/>
        </w:rPr>
      </w:pPr>
      <w:r>
        <w:rPr>
          <w:rFonts w:ascii="宋体" w:hAnsi="宋体" w:eastAsia="宋体" w:cs="宋体"/>
          <w:sz w:val="18"/>
          <w:szCs w:val="18"/>
        </w:rPr>
        <w:t>本期与本公司发生关联方交易，或前期与本公司发生关联方交易形成余额的其他合营或联营企业情况如下：</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C7DADAE">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6527375">
            <w:pPr>
              <w:spacing w:before="40" w:after="40" w:line="240" w:lineRule="exact"/>
              <w:jc w:val="center"/>
              <w:rPr>
                <w:rFonts w:ascii="宋体" w:hAnsi="宋体" w:eastAsia="宋体" w:cs="宋体"/>
                <w:sz w:val="18"/>
                <w:szCs w:val="18"/>
              </w:rPr>
            </w:pPr>
            <w:r>
              <w:rPr>
                <w:rFonts w:ascii="宋体" w:hAnsi="宋体" w:eastAsia="宋体" w:cs="宋体"/>
                <w:sz w:val="18"/>
                <w:szCs w:val="18"/>
              </w:rPr>
              <w:t>合营或联营企业名称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42437CE">
            <w:pPr>
              <w:spacing w:before="40" w:after="40" w:line="240" w:lineRule="exact"/>
              <w:jc w:val="center"/>
              <w:rPr>
                <w:rFonts w:ascii="宋体" w:hAnsi="宋体" w:eastAsia="宋体" w:cs="宋体"/>
                <w:sz w:val="18"/>
                <w:szCs w:val="18"/>
              </w:rPr>
            </w:pPr>
            <w:r>
              <w:rPr>
                <w:rFonts w:ascii="宋体" w:hAnsi="宋体" w:eastAsia="宋体" w:cs="宋体"/>
                <w:sz w:val="18"/>
                <w:szCs w:val="18"/>
              </w:rPr>
              <w:t>与本企业关系</w:t>
            </w:r>
          </w:p>
        </w:tc>
      </w:tr>
    </w:tbl>
    <w:p w14:paraId="09E2E9A6">
      <w:pPr>
        <w:spacing w:before="100" w:after="100" w:line="240" w:lineRule="exact"/>
      </w:pPr>
      <w:r>
        <w:rPr>
          <w:rFonts w:ascii="宋体" w:hAnsi="宋体" w:eastAsia="宋体" w:cs="宋体"/>
          <w:sz w:val="18"/>
          <w:szCs w:val="18"/>
        </w:rPr>
        <w:t>其他说明</w:t>
      </w:r>
    </w:p>
    <w:p w14:paraId="54C49580">
      <w:pPr>
        <w:pStyle w:val="3"/>
        <w:spacing w:after="100" w:line="280" w:lineRule="exact"/>
        <w:jc w:val="left"/>
        <w:rPr>
          <w:rFonts w:ascii="宋体" w:hAnsi="宋体" w:cs="宋体"/>
          <w:b/>
          <w:bCs/>
        </w:rPr>
      </w:pPr>
      <w:bookmarkStart w:id="461" w:name="_Toc989350"/>
      <w:r>
        <w:rPr>
          <w:rFonts w:ascii="宋体" w:hAnsi="宋体" w:cs="宋体"/>
          <w:b/>
          <w:bCs/>
        </w:rPr>
        <w:t>4、其他关联方情况</w:t>
      </w:r>
      <w:bookmarkEnd w:id="461"/>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1BCC686">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4A82033">
            <w:pPr>
              <w:spacing w:before="40" w:after="40" w:line="240" w:lineRule="exact"/>
              <w:jc w:val="center"/>
              <w:rPr>
                <w:rFonts w:ascii="宋体" w:hAnsi="宋体" w:eastAsia="宋体" w:cs="宋体"/>
                <w:sz w:val="18"/>
                <w:szCs w:val="18"/>
              </w:rPr>
            </w:pPr>
            <w:r>
              <w:rPr>
                <w:rFonts w:ascii="宋体" w:hAnsi="宋体" w:eastAsia="宋体" w:cs="宋体"/>
                <w:sz w:val="18"/>
                <w:szCs w:val="18"/>
              </w:rPr>
              <w:t>其他关联方名称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0E8100F">
            <w:pPr>
              <w:spacing w:before="40" w:after="40" w:line="240" w:lineRule="exact"/>
              <w:jc w:val="center"/>
              <w:rPr>
                <w:rFonts w:ascii="宋体" w:hAnsi="宋体" w:eastAsia="宋体" w:cs="宋体"/>
                <w:sz w:val="18"/>
                <w:szCs w:val="18"/>
              </w:rPr>
            </w:pPr>
            <w:r>
              <w:rPr>
                <w:rFonts w:ascii="宋体" w:hAnsi="宋体" w:eastAsia="宋体" w:cs="宋体"/>
                <w:sz w:val="18"/>
                <w:szCs w:val="18"/>
              </w:rPr>
              <w:t>其他关联方与本企业关系</w:t>
            </w:r>
          </w:p>
        </w:tc>
      </w:tr>
      <w:tr w14:paraId="2ACC3BF7">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218C990">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7BF96CB4">
            <w:pPr>
              <w:spacing w:line="240" w:lineRule="exact"/>
              <w:rPr>
                <w:rFonts w:ascii="宋体" w:hAnsi="宋体" w:eastAsia="宋体" w:cs="宋体"/>
                <w:sz w:val="18"/>
                <w:szCs w:val="18"/>
              </w:rPr>
            </w:pPr>
            <w:r>
              <w:rPr>
                <w:rFonts w:ascii="宋体" w:hAnsi="宋体" w:eastAsia="宋体" w:cs="宋体"/>
                <w:sz w:val="18"/>
                <w:szCs w:val="18"/>
              </w:rPr>
              <w:t>本公司股东（持股2.96%）</w:t>
            </w:r>
          </w:p>
        </w:tc>
      </w:tr>
      <w:tr w14:paraId="1AA7A8F5">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8252EE5">
            <w:pPr>
              <w:spacing w:line="240" w:lineRule="exact"/>
              <w:rPr>
                <w:rFonts w:ascii="宋体" w:hAnsi="宋体" w:eastAsia="宋体" w:cs="宋体"/>
                <w:sz w:val="18"/>
                <w:szCs w:val="18"/>
              </w:rPr>
            </w:pPr>
            <w:r>
              <w:rPr>
                <w:rFonts w:ascii="宋体" w:hAnsi="宋体" w:eastAsia="宋体" w:cs="宋体"/>
                <w:sz w:val="18"/>
                <w:szCs w:val="18"/>
              </w:rPr>
              <w:t>西藏国有资本投资运营有限公司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458501ED">
            <w:pPr>
              <w:spacing w:line="240" w:lineRule="exact"/>
              <w:rPr>
                <w:rFonts w:ascii="宋体" w:hAnsi="宋体" w:eastAsia="宋体" w:cs="宋体"/>
                <w:sz w:val="18"/>
                <w:szCs w:val="18"/>
              </w:rPr>
            </w:pPr>
            <w:r>
              <w:rPr>
                <w:rFonts w:ascii="宋体" w:hAnsi="宋体" w:eastAsia="宋体" w:cs="宋体"/>
                <w:sz w:val="18"/>
                <w:szCs w:val="18"/>
              </w:rPr>
              <w:t>本公司股东（持股6.09%）</w:t>
            </w:r>
          </w:p>
        </w:tc>
      </w:tr>
      <w:tr w14:paraId="21C431A0">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D0979E6">
            <w:pPr>
              <w:spacing w:line="240" w:lineRule="exact"/>
              <w:rPr>
                <w:rFonts w:ascii="宋体" w:hAnsi="宋体" w:eastAsia="宋体" w:cs="宋体"/>
                <w:sz w:val="18"/>
                <w:szCs w:val="18"/>
              </w:rPr>
            </w:pPr>
            <w:r>
              <w:rPr>
                <w:rFonts w:ascii="宋体" w:hAnsi="宋体" w:eastAsia="宋体" w:cs="宋体"/>
                <w:sz w:val="18"/>
                <w:szCs w:val="18"/>
              </w:rPr>
              <w:t>董事、监事、管理层</w:t>
            </w:r>
          </w:p>
        </w:tc>
        <w:tc>
          <w:tcPr>
            <w:tcW w:w="4820" w:type="dxa"/>
            <w:tcBorders>
              <w:top w:val="single" w:color="auto" w:sz="2" w:space="0"/>
              <w:left w:val="single" w:color="auto" w:sz="2" w:space="0"/>
              <w:bottom w:val="single" w:color="auto" w:sz="2" w:space="0"/>
              <w:right w:val="single" w:color="auto" w:sz="2" w:space="0"/>
            </w:tcBorders>
            <w:vAlign w:val="center"/>
          </w:tcPr>
          <w:p w14:paraId="5F963D8D">
            <w:pPr>
              <w:spacing w:line="240" w:lineRule="exact"/>
              <w:rPr>
                <w:rFonts w:ascii="宋体" w:hAnsi="宋体" w:eastAsia="宋体" w:cs="宋体"/>
                <w:sz w:val="18"/>
                <w:szCs w:val="18"/>
              </w:rPr>
            </w:pPr>
            <w:r>
              <w:rPr>
                <w:rFonts w:ascii="宋体" w:hAnsi="宋体" w:eastAsia="宋体" w:cs="宋体"/>
                <w:sz w:val="18"/>
                <w:szCs w:val="18"/>
              </w:rPr>
              <w:t>关键管理人员</w:t>
            </w:r>
          </w:p>
        </w:tc>
      </w:tr>
      <w:tr w14:paraId="095324C4">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EB09413">
            <w:pPr>
              <w:spacing w:line="240" w:lineRule="exact"/>
              <w:rPr>
                <w:rFonts w:ascii="宋体" w:hAnsi="宋体" w:eastAsia="宋体" w:cs="宋体"/>
                <w:sz w:val="18"/>
                <w:szCs w:val="18"/>
              </w:rPr>
            </w:pPr>
            <w:r>
              <w:rPr>
                <w:rFonts w:ascii="宋体" w:hAnsi="宋体" w:eastAsia="宋体" w:cs="宋体"/>
                <w:sz w:val="18"/>
                <w:szCs w:val="18"/>
              </w:rPr>
              <w:t>西藏好物商业有限公司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572D8BA5">
            <w:pPr>
              <w:spacing w:line="240" w:lineRule="exact"/>
              <w:rPr>
                <w:rFonts w:ascii="宋体" w:hAnsi="宋体" w:eastAsia="宋体" w:cs="宋体"/>
                <w:sz w:val="18"/>
                <w:szCs w:val="18"/>
              </w:rPr>
            </w:pPr>
            <w:r>
              <w:rPr>
                <w:rFonts w:ascii="宋体" w:hAnsi="宋体" w:eastAsia="宋体" w:cs="宋体"/>
                <w:sz w:val="18"/>
                <w:szCs w:val="18"/>
              </w:rPr>
              <w:t>受控制人影响的其他企业</w:t>
            </w:r>
          </w:p>
        </w:tc>
      </w:tr>
    </w:tbl>
    <w:p w14:paraId="55B6354A">
      <w:pPr>
        <w:spacing w:before="100" w:after="100" w:line="240" w:lineRule="exact"/>
        <w:rPr>
          <w:rFonts w:ascii="宋体" w:hAnsi="宋体" w:eastAsia="宋体" w:cs="宋体"/>
          <w:sz w:val="18"/>
          <w:szCs w:val="18"/>
        </w:rPr>
      </w:pPr>
      <w:r>
        <w:rPr>
          <w:rFonts w:ascii="宋体" w:hAnsi="宋体" w:eastAsia="宋体" w:cs="宋体"/>
          <w:sz w:val="18"/>
          <w:szCs w:val="18"/>
        </w:rPr>
        <w:t>其他说明</w:t>
      </w:r>
    </w:p>
    <w:p w14:paraId="4A2739AA">
      <w:pPr>
        <w:pStyle w:val="9"/>
        <w:spacing w:before="0" w:beforeAutospacing="0" w:after="0" w:afterAutospacing="0"/>
        <w:ind w:right="506" w:firstLine="360" w:firstLineChars="200"/>
        <w:jc w:val="both"/>
      </w:pPr>
      <w:r>
        <w:rPr>
          <w:rFonts w:hint="eastAsia"/>
          <w:sz w:val="18"/>
          <w:szCs w:val="18"/>
        </w:rPr>
        <w:t>本公司股东西藏天易隆兴投资有限公司（以下简称“天易隆兴”）和芜湖华融渝展投资中心（有限合伙）（以下简称“芜湖渝展”）于2018年11月签署了《表决权委托协议》，天易隆兴将其持有的本公司全部股份的表决权委托给芜湖渝展。</w:t>
      </w:r>
    </w:p>
    <w:p w14:paraId="5DDC0A2B">
      <w:pPr>
        <w:pStyle w:val="3"/>
        <w:spacing w:after="100" w:line="280" w:lineRule="exact"/>
        <w:jc w:val="left"/>
        <w:rPr>
          <w:rFonts w:ascii="宋体" w:hAnsi="宋体" w:cs="宋体"/>
          <w:b/>
          <w:bCs/>
        </w:rPr>
      </w:pPr>
      <w:bookmarkStart w:id="462" w:name="_Toc989351"/>
      <w:r>
        <w:rPr>
          <w:rFonts w:ascii="宋体" w:hAnsi="宋体" w:cs="宋体"/>
          <w:b/>
          <w:bCs/>
        </w:rPr>
        <w:t>5、关联交易情况</w:t>
      </w:r>
      <w:bookmarkEnd w:id="462"/>
    </w:p>
    <w:p w14:paraId="5D7F0489">
      <w:pPr>
        <w:keepNext/>
        <w:keepLines/>
        <w:spacing w:before="300" w:after="100" w:line="280" w:lineRule="exact"/>
        <w:outlineLvl w:val="3"/>
        <w:rPr>
          <w:rFonts w:ascii="宋体" w:hAnsi="宋体" w:eastAsia="宋体" w:cs="宋体"/>
          <w:b/>
          <w:bCs/>
          <w:szCs w:val="21"/>
        </w:rPr>
      </w:pPr>
      <w:bookmarkStart w:id="463" w:name="_Toc989352"/>
      <w:r>
        <w:rPr>
          <w:rFonts w:ascii="宋体" w:hAnsi="宋体" w:eastAsia="宋体" w:cs="宋体"/>
          <w:b/>
          <w:bCs/>
          <w:szCs w:val="21"/>
        </w:rPr>
        <w:t>（1） 购销商品、提供和接受劳务的关联交易</w:t>
      </w:r>
      <w:bookmarkEnd w:id="463"/>
    </w:p>
    <w:p w14:paraId="6CDDF1B4">
      <w:pPr>
        <w:spacing w:before="40" w:after="100" w:line="240" w:lineRule="exact"/>
        <w:rPr>
          <w:rFonts w:ascii="宋体" w:hAnsi="宋体" w:eastAsia="宋体" w:cs="宋体"/>
          <w:sz w:val="18"/>
          <w:szCs w:val="18"/>
        </w:rPr>
      </w:pPr>
      <w:r>
        <w:rPr>
          <w:rFonts w:ascii="宋体" w:hAnsi="宋体" w:eastAsia="宋体" w:cs="宋体"/>
          <w:sz w:val="18"/>
          <w:szCs w:val="18"/>
        </w:rPr>
        <w:t>采购商品/接受劳务情况表</w:t>
      </w:r>
    </w:p>
    <w:p w14:paraId="198E82D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678129D1">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B3E8D6F">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9C4A38D">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7C35C5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CB9989E">
            <w:pPr>
              <w:spacing w:before="40" w:after="40" w:line="240" w:lineRule="exact"/>
              <w:jc w:val="center"/>
              <w:rPr>
                <w:rFonts w:ascii="宋体" w:hAnsi="宋体" w:eastAsia="宋体" w:cs="宋体"/>
                <w:sz w:val="18"/>
                <w:szCs w:val="18"/>
              </w:rPr>
            </w:pPr>
            <w:r>
              <w:rPr>
                <w:rFonts w:ascii="宋体" w:hAnsi="宋体" w:eastAsia="宋体" w:cs="宋体"/>
                <w:sz w:val="18"/>
                <w:szCs w:val="18"/>
              </w:rPr>
              <w:t>获批的交易额度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20D5A5">
            <w:pPr>
              <w:spacing w:before="40" w:after="40" w:line="240" w:lineRule="exact"/>
              <w:jc w:val="center"/>
              <w:rPr>
                <w:rFonts w:ascii="宋体" w:hAnsi="宋体" w:eastAsia="宋体" w:cs="宋体"/>
                <w:sz w:val="18"/>
                <w:szCs w:val="18"/>
              </w:rPr>
            </w:pPr>
            <w:r>
              <w:rPr>
                <w:rFonts w:ascii="宋体" w:hAnsi="宋体" w:eastAsia="宋体" w:cs="宋体"/>
                <w:sz w:val="18"/>
                <w:szCs w:val="18"/>
              </w:rPr>
              <w:t>是否超过交易额度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1B0D251">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612E2033">
      <w:pPr>
        <w:spacing w:before="100" w:after="40" w:line="240" w:lineRule="exact"/>
        <w:rPr>
          <w:rFonts w:ascii="宋体" w:hAnsi="宋体" w:eastAsia="宋体" w:cs="宋体"/>
          <w:sz w:val="18"/>
          <w:szCs w:val="18"/>
        </w:rPr>
      </w:pPr>
      <w:r>
        <w:rPr>
          <w:rFonts w:ascii="宋体" w:hAnsi="宋体" w:eastAsia="宋体" w:cs="宋体"/>
          <w:sz w:val="18"/>
          <w:szCs w:val="18"/>
        </w:rPr>
        <w:t>出售商品/提供劳务情况表</w:t>
      </w:r>
    </w:p>
    <w:p w14:paraId="4196263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07788B35">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845A03E">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213932">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F9C28BA">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D3413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7F310724">
      <w:pPr>
        <w:spacing w:before="100" w:after="100" w:line="240" w:lineRule="exact"/>
      </w:pPr>
      <w:r>
        <w:rPr>
          <w:rFonts w:ascii="宋体" w:hAnsi="宋体" w:eastAsia="宋体" w:cs="宋体"/>
          <w:sz w:val="18"/>
          <w:szCs w:val="18"/>
        </w:rPr>
        <w:t>购销商品、提供和接受劳务的关联交易说明</w:t>
      </w:r>
    </w:p>
    <w:p w14:paraId="45DB6E50">
      <w:pPr>
        <w:keepNext/>
        <w:keepLines/>
        <w:spacing w:before="300" w:after="100" w:line="280" w:lineRule="exact"/>
        <w:outlineLvl w:val="3"/>
        <w:rPr>
          <w:rFonts w:ascii="宋体" w:hAnsi="宋体" w:eastAsia="宋体" w:cs="宋体"/>
          <w:b/>
          <w:bCs/>
          <w:szCs w:val="21"/>
        </w:rPr>
      </w:pPr>
      <w:bookmarkStart w:id="464" w:name="_Toc989353"/>
      <w:r>
        <w:rPr>
          <w:rFonts w:ascii="宋体" w:hAnsi="宋体" w:eastAsia="宋体" w:cs="宋体"/>
          <w:b/>
          <w:bCs/>
          <w:szCs w:val="21"/>
        </w:rPr>
        <w:t>（2） 关联受托管理/承包及委托管理/出包情况</w:t>
      </w:r>
      <w:bookmarkEnd w:id="464"/>
    </w:p>
    <w:p w14:paraId="0E23D67F">
      <w:pPr>
        <w:spacing w:before="40" w:after="100" w:line="240" w:lineRule="exact"/>
        <w:rPr>
          <w:rFonts w:ascii="宋体" w:hAnsi="宋体" w:eastAsia="宋体" w:cs="宋体"/>
          <w:sz w:val="18"/>
          <w:szCs w:val="18"/>
        </w:rPr>
      </w:pPr>
      <w:r>
        <w:rPr>
          <w:rFonts w:ascii="宋体" w:hAnsi="宋体" w:eastAsia="宋体" w:cs="宋体"/>
          <w:sz w:val="18"/>
          <w:szCs w:val="18"/>
        </w:rPr>
        <w:t>本公司受托管理/承包情况表：</w:t>
      </w:r>
    </w:p>
    <w:p w14:paraId="0FE87B0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5F69DB1">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C4EB3F">
            <w:pPr>
              <w:spacing w:before="40" w:after="40" w:line="240" w:lineRule="exact"/>
              <w:jc w:val="center"/>
              <w:rPr>
                <w:rFonts w:ascii="宋体" w:hAnsi="宋体" w:eastAsia="宋体" w:cs="宋体"/>
                <w:sz w:val="18"/>
                <w:szCs w:val="18"/>
              </w:rPr>
            </w:pPr>
            <w:r>
              <w:rPr>
                <w:rFonts w:ascii="宋体" w:hAnsi="宋体" w:eastAsia="宋体" w:cs="宋体"/>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81CE10">
            <w:pPr>
              <w:spacing w:before="40" w:after="40" w:line="240" w:lineRule="exact"/>
              <w:jc w:val="center"/>
              <w:rPr>
                <w:rFonts w:ascii="宋体" w:hAnsi="宋体" w:eastAsia="宋体" w:cs="宋体"/>
                <w:sz w:val="18"/>
                <w:szCs w:val="18"/>
              </w:rPr>
            </w:pPr>
            <w:r>
              <w:rPr>
                <w:rFonts w:ascii="宋体" w:hAnsi="宋体" w:eastAsia="宋体" w:cs="宋体"/>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CB3786">
            <w:pPr>
              <w:spacing w:before="40" w:after="40" w:line="240" w:lineRule="exact"/>
              <w:jc w:val="center"/>
              <w:rPr>
                <w:rFonts w:ascii="宋体" w:hAnsi="宋体" w:eastAsia="宋体" w:cs="宋体"/>
                <w:sz w:val="18"/>
                <w:szCs w:val="18"/>
              </w:rPr>
            </w:pPr>
            <w:r>
              <w:rPr>
                <w:rFonts w:ascii="宋体" w:hAnsi="宋体" w:eastAsia="宋体" w:cs="宋体"/>
                <w:sz w:val="18"/>
                <w:szCs w:val="18"/>
              </w:rPr>
              <w:t>受托/承包资产类型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1DBEF5">
            <w:pPr>
              <w:spacing w:before="40" w:after="40" w:line="240" w:lineRule="exact"/>
              <w:jc w:val="center"/>
              <w:rPr>
                <w:rFonts w:ascii="宋体" w:hAnsi="宋体" w:eastAsia="宋体" w:cs="宋体"/>
                <w:sz w:val="18"/>
                <w:szCs w:val="18"/>
              </w:rPr>
            </w:pPr>
            <w:r>
              <w:rPr>
                <w:rFonts w:ascii="宋体" w:hAnsi="宋体" w:eastAsia="宋体" w:cs="宋体"/>
                <w:sz w:val="18"/>
                <w:szCs w:val="18"/>
              </w:rPr>
              <w:t>受托/承包起始日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33AE72">
            <w:pPr>
              <w:spacing w:before="40" w:after="40" w:line="240" w:lineRule="exact"/>
              <w:jc w:val="center"/>
              <w:rPr>
                <w:rFonts w:ascii="宋体" w:hAnsi="宋体" w:eastAsia="宋体" w:cs="宋体"/>
                <w:sz w:val="18"/>
                <w:szCs w:val="18"/>
              </w:rPr>
            </w:pPr>
            <w:r>
              <w:rPr>
                <w:rFonts w:ascii="宋体" w:hAnsi="宋体" w:eastAsia="宋体" w:cs="宋体"/>
                <w:sz w:val="18"/>
                <w:szCs w:val="18"/>
              </w:rPr>
              <w:t>受托/承包终止日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B82566">
            <w:pPr>
              <w:spacing w:before="40" w:after="40" w:line="240" w:lineRule="exact"/>
              <w:jc w:val="center"/>
              <w:rPr>
                <w:rFonts w:ascii="宋体" w:hAnsi="宋体" w:eastAsia="宋体" w:cs="宋体"/>
                <w:sz w:val="18"/>
                <w:szCs w:val="18"/>
              </w:rPr>
            </w:pPr>
            <w:r>
              <w:rPr>
                <w:rFonts w:ascii="宋体" w:hAnsi="宋体" w:eastAsia="宋体" w:cs="宋体"/>
                <w:sz w:val="18"/>
                <w:szCs w:val="18"/>
              </w:rPr>
              <w:t>托管收益/承包收益定价依据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E7FC006">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本期确认的托管收益/承包收益</w:t>
            </w:r>
          </w:p>
        </w:tc>
      </w:tr>
    </w:tbl>
    <w:p w14:paraId="30C441E7">
      <w:pPr>
        <w:spacing w:before="100" w:after="100" w:line="240" w:lineRule="exact"/>
      </w:pPr>
      <w:r>
        <w:rPr>
          <w:rFonts w:ascii="宋体" w:hAnsi="宋体" w:eastAsia="宋体" w:cs="宋体"/>
          <w:sz w:val="18"/>
          <w:szCs w:val="18"/>
        </w:rPr>
        <w:t>关联托管/承包情况说明</w:t>
      </w:r>
    </w:p>
    <w:p w14:paraId="40731DE2">
      <w:pPr>
        <w:spacing w:before="100" w:after="100" w:line="240" w:lineRule="exact"/>
        <w:rPr>
          <w:rFonts w:ascii="宋体" w:hAnsi="宋体" w:eastAsia="宋体" w:cs="宋体"/>
          <w:sz w:val="18"/>
          <w:szCs w:val="18"/>
        </w:rPr>
      </w:pPr>
      <w:r>
        <w:rPr>
          <w:rFonts w:ascii="宋体" w:hAnsi="宋体" w:eastAsia="宋体" w:cs="宋体"/>
          <w:sz w:val="18"/>
          <w:szCs w:val="18"/>
        </w:rPr>
        <w:t>本公司委托管理/出包情况表：</w:t>
      </w:r>
    </w:p>
    <w:p w14:paraId="1B4E4C1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02E1DC3">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CA7BF4">
            <w:pPr>
              <w:spacing w:before="40" w:after="40" w:line="240" w:lineRule="exact"/>
              <w:jc w:val="center"/>
              <w:rPr>
                <w:rFonts w:ascii="宋体" w:hAnsi="宋体" w:eastAsia="宋体" w:cs="宋体"/>
                <w:sz w:val="18"/>
                <w:szCs w:val="18"/>
              </w:rPr>
            </w:pPr>
            <w:r>
              <w:rPr>
                <w:rFonts w:ascii="宋体" w:hAnsi="宋体" w:eastAsia="宋体" w:cs="宋体"/>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0218CE">
            <w:pPr>
              <w:spacing w:before="40" w:after="40" w:line="240" w:lineRule="exact"/>
              <w:jc w:val="center"/>
              <w:rPr>
                <w:rFonts w:ascii="宋体" w:hAnsi="宋体" w:eastAsia="宋体" w:cs="宋体"/>
                <w:sz w:val="18"/>
                <w:szCs w:val="18"/>
              </w:rPr>
            </w:pPr>
            <w:r>
              <w:rPr>
                <w:rFonts w:ascii="宋体" w:hAnsi="宋体" w:eastAsia="宋体" w:cs="宋体"/>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F7E7685">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95A46E">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D2012E">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8406DE">
            <w:pPr>
              <w:spacing w:before="40" w:after="40" w:line="240" w:lineRule="exact"/>
              <w:jc w:val="center"/>
              <w:rPr>
                <w:rFonts w:ascii="宋体" w:hAnsi="宋体" w:eastAsia="宋体" w:cs="宋体"/>
                <w:sz w:val="18"/>
                <w:szCs w:val="18"/>
              </w:rPr>
            </w:pPr>
            <w:r>
              <w:rPr>
                <w:rFonts w:ascii="宋体" w:hAnsi="宋体" w:eastAsia="宋体" w:cs="宋体"/>
                <w:sz w:val="18"/>
                <w:szCs w:val="18"/>
              </w:rPr>
              <w:t>托管费/出包费定价依据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086596">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本期确认的托管费/出包费</w:t>
            </w:r>
          </w:p>
        </w:tc>
      </w:tr>
    </w:tbl>
    <w:p w14:paraId="1EC81A09">
      <w:pPr>
        <w:spacing w:before="100" w:after="100" w:line="240" w:lineRule="exact"/>
      </w:pPr>
      <w:r>
        <w:rPr>
          <w:rFonts w:ascii="宋体" w:hAnsi="宋体" w:eastAsia="宋体" w:cs="宋体"/>
          <w:sz w:val="18"/>
          <w:szCs w:val="18"/>
        </w:rPr>
        <w:t>关联管理/出包情况说明</w:t>
      </w:r>
    </w:p>
    <w:p w14:paraId="4DC158A0">
      <w:pPr>
        <w:keepNext/>
        <w:keepLines/>
        <w:spacing w:before="300" w:after="100" w:line="280" w:lineRule="exact"/>
        <w:outlineLvl w:val="3"/>
        <w:rPr>
          <w:rFonts w:ascii="宋体" w:hAnsi="宋体" w:eastAsia="宋体" w:cs="宋体"/>
          <w:b/>
          <w:bCs/>
          <w:szCs w:val="21"/>
        </w:rPr>
      </w:pPr>
      <w:bookmarkStart w:id="465" w:name="_Toc989354"/>
      <w:r>
        <w:rPr>
          <w:rFonts w:ascii="宋体" w:hAnsi="宋体" w:eastAsia="宋体" w:cs="宋体"/>
          <w:b/>
          <w:bCs/>
          <w:szCs w:val="21"/>
        </w:rPr>
        <w:t>（3） 关联租赁情况</w:t>
      </w:r>
      <w:bookmarkEnd w:id="465"/>
    </w:p>
    <w:p w14:paraId="0D71CBC9">
      <w:pPr>
        <w:spacing w:before="40" w:after="100" w:line="240" w:lineRule="exact"/>
        <w:rPr>
          <w:rFonts w:ascii="宋体" w:hAnsi="宋体" w:eastAsia="宋体" w:cs="宋体"/>
          <w:sz w:val="18"/>
          <w:szCs w:val="18"/>
        </w:rPr>
      </w:pPr>
      <w:r>
        <w:rPr>
          <w:rFonts w:ascii="宋体" w:hAnsi="宋体" w:eastAsia="宋体" w:cs="宋体"/>
          <w:sz w:val="18"/>
          <w:szCs w:val="18"/>
        </w:rPr>
        <w:t>本公司作为出租方：</w:t>
      </w:r>
    </w:p>
    <w:p w14:paraId="61A392B1">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0A591A16">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3F84BD">
            <w:pPr>
              <w:spacing w:before="40" w:after="40" w:line="240" w:lineRule="exact"/>
              <w:jc w:val="center"/>
              <w:rPr>
                <w:rFonts w:ascii="宋体" w:hAnsi="宋体" w:eastAsia="宋体" w:cs="宋体"/>
                <w:sz w:val="18"/>
                <w:szCs w:val="18"/>
              </w:rPr>
            </w:pPr>
            <w:r>
              <w:rPr>
                <w:rFonts w:ascii="宋体" w:hAnsi="宋体" w:eastAsia="宋体" w:cs="宋体"/>
                <w:sz w:val="18"/>
                <w:szCs w:val="18"/>
              </w:rPr>
              <w:t>承租方名称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D42AD7">
            <w:pPr>
              <w:spacing w:before="40" w:after="40" w:line="240" w:lineRule="exact"/>
              <w:jc w:val="center"/>
              <w:rPr>
                <w:rFonts w:ascii="宋体" w:hAnsi="宋体" w:eastAsia="宋体" w:cs="宋体"/>
                <w:sz w:val="18"/>
                <w:szCs w:val="18"/>
              </w:rPr>
            </w:pPr>
            <w:r>
              <w:rPr>
                <w:rFonts w:ascii="宋体" w:hAnsi="宋体" w:eastAsia="宋体" w:cs="宋体"/>
                <w:sz w:val="18"/>
                <w:szCs w:val="18"/>
              </w:rPr>
              <w:t>租赁资产种类</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7C4E54">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本期确认的租赁收入</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7D5A649">
            <w:pPr>
              <w:spacing w:before="40" w:after="40" w:line="240" w:lineRule="exact"/>
              <w:jc w:val="center"/>
              <w:rPr>
                <w:rFonts w:ascii="宋体" w:hAnsi="宋体" w:eastAsia="宋体" w:cs="宋体"/>
                <w:sz w:val="18"/>
                <w:szCs w:val="18"/>
              </w:rPr>
            </w:pPr>
            <w:r>
              <w:rPr>
                <w:rFonts w:ascii="宋体" w:hAnsi="宋体" w:eastAsia="宋体" w:cs="宋体"/>
                <w:sz w:val="18"/>
                <w:szCs w:val="18"/>
              </w:rPr>
              <w:t>上期确认的租赁收入</w:t>
            </w:r>
          </w:p>
        </w:tc>
      </w:tr>
    </w:tbl>
    <w:p w14:paraId="174A701F">
      <w:pPr>
        <w:spacing w:before="100" w:after="40" w:line="240" w:lineRule="exact"/>
        <w:rPr>
          <w:rFonts w:ascii="宋体" w:hAnsi="宋体" w:eastAsia="宋体" w:cs="宋体"/>
          <w:sz w:val="18"/>
          <w:szCs w:val="18"/>
        </w:rPr>
      </w:pPr>
      <w:r>
        <w:rPr>
          <w:rFonts w:ascii="宋体" w:hAnsi="宋体" w:eastAsia="宋体" w:cs="宋体"/>
          <w:sz w:val="18"/>
          <w:szCs w:val="18"/>
        </w:rPr>
        <w:t>本公司作为承租方：</w:t>
      </w:r>
    </w:p>
    <w:p w14:paraId="1DBC1C9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04"/>
        <w:gridCol w:w="804"/>
        <w:gridCol w:w="804"/>
        <w:gridCol w:w="803"/>
        <w:gridCol w:w="803"/>
        <w:gridCol w:w="803"/>
        <w:gridCol w:w="803"/>
        <w:gridCol w:w="803"/>
        <w:gridCol w:w="803"/>
        <w:gridCol w:w="803"/>
        <w:gridCol w:w="803"/>
        <w:gridCol w:w="803"/>
      </w:tblGrid>
      <w:tr w14:paraId="6D8A9BB6">
        <w:trPr>
          <w:trHeight w:val="240" w:hRule="atLeast"/>
        </w:trPr>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A1CA0F">
            <w:pPr>
              <w:spacing w:before="40" w:after="40" w:line="240" w:lineRule="exact"/>
              <w:jc w:val="center"/>
              <w:rPr>
                <w:rFonts w:ascii="宋体" w:hAnsi="宋体" w:eastAsia="宋体" w:cs="宋体"/>
                <w:sz w:val="18"/>
                <w:szCs w:val="18"/>
              </w:rPr>
            </w:pPr>
            <w:r>
              <w:rPr>
                <w:rFonts w:ascii="宋体" w:hAnsi="宋体" w:eastAsia="宋体" w:cs="宋体"/>
                <w:sz w:val="18"/>
                <w:szCs w:val="18"/>
              </w:rPr>
              <w:t>出租方名称</w:t>
            </w:r>
          </w:p>
        </w:tc>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D18F4B">
            <w:pPr>
              <w:spacing w:before="40" w:after="40" w:line="240" w:lineRule="exact"/>
              <w:jc w:val="center"/>
              <w:rPr>
                <w:rFonts w:ascii="宋体" w:hAnsi="宋体" w:eastAsia="宋体" w:cs="宋体"/>
                <w:sz w:val="18"/>
                <w:szCs w:val="18"/>
              </w:rPr>
            </w:pPr>
            <w:r>
              <w:rPr>
                <w:rFonts w:ascii="宋体" w:hAnsi="宋体" w:eastAsia="宋体" w:cs="宋体"/>
                <w:sz w:val="18"/>
                <w:szCs w:val="18"/>
              </w:rPr>
              <w:t>租赁资产种类</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B731506">
            <w:pPr>
              <w:spacing w:before="40" w:after="40" w:line="240" w:lineRule="exact"/>
              <w:jc w:val="center"/>
              <w:rPr>
                <w:rFonts w:ascii="宋体" w:hAnsi="宋体" w:eastAsia="宋体" w:cs="宋体"/>
                <w:sz w:val="18"/>
                <w:szCs w:val="18"/>
              </w:rPr>
            </w:pPr>
            <w:r>
              <w:rPr>
                <w:rFonts w:ascii="宋体" w:hAnsi="宋体" w:eastAsia="宋体" w:cs="宋体"/>
                <w:sz w:val="18"/>
                <w:szCs w:val="18"/>
              </w:rPr>
              <w:t>简化处理的短期租赁和低价值资产租赁的租金费用（如适用）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8FA6CC9">
            <w:pPr>
              <w:spacing w:before="40" w:after="40" w:line="240" w:lineRule="exact"/>
              <w:jc w:val="center"/>
              <w:rPr>
                <w:rFonts w:ascii="宋体" w:hAnsi="宋体" w:eastAsia="宋体" w:cs="宋体"/>
                <w:sz w:val="18"/>
                <w:szCs w:val="18"/>
              </w:rPr>
            </w:pPr>
            <w:r>
              <w:rPr>
                <w:rFonts w:ascii="宋体" w:hAnsi="宋体" w:eastAsia="宋体" w:cs="宋体"/>
                <w:sz w:val="18"/>
                <w:szCs w:val="18"/>
              </w:rPr>
              <w:t>未纳入租赁负债计量的可变租赁付款额（如适用）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A2C1A2F">
            <w:pPr>
              <w:spacing w:before="40" w:after="40" w:line="240" w:lineRule="exact"/>
              <w:jc w:val="center"/>
              <w:rPr>
                <w:rFonts w:ascii="宋体" w:hAnsi="宋体" w:eastAsia="宋体" w:cs="宋体"/>
                <w:sz w:val="18"/>
                <w:szCs w:val="18"/>
              </w:rPr>
            </w:pPr>
            <w:r>
              <w:rPr>
                <w:rFonts w:ascii="宋体" w:hAnsi="宋体" w:eastAsia="宋体" w:cs="宋体"/>
                <w:sz w:val="18"/>
                <w:szCs w:val="18"/>
              </w:rPr>
              <w:t>支付的租金</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8F55BA2">
            <w:pPr>
              <w:spacing w:before="40" w:after="40" w:line="240" w:lineRule="exact"/>
              <w:jc w:val="center"/>
              <w:rPr>
                <w:rFonts w:ascii="宋体" w:hAnsi="宋体" w:eastAsia="宋体" w:cs="宋体"/>
                <w:sz w:val="18"/>
                <w:szCs w:val="18"/>
              </w:rPr>
            </w:pPr>
            <w:r>
              <w:rPr>
                <w:rFonts w:ascii="宋体" w:hAnsi="宋体" w:eastAsia="宋体" w:cs="宋体"/>
                <w:sz w:val="18"/>
                <w:szCs w:val="18"/>
              </w:rPr>
              <w:t>承担的租赁负债利息支出</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7C93889">
            <w:pPr>
              <w:spacing w:before="40" w:after="40" w:line="240" w:lineRule="exact"/>
              <w:jc w:val="center"/>
              <w:rPr>
                <w:rFonts w:ascii="宋体" w:hAnsi="宋体" w:eastAsia="宋体" w:cs="宋体"/>
                <w:sz w:val="18"/>
                <w:szCs w:val="18"/>
              </w:rPr>
            </w:pPr>
            <w:r>
              <w:rPr>
                <w:rFonts w:ascii="宋体" w:hAnsi="宋体" w:eastAsia="宋体" w:cs="宋体"/>
                <w:sz w:val="18"/>
                <w:szCs w:val="18"/>
              </w:rPr>
              <w:t>增加的使用权资产</w:t>
            </w:r>
          </w:p>
        </w:tc>
      </w:tr>
      <w:tr w14:paraId="5D0B9159">
        <w:trPr>
          <w:trHeight w:val="240" w:hRule="atLeast"/>
        </w:trPr>
        <w:tc>
          <w:tcPr>
            <w:tcW w:w="803" w:type="dxa"/>
            <w:vMerge w:val="continue"/>
            <w:tcBorders>
              <w:top w:val="single" w:color="auto" w:sz="2" w:space="0"/>
              <w:left w:val="single" w:color="auto" w:sz="2" w:space="0"/>
              <w:bottom w:val="single" w:color="auto" w:sz="2" w:space="0"/>
              <w:right w:val="single" w:color="auto" w:sz="2" w:space="0"/>
            </w:tcBorders>
            <w:vAlign w:val="center"/>
          </w:tcPr>
          <w:p w14:paraId="79847AF1"/>
        </w:tc>
        <w:tc>
          <w:tcPr>
            <w:tcW w:w="803" w:type="dxa"/>
            <w:vMerge w:val="continue"/>
            <w:tcBorders>
              <w:top w:val="single" w:color="auto" w:sz="2" w:space="0"/>
              <w:left w:val="single" w:color="auto" w:sz="2" w:space="0"/>
              <w:bottom w:val="single" w:color="auto" w:sz="2" w:space="0"/>
              <w:right w:val="single" w:color="auto" w:sz="2" w:space="0"/>
            </w:tcBorders>
            <w:vAlign w:val="center"/>
          </w:tcPr>
          <w:p w14:paraId="6A6D6A0E"/>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28A9AB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A5D3898">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550CCDB">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7CFA96E">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4A39975">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5342F5B2">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AD87F7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6E9F9F5F">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7CB1EBDB">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50B2239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25476858">
      <w:pPr>
        <w:spacing w:before="100" w:after="100" w:line="240" w:lineRule="exact"/>
      </w:pPr>
      <w:r>
        <w:rPr>
          <w:rFonts w:ascii="宋体" w:hAnsi="宋体" w:eastAsia="宋体" w:cs="宋体"/>
          <w:sz w:val="18"/>
          <w:szCs w:val="18"/>
        </w:rPr>
        <w:t>关联租赁情况说明</w:t>
      </w:r>
    </w:p>
    <w:p w14:paraId="6A04D228">
      <w:pPr>
        <w:keepNext/>
        <w:keepLines/>
        <w:spacing w:before="300" w:after="100" w:line="280" w:lineRule="exact"/>
        <w:outlineLvl w:val="3"/>
        <w:rPr>
          <w:rFonts w:ascii="宋体" w:hAnsi="宋体" w:eastAsia="宋体" w:cs="宋体"/>
          <w:b/>
          <w:bCs/>
          <w:szCs w:val="21"/>
        </w:rPr>
      </w:pPr>
      <w:bookmarkStart w:id="466" w:name="_Toc989355"/>
      <w:r>
        <w:rPr>
          <w:rFonts w:ascii="宋体" w:hAnsi="宋体" w:eastAsia="宋体" w:cs="宋体"/>
          <w:b/>
          <w:bCs/>
          <w:szCs w:val="21"/>
        </w:rPr>
        <w:t>（4） 关联担保情况</w:t>
      </w:r>
      <w:bookmarkEnd w:id="466"/>
    </w:p>
    <w:p w14:paraId="55FF255E">
      <w:pPr>
        <w:spacing w:before="40" w:after="100" w:line="240" w:lineRule="exact"/>
        <w:rPr>
          <w:rFonts w:ascii="宋体" w:hAnsi="宋体" w:eastAsia="宋体" w:cs="宋体"/>
          <w:sz w:val="18"/>
          <w:szCs w:val="18"/>
        </w:rPr>
      </w:pPr>
      <w:r>
        <w:rPr>
          <w:rFonts w:ascii="宋体" w:hAnsi="宋体" w:eastAsia="宋体" w:cs="宋体"/>
          <w:sz w:val="18"/>
          <w:szCs w:val="18"/>
        </w:rPr>
        <w:t>本公司作为担保方</w:t>
      </w:r>
    </w:p>
    <w:p w14:paraId="38496303">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46C551F">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683816">
            <w:pPr>
              <w:spacing w:before="40" w:after="40" w:line="240" w:lineRule="exact"/>
              <w:jc w:val="center"/>
              <w:rPr>
                <w:rFonts w:ascii="宋体" w:hAnsi="宋体" w:eastAsia="宋体" w:cs="宋体"/>
                <w:sz w:val="18"/>
                <w:szCs w:val="18"/>
              </w:rPr>
            </w:pPr>
            <w:r>
              <w:rPr>
                <w:rFonts w:ascii="宋体" w:hAnsi="宋体" w:eastAsia="宋体" w:cs="宋体"/>
                <w:sz w:val="18"/>
                <w:szCs w:val="18"/>
              </w:rPr>
              <w:t>被担保方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3CA791">
            <w:pPr>
              <w:spacing w:before="40" w:after="40" w:line="240" w:lineRule="exact"/>
              <w:jc w:val="center"/>
              <w:rPr>
                <w:rFonts w:ascii="宋体" w:hAnsi="宋体" w:eastAsia="宋体" w:cs="宋体"/>
                <w:sz w:val="18"/>
                <w:szCs w:val="18"/>
              </w:rPr>
            </w:pPr>
            <w:r>
              <w:rPr>
                <w:rFonts w:ascii="宋体" w:hAnsi="宋体" w:eastAsia="宋体" w:cs="宋体"/>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F53E04">
            <w:pPr>
              <w:spacing w:before="40" w:after="40" w:line="240" w:lineRule="exact"/>
              <w:jc w:val="center"/>
              <w:rPr>
                <w:rFonts w:ascii="宋体" w:hAnsi="宋体" w:eastAsia="宋体" w:cs="宋体"/>
                <w:sz w:val="18"/>
                <w:szCs w:val="18"/>
              </w:rPr>
            </w:pPr>
            <w:r>
              <w:rPr>
                <w:rFonts w:ascii="宋体" w:hAnsi="宋体" w:eastAsia="宋体" w:cs="宋体"/>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58FF37">
            <w:pPr>
              <w:spacing w:before="40" w:after="40" w:line="240" w:lineRule="exact"/>
              <w:jc w:val="center"/>
              <w:rPr>
                <w:rFonts w:ascii="宋体" w:hAnsi="宋体" w:eastAsia="宋体" w:cs="宋体"/>
                <w:sz w:val="18"/>
                <w:szCs w:val="18"/>
              </w:rPr>
            </w:pPr>
            <w:r>
              <w:rPr>
                <w:rFonts w:ascii="宋体" w:hAnsi="宋体" w:eastAsia="宋体" w:cs="宋体"/>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4399B4">
            <w:pPr>
              <w:spacing w:before="40" w:after="40" w:line="240" w:lineRule="exact"/>
              <w:jc w:val="center"/>
              <w:rPr>
                <w:rFonts w:ascii="宋体" w:hAnsi="宋体" w:eastAsia="宋体" w:cs="宋体"/>
                <w:sz w:val="18"/>
                <w:szCs w:val="18"/>
              </w:rPr>
            </w:pPr>
            <w:r>
              <w:rPr>
                <w:rFonts w:ascii="宋体" w:hAnsi="宋体" w:eastAsia="宋体" w:cs="宋体"/>
                <w:sz w:val="18"/>
                <w:szCs w:val="18"/>
              </w:rPr>
              <w:t>担保是否已经履行完毕</w:t>
            </w:r>
          </w:p>
        </w:tc>
      </w:tr>
    </w:tbl>
    <w:p w14:paraId="0B0A7216">
      <w:pPr>
        <w:spacing w:before="100" w:after="40" w:line="240" w:lineRule="exact"/>
        <w:rPr>
          <w:rFonts w:ascii="宋体" w:hAnsi="宋体" w:eastAsia="宋体" w:cs="宋体"/>
          <w:sz w:val="18"/>
          <w:szCs w:val="18"/>
        </w:rPr>
      </w:pPr>
      <w:r>
        <w:rPr>
          <w:rFonts w:ascii="宋体" w:hAnsi="宋体" w:eastAsia="宋体" w:cs="宋体"/>
          <w:sz w:val="18"/>
          <w:szCs w:val="18"/>
        </w:rPr>
        <w:t>本公司作为被担保方</w:t>
      </w:r>
    </w:p>
    <w:p w14:paraId="2AC77815">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B24331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56790C">
            <w:pPr>
              <w:spacing w:before="40" w:after="40" w:line="240" w:lineRule="exact"/>
              <w:jc w:val="center"/>
              <w:rPr>
                <w:rFonts w:ascii="宋体" w:hAnsi="宋体" w:eastAsia="宋体" w:cs="宋体"/>
                <w:sz w:val="18"/>
                <w:szCs w:val="18"/>
              </w:rPr>
            </w:pPr>
            <w:r>
              <w:rPr>
                <w:rFonts w:ascii="宋体" w:hAnsi="宋体" w:eastAsia="宋体" w:cs="宋体"/>
                <w:sz w:val="18"/>
                <w:szCs w:val="18"/>
              </w:rPr>
              <w:t>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6E9CC6">
            <w:pPr>
              <w:spacing w:before="40" w:after="40" w:line="240" w:lineRule="exact"/>
              <w:jc w:val="center"/>
              <w:rPr>
                <w:rFonts w:ascii="宋体" w:hAnsi="宋体" w:eastAsia="宋体" w:cs="宋体"/>
                <w:sz w:val="18"/>
                <w:szCs w:val="18"/>
              </w:rPr>
            </w:pPr>
            <w:r>
              <w:rPr>
                <w:rFonts w:ascii="宋体" w:hAnsi="宋体" w:eastAsia="宋体" w:cs="宋体"/>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81227D">
            <w:pPr>
              <w:spacing w:before="40" w:after="40" w:line="240" w:lineRule="exact"/>
              <w:jc w:val="center"/>
              <w:rPr>
                <w:rFonts w:ascii="宋体" w:hAnsi="宋体" w:eastAsia="宋体" w:cs="宋体"/>
                <w:sz w:val="18"/>
                <w:szCs w:val="18"/>
              </w:rPr>
            </w:pPr>
            <w:r>
              <w:rPr>
                <w:rFonts w:ascii="宋体" w:hAnsi="宋体" w:eastAsia="宋体" w:cs="宋体"/>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14BEA0">
            <w:pPr>
              <w:spacing w:before="40" w:after="40" w:line="240" w:lineRule="exact"/>
              <w:jc w:val="center"/>
              <w:rPr>
                <w:rFonts w:ascii="宋体" w:hAnsi="宋体" w:eastAsia="宋体" w:cs="宋体"/>
                <w:sz w:val="18"/>
                <w:szCs w:val="18"/>
              </w:rPr>
            </w:pPr>
            <w:r>
              <w:rPr>
                <w:rFonts w:ascii="宋体" w:hAnsi="宋体" w:eastAsia="宋体" w:cs="宋体"/>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E1AFDB">
            <w:pPr>
              <w:spacing w:before="40" w:after="40" w:line="240" w:lineRule="exact"/>
              <w:jc w:val="center"/>
              <w:rPr>
                <w:rFonts w:ascii="宋体" w:hAnsi="宋体" w:eastAsia="宋体" w:cs="宋体"/>
                <w:sz w:val="18"/>
                <w:szCs w:val="18"/>
              </w:rPr>
            </w:pPr>
            <w:r>
              <w:rPr>
                <w:rFonts w:ascii="宋体" w:hAnsi="宋体" w:eastAsia="宋体" w:cs="宋体"/>
                <w:sz w:val="18"/>
                <w:szCs w:val="18"/>
              </w:rPr>
              <w:t>担保是否已经履行完毕</w:t>
            </w:r>
          </w:p>
        </w:tc>
      </w:tr>
      <w:tr w14:paraId="478439DB">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6C8A1E5">
            <w:pPr>
              <w:spacing w:line="240" w:lineRule="exact"/>
              <w:rPr>
                <w:rFonts w:ascii="宋体" w:hAnsi="宋体" w:eastAsia="宋体" w:cs="宋体"/>
                <w:sz w:val="18"/>
                <w:szCs w:val="18"/>
              </w:rPr>
            </w:pPr>
            <w:r>
              <w:rPr>
                <w:rFonts w:ascii="宋体" w:hAnsi="宋体" w:eastAsia="宋体" w:cs="宋体"/>
                <w:sz w:val="18"/>
                <w:szCs w:val="18"/>
              </w:rPr>
              <w:t>西藏天易隆兴投资有限公司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59F78BEE">
            <w:pPr>
              <w:spacing w:line="240" w:lineRule="exact"/>
              <w:jc w:val="right"/>
              <w:rPr>
                <w:rFonts w:ascii="宋体" w:hAnsi="宋体" w:eastAsia="宋体" w:cs="宋体"/>
                <w:sz w:val="18"/>
                <w:szCs w:val="18"/>
              </w:rPr>
            </w:pPr>
            <w:r>
              <w:rPr>
                <w:rFonts w:ascii="宋体" w:hAnsi="宋体" w:eastAsia="宋体" w:cs="宋体"/>
                <w:sz w:val="18"/>
                <w:szCs w:val="18"/>
              </w:rPr>
              <w:t>15,000.00</w:t>
            </w:r>
          </w:p>
        </w:tc>
        <w:tc>
          <w:tcPr>
            <w:tcW w:w="1928" w:type="dxa"/>
            <w:tcBorders>
              <w:top w:val="single" w:color="auto" w:sz="2" w:space="0"/>
              <w:left w:val="single" w:color="auto" w:sz="2" w:space="0"/>
              <w:bottom w:val="single" w:color="auto" w:sz="2" w:space="0"/>
              <w:right w:val="single" w:color="auto" w:sz="2" w:space="0"/>
            </w:tcBorders>
            <w:vAlign w:val="center"/>
          </w:tcPr>
          <w:p w14:paraId="08C01D14">
            <w:pPr>
              <w:spacing w:line="240" w:lineRule="exact"/>
              <w:rPr>
                <w:rFonts w:ascii="宋体" w:hAnsi="宋体" w:eastAsia="宋体" w:cs="宋体"/>
                <w:sz w:val="18"/>
                <w:szCs w:val="18"/>
              </w:rPr>
            </w:pPr>
            <w:r>
              <w:rPr>
                <w:rFonts w:ascii="宋体" w:hAnsi="宋体" w:eastAsia="宋体" w:cs="宋体"/>
                <w:sz w:val="18"/>
                <w:szCs w:val="18"/>
              </w:rPr>
              <w:t>2018年02月11日</w:t>
            </w:r>
          </w:p>
        </w:tc>
        <w:tc>
          <w:tcPr>
            <w:tcW w:w="1928" w:type="dxa"/>
            <w:tcBorders>
              <w:top w:val="single" w:color="auto" w:sz="2" w:space="0"/>
              <w:left w:val="single" w:color="auto" w:sz="2" w:space="0"/>
              <w:bottom w:val="single" w:color="auto" w:sz="2" w:space="0"/>
              <w:right w:val="single" w:color="auto" w:sz="2" w:space="0"/>
            </w:tcBorders>
            <w:vAlign w:val="center"/>
          </w:tcPr>
          <w:p w14:paraId="4D284628">
            <w:pPr>
              <w:spacing w:line="240" w:lineRule="exact"/>
              <w:rPr>
                <w:rFonts w:ascii="宋体" w:hAnsi="宋体" w:eastAsia="宋体" w:cs="宋体"/>
                <w:sz w:val="18"/>
                <w:szCs w:val="18"/>
              </w:rPr>
            </w:pPr>
            <w:r>
              <w:rPr>
                <w:rFonts w:ascii="宋体" w:hAnsi="宋体" w:eastAsia="宋体" w:cs="宋体"/>
                <w:sz w:val="18"/>
                <w:szCs w:val="18"/>
              </w:rPr>
              <w:t>2018年05月10日</w:t>
            </w:r>
          </w:p>
        </w:tc>
        <w:tc>
          <w:tcPr>
            <w:tcW w:w="1928" w:type="dxa"/>
            <w:tcBorders>
              <w:top w:val="single" w:color="auto" w:sz="2" w:space="0"/>
              <w:left w:val="single" w:color="auto" w:sz="2" w:space="0"/>
              <w:bottom w:val="single" w:color="auto" w:sz="2" w:space="0"/>
              <w:right w:val="single" w:color="auto" w:sz="2" w:space="0"/>
            </w:tcBorders>
            <w:vAlign w:val="center"/>
          </w:tcPr>
          <w:p w14:paraId="1D1847B9">
            <w:pPr>
              <w:spacing w:line="240" w:lineRule="exact"/>
              <w:rPr>
                <w:rFonts w:ascii="宋体" w:hAnsi="宋体" w:eastAsia="宋体" w:cs="宋体"/>
                <w:sz w:val="18"/>
                <w:szCs w:val="18"/>
              </w:rPr>
            </w:pPr>
            <w:r>
              <w:rPr>
                <w:rFonts w:ascii="宋体" w:hAnsi="宋体" w:eastAsia="宋体" w:cs="宋体"/>
                <w:sz w:val="18"/>
                <w:szCs w:val="18"/>
              </w:rPr>
              <w:t>否</w:t>
            </w:r>
          </w:p>
        </w:tc>
      </w:tr>
      <w:tr w14:paraId="683F7B33">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6AC627F">
            <w:pPr>
              <w:spacing w:line="240" w:lineRule="exact"/>
              <w:rPr>
                <w:rFonts w:ascii="宋体" w:hAnsi="宋体" w:eastAsia="宋体" w:cs="宋体"/>
                <w:sz w:val="18"/>
                <w:szCs w:val="18"/>
              </w:rPr>
            </w:pPr>
            <w:r>
              <w:rPr>
                <w:rFonts w:ascii="宋体" w:hAnsi="宋体" w:eastAsia="宋体" w:cs="宋体"/>
                <w:sz w:val="18"/>
                <w:szCs w:val="18"/>
              </w:rPr>
              <w:t>西藏天易隆兴投资有限公司、北京合光人工智能机器人技术有限公司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0E4B771C">
            <w:pPr>
              <w:spacing w:line="240" w:lineRule="exact"/>
              <w:jc w:val="right"/>
              <w:rPr>
                <w:rFonts w:ascii="宋体" w:hAnsi="宋体" w:eastAsia="宋体" w:cs="宋体"/>
                <w:sz w:val="18"/>
                <w:szCs w:val="18"/>
              </w:rPr>
            </w:pPr>
            <w:r>
              <w:rPr>
                <w:rFonts w:ascii="宋体" w:hAnsi="宋体" w:eastAsia="宋体" w:cs="宋体"/>
                <w:sz w:val="18"/>
                <w:szCs w:val="18"/>
              </w:rPr>
              <w:t>8,000.00</w:t>
            </w:r>
          </w:p>
        </w:tc>
        <w:tc>
          <w:tcPr>
            <w:tcW w:w="1928" w:type="dxa"/>
            <w:tcBorders>
              <w:top w:val="single" w:color="auto" w:sz="2" w:space="0"/>
              <w:left w:val="single" w:color="auto" w:sz="2" w:space="0"/>
              <w:bottom w:val="single" w:color="auto" w:sz="2" w:space="0"/>
              <w:right w:val="single" w:color="auto" w:sz="2" w:space="0"/>
            </w:tcBorders>
            <w:vAlign w:val="center"/>
          </w:tcPr>
          <w:p w14:paraId="00251FE7">
            <w:pPr>
              <w:spacing w:line="240" w:lineRule="exact"/>
              <w:rPr>
                <w:rFonts w:ascii="宋体" w:hAnsi="宋体" w:eastAsia="宋体" w:cs="宋体"/>
                <w:sz w:val="18"/>
                <w:szCs w:val="18"/>
              </w:rPr>
            </w:pPr>
            <w:r>
              <w:rPr>
                <w:rFonts w:ascii="宋体" w:hAnsi="宋体" w:eastAsia="宋体" w:cs="宋体"/>
                <w:sz w:val="18"/>
                <w:szCs w:val="18"/>
              </w:rPr>
              <w:t>2018年06月05日</w:t>
            </w:r>
          </w:p>
        </w:tc>
        <w:tc>
          <w:tcPr>
            <w:tcW w:w="1928" w:type="dxa"/>
            <w:tcBorders>
              <w:top w:val="single" w:color="auto" w:sz="2" w:space="0"/>
              <w:left w:val="single" w:color="auto" w:sz="2" w:space="0"/>
              <w:bottom w:val="single" w:color="auto" w:sz="2" w:space="0"/>
              <w:right w:val="single" w:color="auto" w:sz="2" w:space="0"/>
            </w:tcBorders>
            <w:vAlign w:val="center"/>
          </w:tcPr>
          <w:p w14:paraId="2B459345">
            <w:pPr>
              <w:spacing w:line="240" w:lineRule="exact"/>
              <w:rPr>
                <w:rFonts w:ascii="宋体" w:hAnsi="宋体" w:eastAsia="宋体" w:cs="宋体"/>
                <w:sz w:val="18"/>
                <w:szCs w:val="18"/>
              </w:rPr>
            </w:pPr>
            <w:r>
              <w:rPr>
                <w:rFonts w:ascii="宋体" w:hAnsi="宋体" w:eastAsia="宋体" w:cs="宋体"/>
                <w:sz w:val="18"/>
                <w:szCs w:val="18"/>
              </w:rPr>
              <w:t>2018年09月05日</w:t>
            </w:r>
          </w:p>
        </w:tc>
        <w:tc>
          <w:tcPr>
            <w:tcW w:w="1928" w:type="dxa"/>
            <w:tcBorders>
              <w:top w:val="single" w:color="auto" w:sz="2" w:space="0"/>
              <w:left w:val="single" w:color="auto" w:sz="2" w:space="0"/>
              <w:bottom w:val="single" w:color="auto" w:sz="2" w:space="0"/>
              <w:right w:val="single" w:color="auto" w:sz="2" w:space="0"/>
            </w:tcBorders>
            <w:vAlign w:val="center"/>
          </w:tcPr>
          <w:p w14:paraId="272F9A4E">
            <w:pPr>
              <w:spacing w:line="240" w:lineRule="exact"/>
              <w:rPr>
                <w:rFonts w:ascii="宋体" w:hAnsi="宋体" w:eastAsia="宋体" w:cs="宋体"/>
                <w:sz w:val="18"/>
                <w:szCs w:val="18"/>
              </w:rPr>
            </w:pPr>
            <w:r>
              <w:rPr>
                <w:rFonts w:ascii="宋体" w:hAnsi="宋体" w:eastAsia="宋体" w:cs="宋体"/>
                <w:sz w:val="18"/>
                <w:szCs w:val="18"/>
              </w:rPr>
              <w:t>否</w:t>
            </w:r>
          </w:p>
        </w:tc>
      </w:tr>
    </w:tbl>
    <w:p w14:paraId="0FB4339D">
      <w:pPr>
        <w:spacing w:before="100" w:after="100" w:line="240" w:lineRule="exact"/>
      </w:pPr>
      <w:r>
        <w:rPr>
          <w:rFonts w:ascii="宋体" w:hAnsi="宋体" w:eastAsia="宋体" w:cs="宋体"/>
          <w:sz w:val="18"/>
          <w:szCs w:val="18"/>
        </w:rPr>
        <w:t>关联担保情况说明</w:t>
      </w:r>
    </w:p>
    <w:p w14:paraId="42A4BDD8">
      <w:pPr>
        <w:keepNext/>
        <w:keepLines/>
        <w:spacing w:before="300" w:after="100" w:line="280" w:lineRule="exact"/>
        <w:outlineLvl w:val="3"/>
        <w:rPr>
          <w:rFonts w:ascii="宋体" w:hAnsi="宋体" w:eastAsia="宋体" w:cs="宋体"/>
          <w:b/>
          <w:bCs/>
          <w:szCs w:val="21"/>
        </w:rPr>
      </w:pPr>
      <w:bookmarkStart w:id="467" w:name="_Toc989356"/>
      <w:r>
        <w:rPr>
          <w:rFonts w:ascii="宋体" w:hAnsi="宋体" w:eastAsia="宋体" w:cs="宋体"/>
          <w:b/>
          <w:bCs/>
          <w:szCs w:val="21"/>
        </w:rPr>
        <w:t>（5） 关联方资金拆借</w:t>
      </w:r>
      <w:bookmarkEnd w:id="467"/>
    </w:p>
    <w:p w14:paraId="4513DAB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4C00B5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BA70C1">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846085">
            <w:pPr>
              <w:spacing w:before="40" w:after="40" w:line="240" w:lineRule="exact"/>
              <w:jc w:val="center"/>
              <w:rPr>
                <w:rFonts w:ascii="宋体" w:hAnsi="宋体" w:eastAsia="宋体" w:cs="宋体"/>
                <w:sz w:val="18"/>
                <w:szCs w:val="18"/>
              </w:rPr>
            </w:pPr>
            <w:r>
              <w:rPr>
                <w:rFonts w:ascii="宋体" w:hAnsi="宋体" w:eastAsia="宋体" w:cs="宋体"/>
                <w:sz w:val="18"/>
                <w:szCs w:val="18"/>
              </w:rPr>
              <w:t>拆借金额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77C84C">
            <w:pPr>
              <w:spacing w:before="40" w:after="40" w:line="240" w:lineRule="exact"/>
              <w:jc w:val="center"/>
              <w:rPr>
                <w:rFonts w:ascii="宋体" w:hAnsi="宋体" w:eastAsia="宋体" w:cs="宋体"/>
                <w:sz w:val="18"/>
                <w:szCs w:val="18"/>
              </w:rPr>
            </w:pPr>
            <w:r>
              <w:rPr>
                <w:rFonts w:ascii="宋体" w:hAnsi="宋体" w:eastAsia="宋体" w:cs="宋体"/>
                <w:sz w:val="18"/>
                <w:szCs w:val="18"/>
              </w:rPr>
              <w:t>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4C00B8">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C48F73">
            <w:pPr>
              <w:spacing w:before="40" w:after="40" w:line="240" w:lineRule="exact"/>
              <w:jc w:val="center"/>
              <w:rPr>
                <w:rFonts w:ascii="宋体" w:hAnsi="宋体" w:eastAsia="宋体" w:cs="宋体"/>
                <w:sz w:val="18"/>
                <w:szCs w:val="18"/>
              </w:rPr>
            </w:pPr>
            <w:r>
              <w:rPr>
                <w:rFonts w:ascii="宋体" w:hAnsi="宋体" w:eastAsia="宋体" w:cs="宋体"/>
                <w:sz w:val="18"/>
                <w:szCs w:val="18"/>
              </w:rPr>
              <w:t>说明</w:t>
            </w:r>
          </w:p>
        </w:tc>
      </w:tr>
      <w:tr w14:paraId="1CC0DAFF">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67EE26B">
            <w:pPr>
              <w:spacing w:before="40" w:after="40" w:line="240" w:lineRule="exact"/>
              <w:rPr>
                <w:rFonts w:ascii="宋体" w:hAnsi="宋体" w:eastAsia="宋体" w:cs="宋体"/>
                <w:sz w:val="18"/>
                <w:szCs w:val="18"/>
              </w:rPr>
            </w:pPr>
            <w:r>
              <w:rPr>
                <w:rFonts w:ascii="宋体" w:hAnsi="宋体" w:eastAsia="宋体" w:cs="宋体"/>
                <w:sz w:val="18"/>
                <w:szCs w:val="18"/>
              </w:rPr>
              <w:t>拆入</w:t>
            </w:r>
          </w:p>
        </w:tc>
      </w:tr>
      <w:tr w14:paraId="25F132FA">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D9E1DFD">
            <w:pPr>
              <w:spacing w:before="40" w:after="40" w:line="240" w:lineRule="exact"/>
              <w:rPr>
                <w:rFonts w:ascii="宋体" w:hAnsi="宋体" w:eastAsia="宋体" w:cs="宋体"/>
                <w:sz w:val="18"/>
                <w:szCs w:val="18"/>
              </w:rPr>
            </w:pPr>
            <w:r>
              <w:rPr>
                <w:rFonts w:ascii="宋体" w:hAnsi="宋体" w:eastAsia="宋体" w:cs="宋体"/>
                <w:sz w:val="18"/>
                <w:szCs w:val="18"/>
              </w:rPr>
              <w:t>拆出</w:t>
            </w:r>
          </w:p>
        </w:tc>
      </w:tr>
    </w:tbl>
    <w:p w14:paraId="313D5FE9">
      <w:pPr>
        <w:keepNext/>
        <w:keepLines/>
        <w:spacing w:before="300" w:after="100" w:line="280" w:lineRule="exact"/>
        <w:outlineLvl w:val="3"/>
        <w:rPr>
          <w:rFonts w:ascii="宋体" w:hAnsi="宋体" w:eastAsia="宋体" w:cs="宋体"/>
          <w:b/>
          <w:bCs/>
          <w:szCs w:val="21"/>
        </w:rPr>
      </w:pPr>
      <w:bookmarkStart w:id="468" w:name="_Toc989357"/>
      <w:r>
        <w:rPr>
          <w:rFonts w:ascii="宋体" w:hAnsi="宋体" w:eastAsia="宋体" w:cs="宋体"/>
          <w:b/>
          <w:bCs/>
          <w:szCs w:val="21"/>
        </w:rPr>
        <w:t>（6） 关联方资产转让、债务重组情况</w:t>
      </w:r>
      <w:bookmarkEnd w:id="468"/>
    </w:p>
    <w:p w14:paraId="1A95453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EA0C580">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B8DF599">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013D083">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3331B0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A031BB">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18C58EED">
      <w:pPr>
        <w:keepNext/>
        <w:keepLines/>
        <w:spacing w:before="300" w:after="100" w:line="280" w:lineRule="exact"/>
        <w:outlineLvl w:val="3"/>
        <w:rPr>
          <w:rFonts w:ascii="宋体" w:hAnsi="宋体" w:eastAsia="宋体" w:cs="宋体"/>
          <w:b/>
          <w:bCs/>
          <w:szCs w:val="21"/>
        </w:rPr>
      </w:pPr>
      <w:bookmarkStart w:id="469" w:name="_Toc989358"/>
      <w:r>
        <w:rPr>
          <w:rFonts w:ascii="宋体" w:hAnsi="宋体" w:eastAsia="宋体" w:cs="宋体"/>
          <w:b/>
          <w:bCs/>
          <w:szCs w:val="21"/>
        </w:rPr>
        <w:t>（7） 关键管理人员报酬</w:t>
      </w:r>
      <w:bookmarkEnd w:id="469"/>
    </w:p>
    <w:p w14:paraId="6E08E24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60F4E5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DCAE6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1AA64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694F2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E745663">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43CFCAD">
            <w:pPr>
              <w:spacing w:line="240" w:lineRule="exact"/>
              <w:rPr>
                <w:rFonts w:ascii="宋体" w:hAnsi="宋体" w:eastAsia="宋体" w:cs="宋体"/>
                <w:sz w:val="18"/>
                <w:szCs w:val="18"/>
              </w:rPr>
            </w:pPr>
            <w:r>
              <w:rPr>
                <w:rFonts w:ascii="宋体" w:hAnsi="宋体" w:eastAsia="宋体" w:cs="宋体"/>
                <w:sz w:val="18"/>
                <w:szCs w:val="18"/>
              </w:rPr>
              <w:t>关键管理人员报酬</w:t>
            </w:r>
          </w:p>
        </w:tc>
        <w:tc>
          <w:tcPr>
            <w:tcW w:w="3213" w:type="dxa"/>
            <w:tcBorders>
              <w:top w:val="single" w:color="auto" w:sz="2" w:space="0"/>
              <w:left w:val="single" w:color="auto" w:sz="2" w:space="0"/>
              <w:bottom w:val="single" w:color="auto" w:sz="2" w:space="0"/>
              <w:right w:val="single" w:color="auto" w:sz="2" w:space="0"/>
            </w:tcBorders>
            <w:vAlign w:val="center"/>
          </w:tcPr>
          <w:p w14:paraId="42B664F8">
            <w:pPr>
              <w:spacing w:line="240" w:lineRule="exact"/>
              <w:jc w:val="right"/>
              <w:rPr>
                <w:rFonts w:ascii="宋体" w:hAnsi="宋体" w:eastAsia="宋体" w:cs="宋体"/>
                <w:sz w:val="18"/>
                <w:szCs w:val="18"/>
              </w:rPr>
            </w:pPr>
            <w:r>
              <w:rPr>
                <w:rFonts w:ascii="宋体" w:hAnsi="宋体" w:eastAsia="宋体" w:cs="宋体"/>
                <w:sz w:val="18"/>
                <w:szCs w:val="18"/>
              </w:rPr>
              <w:t>2,413,776.81</w:t>
            </w:r>
          </w:p>
        </w:tc>
        <w:tc>
          <w:tcPr>
            <w:tcW w:w="3213" w:type="dxa"/>
            <w:tcBorders>
              <w:top w:val="single" w:color="auto" w:sz="2" w:space="0"/>
              <w:left w:val="single" w:color="auto" w:sz="2" w:space="0"/>
              <w:bottom w:val="single" w:color="auto" w:sz="2" w:space="0"/>
              <w:right w:val="single" w:color="auto" w:sz="2" w:space="0"/>
            </w:tcBorders>
            <w:vAlign w:val="center"/>
          </w:tcPr>
          <w:p w14:paraId="6A4C5C0D">
            <w:pPr>
              <w:spacing w:line="240" w:lineRule="exact"/>
              <w:jc w:val="right"/>
              <w:rPr>
                <w:rFonts w:ascii="宋体" w:hAnsi="宋体" w:eastAsia="宋体" w:cs="宋体"/>
                <w:sz w:val="18"/>
                <w:szCs w:val="18"/>
              </w:rPr>
            </w:pPr>
            <w:r>
              <w:rPr>
                <w:rFonts w:ascii="宋体" w:hAnsi="宋体" w:eastAsia="宋体" w:cs="宋体"/>
                <w:sz w:val="18"/>
                <w:szCs w:val="18"/>
              </w:rPr>
              <w:t>1,359,760.00</w:t>
            </w:r>
          </w:p>
        </w:tc>
      </w:tr>
    </w:tbl>
    <w:p w14:paraId="2022CA84">
      <w:pPr>
        <w:keepNext/>
        <w:keepLines/>
        <w:spacing w:before="300" w:after="100" w:line="280" w:lineRule="exact"/>
        <w:outlineLvl w:val="3"/>
        <w:rPr>
          <w:rFonts w:ascii="宋体" w:hAnsi="宋体" w:eastAsia="宋体" w:cs="宋体"/>
          <w:b/>
          <w:bCs/>
          <w:szCs w:val="21"/>
        </w:rPr>
      </w:pPr>
      <w:bookmarkStart w:id="470" w:name="_Toc989359"/>
      <w:r>
        <w:rPr>
          <w:rFonts w:ascii="宋体" w:hAnsi="宋体" w:eastAsia="宋体" w:cs="宋体"/>
          <w:b/>
          <w:bCs/>
          <w:szCs w:val="21"/>
        </w:rPr>
        <w:t>（8） 其他关联交易</w:t>
      </w:r>
      <w:bookmarkEnd w:id="470"/>
    </w:p>
    <w:tbl>
      <w:tblPr>
        <w:tblStyle w:val="11"/>
        <w:tblW w:w="5000" w:type="pct"/>
        <w:tblInd w:w="0" w:type="dxa"/>
        <w:tblLayout w:type="autofit"/>
        <w:tblCellMar>
          <w:top w:w="0" w:type="dxa"/>
          <w:left w:w="0" w:type="dxa"/>
          <w:bottom w:w="0" w:type="dxa"/>
          <w:right w:w="0" w:type="dxa"/>
        </w:tblCellMar>
      </w:tblPr>
      <w:tblGrid>
        <w:gridCol w:w="4696"/>
        <w:gridCol w:w="1377"/>
        <w:gridCol w:w="1951"/>
        <w:gridCol w:w="1829"/>
      </w:tblGrid>
      <w:tr w14:paraId="5CC11F90">
        <w:trPr>
          <w:trHeight w:val="397" w:hRule="atLeast"/>
        </w:trPr>
        <w:tc>
          <w:tcPr>
            <w:tcW w:w="2383" w:type="pct"/>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BFE66B">
            <w:pPr>
              <w:pStyle w:val="9"/>
              <w:spacing w:before="0" w:beforeAutospacing="0" w:after="0" w:afterAutospacing="0"/>
              <w:jc w:val="center"/>
              <w:rPr>
                <w:sz w:val="18"/>
                <w:szCs w:val="18"/>
              </w:rPr>
            </w:pPr>
            <w:r>
              <w:rPr>
                <w:rStyle w:val="13"/>
                <w:rFonts w:hint="eastAsia"/>
                <w:color w:val="000000"/>
                <w:sz w:val="18"/>
                <w:szCs w:val="18"/>
              </w:rPr>
              <w:t>关联方名称</w:t>
            </w:r>
          </w:p>
        </w:tc>
        <w:tc>
          <w:tcPr>
            <w:tcW w:w="699" w:type="pct"/>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9F7871D">
            <w:pPr>
              <w:pStyle w:val="9"/>
              <w:spacing w:before="0" w:beforeAutospacing="0" w:after="0" w:afterAutospacing="0"/>
              <w:jc w:val="center"/>
              <w:rPr>
                <w:sz w:val="18"/>
                <w:szCs w:val="18"/>
              </w:rPr>
            </w:pPr>
            <w:r>
              <w:rPr>
                <w:rStyle w:val="13"/>
                <w:rFonts w:hint="eastAsia"/>
                <w:color w:val="000000"/>
                <w:sz w:val="18"/>
                <w:szCs w:val="18"/>
              </w:rPr>
              <w:t>关联交易</w:t>
            </w:r>
          </w:p>
          <w:p w14:paraId="58074145">
            <w:pPr>
              <w:pStyle w:val="9"/>
              <w:spacing w:before="0" w:beforeAutospacing="0" w:after="0" w:afterAutospacing="0"/>
              <w:jc w:val="center"/>
              <w:rPr>
                <w:sz w:val="18"/>
                <w:szCs w:val="18"/>
              </w:rPr>
            </w:pPr>
            <w:r>
              <w:rPr>
                <w:rStyle w:val="13"/>
                <w:rFonts w:hint="eastAsia"/>
                <w:color w:val="000000"/>
                <w:sz w:val="18"/>
                <w:szCs w:val="18"/>
              </w:rPr>
              <w:t>内容</w:t>
            </w:r>
          </w:p>
        </w:tc>
        <w:tc>
          <w:tcPr>
            <w:tcW w:w="1918" w:type="pct"/>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95FD6D3">
            <w:pPr>
              <w:pStyle w:val="9"/>
              <w:spacing w:before="0" w:beforeAutospacing="0" w:after="0" w:afterAutospacing="0"/>
              <w:jc w:val="center"/>
              <w:rPr>
                <w:sz w:val="18"/>
                <w:szCs w:val="18"/>
              </w:rPr>
            </w:pPr>
            <w:r>
              <w:rPr>
                <w:rStyle w:val="13"/>
                <w:rFonts w:hint="eastAsia"/>
                <w:color w:val="000000"/>
                <w:sz w:val="18"/>
                <w:szCs w:val="18"/>
              </w:rPr>
              <w:t>金额</w:t>
            </w:r>
          </w:p>
        </w:tc>
      </w:tr>
      <w:tr w14:paraId="0BEE6054">
        <w:trPr>
          <w:trHeight w:val="397"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14:paraId="77E4B904">
            <w:pPr>
              <w:rPr>
                <w:rFonts w:ascii="宋体" w:hAnsi="宋体" w:eastAsia="宋体" w:cs="宋体"/>
                <w:sz w:val="18"/>
                <w:szCs w:val="18"/>
              </w:rPr>
            </w:pPr>
          </w:p>
        </w:tc>
        <w:tc>
          <w:tcPr>
            <w:tcW w:w="0" w:type="auto"/>
            <w:vMerge w:val="continue"/>
            <w:tcBorders>
              <w:top w:val="single" w:color="auto" w:sz="8" w:space="0"/>
              <w:left w:val="nil"/>
              <w:bottom w:val="single" w:color="auto" w:sz="8" w:space="0"/>
              <w:right w:val="single" w:color="auto" w:sz="8" w:space="0"/>
            </w:tcBorders>
            <w:vAlign w:val="center"/>
          </w:tcPr>
          <w:p w14:paraId="1C9AC943">
            <w:pPr>
              <w:rPr>
                <w:rFonts w:ascii="宋体" w:hAnsi="宋体" w:eastAsia="宋体" w:cs="宋体"/>
                <w:sz w:val="18"/>
                <w:szCs w:val="18"/>
              </w:rPr>
            </w:pPr>
          </w:p>
        </w:tc>
        <w:tc>
          <w:tcPr>
            <w:tcW w:w="99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927DE16">
            <w:pPr>
              <w:pStyle w:val="9"/>
              <w:spacing w:before="0" w:beforeAutospacing="0" w:after="0" w:afterAutospacing="0"/>
              <w:jc w:val="center"/>
              <w:rPr>
                <w:sz w:val="18"/>
                <w:szCs w:val="18"/>
              </w:rPr>
            </w:pPr>
            <w:r>
              <w:rPr>
                <w:rStyle w:val="13"/>
                <w:rFonts w:hint="eastAsia"/>
                <w:color w:val="000000"/>
                <w:sz w:val="18"/>
                <w:szCs w:val="18"/>
              </w:rPr>
              <w:t>本期金额</w:t>
            </w:r>
          </w:p>
        </w:tc>
        <w:tc>
          <w:tcPr>
            <w:tcW w:w="928" w:type="pct"/>
            <w:tcBorders>
              <w:top w:val="nil"/>
              <w:left w:val="nil"/>
              <w:bottom w:val="single" w:color="auto" w:sz="8" w:space="0"/>
              <w:right w:val="single" w:color="auto" w:sz="8" w:space="0"/>
            </w:tcBorders>
            <w:tcMar>
              <w:top w:w="0" w:type="dxa"/>
              <w:left w:w="108" w:type="dxa"/>
              <w:bottom w:w="0" w:type="dxa"/>
              <w:right w:w="108" w:type="dxa"/>
            </w:tcMar>
            <w:vAlign w:val="center"/>
          </w:tcPr>
          <w:p w14:paraId="097FEE87">
            <w:pPr>
              <w:pStyle w:val="9"/>
              <w:spacing w:before="0" w:beforeAutospacing="0" w:after="0" w:afterAutospacing="0"/>
              <w:jc w:val="center"/>
              <w:rPr>
                <w:sz w:val="18"/>
                <w:szCs w:val="18"/>
              </w:rPr>
            </w:pPr>
            <w:r>
              <w:rPr>
                <w:rStyle w:val="13"/>
                <w:rFonts w:hint="eastAsia"/>
                <w:color w:val="000000"/>
                <w:sz w:val="18"/>
                <w:szCs w:val="18"/>
              </w:rPr>
              <w:t>上期金额</w:t>
            </w:r>
          </w:p>
        </w:tc>
      </w:tr>
      <w:tr w14:paraId="5DDBD1C4">
        <w:trPr>
          <w:trHeight w:val="397" w:hRule="atLeast"/>
        </w:trPr>
        <w:tc>
          <w:tcPr>
            <w:tcW w:w="2383"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16FC512">
            <w:pPr>
              <w:pStyle w:val="9"/>
              <w:spacing w:before="0" w:beforeAutospacing="0" w:after="0" w:afterAutospacing="0"/>
              <w:rPr>
                <w:sz w:val="18"/>
                <w:szCs w:val="18"/>
              </w:rPr>
            </w:pPr>
            <w:r>
              <w:rPr>
                <w:rFonts w:hint="eastAsia"/>
                <w:color w:val="000000"/>
                <w:sz w:val="18"/>
                <w:szCs w:val="18"/>
              </w:rPr>
              <w:t>西藏国有资本投资运营有限公司</w:t>
            </w:r>
          </w:p>
          <w:p w14:paraId="3C505D06">
            <w:pPr>
              <w:pStyle w:val="9"/>
              <w:spacing w:before="0" w:beforeAutospacing="0" w:after="0" w:afterAutospacing="0"/>
              <w:rPr>
                <w:color w:val="000000"/>
                <w:sz w:val="18"/>
                <w:szCs w:val="18"/>
              </w:rPr>
            </w:pPr>
            <w:r>
              <w:rPr>
                <w:rFonts w:hint="eastAsia"/>
                <w:color w:val="000000"/>
                <w:sz w:val="18"/>
                <w:szCs w:val="18"/>
              </w:rPr>
              <w:t>（曾用名：西藏自治区国有资产经营公司）</w:t>
            </w:r>
          </w:p>
        </w:tc>
        <w:tc>
          <w:tcPr>
            <w:tcW w:w="699" w:type="pct"/>
            <w:tcBorders>
              <w:top w:val="nil"/>
              <w:left w:val="nil"/>
              <w:bottom w:val="single" w:color="auto" w:sz="8" w:space="0"/>
              <w:right w:val="single" w:color="auto" w:sz="8" w:space="0"/>
            </w:tcBorders>
            <w:tcMar>
              <w:top w:w="0" w:type="dxa"/>
              <w:left w:w="108" w:type="dxa"/>
              <w:bottom w:w="0" w:type="dxa"/>
              <w:right w:w="108" w:type="dxa"/>
            </w:tcMar>
            <w:vAlign w:val="center"/>
          </w:tcPr>
          <w:p w14:paraId="584CCE04">
            <w:pPr>
              <w:pStyle w:val="9"/>
              <w:spacing w:before="0" w:beforeAutospacing="0" w:after="0" w:afterAutospacing="0"/>
              <w:jc w:val="center"/>
              <w:rPr>
                <w:sz w:val="18"/>
                <w:szCs w:val="18"/>
              </w:rPr>
            </w:pPr>
            <w:r>
              <w:rPr>
                <w:rFonts w:hint="eastAsia"/>
                <w:color w:val="000000"/>
                <w:sz w:val="18"/>
                <w:szCs w:val="18"/>
              </w:rPr>
              <w:t>国有资产</w:t>
            </w:r>
          </w:p>
          <w:p w14:paraId="720D838C">
            <w:pPr>
              <w:pStyle w:val="9"/>
              <w:spacing w:before="0" w:beforeAutospacing="0" w:after="0" w:afterAutospacing="0"/>
              <w:jc w:val="center"/>
              <w:rPr>
                <w:color w:val="000000"/>
                <w:sz w:val="18"/>
                <w:szCs w:val="18"/>
              </w:rPr>
            </w:pPr>
            <w:r>
              <w:rPr>
                <w:rFonts w:hint="eastAsia"/>
                <w:color w:val="000000"/>
                <w:sz w:val="18"/>
                <w:szCs w:val="18"/>
              </w:rPr>
              <w:t>占用费</w:t>
            </w:r>
          </w:p>
        </w:tc>
        <w:tc>
          <w:tcPr>
            <w:tcW w:w="990" w:type="pct"/>
            <w:tcBorders>
              <w:top w:val="nil"/>
              <w:left w:val="nil"/>
              <w:bottom w:val="single" w:color="auto" w:sz="8" w:space="0"/>
              <w:right w:val="single" w:color="auto" w:sz="8" w:space="0"/>
            </w:tcBorders>
            <w:tcMar>
              <w:top w:w="0" w:type="dxa"/>
              <w:left w:w="108" w:type="dxa"/>
              <w:bottom w:w="0" w:type="dxa"/>
              <w:right w:w="108" w:type="dxa"/>
            </w:tcMar>
            <w:vAlign w:val="center"/>
          </w:tcPr>
          <w:p w14:paraId="0B7C7FEF">
            <w:pPr>
              <w:pStyle w:val="9"/>
              <w:spacing w:before="0" w:beforeAutospacing="0" w:after="18" w:afterAutospacing="0"/>
              <w:jc w:val="right"/>
              <w:textAlignment w:val="center"/>
              <w:rPr>
                <w:sz w:val="18"/>
                <w:szCs w:val="18"/>
              </w:rPr>
            </w:pPr>
            <w:r>
              <w:rPr>
                <w:rFonts w:hint="eastAsia"/>
                <w:sz w:val="18"/>
                <w:szCs w:val="18"/>
              </w:rPr>
              <w:t>357,540.41</w:t>
            </w:r>
          </w:p>
        </w:tc>
        <w:tc>
          <w:tcPr>
            <w:tcW w:w="928" w:type="pct"/>
            <w:tcBorders>
              <w:top w:val="nil"/>
              <w:left w:val="nil"/>
              <w:bottom w:val="single" w:color="auto" w:sz="8" w:space="0"/>
              <w:right w:val="single" w:color="auto" w:sz="8" w:space="0"/>
            </w:tcBorders>
            <w:tcMar>
              <w:top w:w="0" w:type="dxa"/>
              <w:left w:w="108" w:type="dxa"/>
              <w:bottom w:w="0" w:type="dxa"/>
              <w:right w:w="108" w:type="dxa"/>
            </w:tcMar>
            <w:vAlign w:val="center"/>
          </w:tcPr>
          <w:p w14:paraId="4244A0DB">
            <w:pPr>
              <w:pStyle w:val="9"/>
              <w:spacing w:before="0" w:beforeAutospacing="0" w:after="18" w:afterAutospacing="0"/>
              <w:jc w:val="right"/>
              <w:textAlignment w:val="center"/>
              <w:rPr>
                <w:sz w:val="18"/>
                <w:szCs w:val="18"/>
              </w:rPr>
            </w:pPr>
            <w:r>
              <w:rPr>
                <w:rFonts w:hint="eastAsia"/>
                <w:sz w:val="18"/>
                <w:szCs w:val="18"/>
              </w:rPr>
              <w:t>357,540.41</w:t>
            </w:r>
          </w:p>
        </w:tc>
      </w:tr>
      <w:tr w14:paraId="0995A3A0">
        <w:trPr>
          <w:trHeight w:val="397" w:hRule="atLeast"/>
        </w:trPr>
        <w:tc>
          <w:tcPr>
            <w:tcW w:w="2383"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0B806D">
            <w:pPr>
              <w:pStyle w:val="9"/>
              <w:spacing w:before="0" w:beforeAutospacing="0" w:after="0" w:afterAutospacing="0"/>
              <w:rPr>
                <w:sz w:val="18"/>
                <w:szCs w:val="18"/>
              </w:rPr>
            </w:pPr>
            <w:r>
              <w:rPr>
                <w:rFonts w:hint="eastAsia"/>
                <w:color w:val="000000"/>
                <w:sz w:val="18"/>
                <w:szCs w:val="18"/>
              </w:rPr>
              <w:t>西藏好物商业有限公司</w:t>
            </w:r>
          </w:p>
        </w:tc>
        <w:tc>
          <w:tcPr>
            <w:tcW w:w="699" w:type="pct"/>
            <w:tcBorders>
              <w:top w:val="nil"/>
              <w:left w:val="nil"/>
              <w:bottom w:val="single" w:color="auto" w:sz="8" w:space="0"/>
              <w:right w:val="single" w:color="auto" w:sz="8" w:space="0"/>
            </w:tcBorders>
            <w:tcMar>
              <w:top w:w="0" w:type="dxa"/>
              <w:left w:w="108" w:type="dxa"/>
              <w:bottom w:w="0" w:type="dxa"/>
              <w:right w:w="108" w:type="dxa"/>
            </w:tcMar>
            <w:vAlign w:val="center"/>
          </w:tcPr>
          <w:p w14:paraId="2056C59E">
            <w:pPr>
              <w:pStyle w:val="9"/>
              <w:spacing w:before="0" w:beforeAutospacing="0" w:after="0" w:afterAutospacing="0"/>
              <w:jc w:val="center"/>
              <w:rPr>
                <w:sz w:val="18"/>
                <w:szCs w:val="18"/>
              </w:rPr>
            </w:pPr>
            <w:r>
              <w:rPr>
                <w:rFonts w:hint="eastAsia"/>
                <w:color w:val="000000"/>
                <w:sz w:val="18"/>
                <w:szCs w:val="18"/>
              </w:rPr>
              <w:t>销售商品</w:t>
            </w:r>
          </w:p>
        </w:tc>
        <w:tc>
          <w:tcPr>
            <w:tcW w:w="990" w:type="pct"/>
            <w:tcBorders>
              <w:top w:val="nil"/>
              <w:left w:val="nil"/>
              <w:bottom w:val="single" w:color="auto" w:sz="8" w:space="0"/>
              <w:right w:val="single" w:color="auto" w:sz="8" w:space="0"/>
            </w:tcBorders>
            <w:tcMar>
              <w:top w:w="0" w:type="dxa"/>
              <w:left w:w="108" w:type="dxa"/>
              <w:bottom w:w="0" w:type="dxa"/>
              <w:right w:w="108" w:type="dxa"/>
            </w:tcMar>
            <w:vAlign w:val="center"/>
          </w:tcPr>
          <w:p w14:paraId="3BE80D60">
            <w:pPr>
              <w:pStyle w:val="9"/>
              <w:spacing w:before="0" w:beforeAutospacing="0" w:after="18" w:afterAutospacing="0"/>
              <w:jc w:val="right"/>
              <w:textAlignment w:val="center"/>
              <w:rPr>
                <w:sz w:val="18"/>
                <w:szCs w:val="18"/>
              </w:rPr>
            </w:pPr>
            <w:r>
              <w:rPr>
                <w:rFonts w:hint="eastAsia"/>
                <w:sz w:val="18"/>
                <w:szCs w:val="18"/>
              </w:rPr>
              <w:t>8</w:t>
            </w:r>
            <w:r>
              <w:rPr>
                <w:rFonts w:hint="eastAsia"/>
                <w:sz w:val="18"/>
                <w:szCs w:val="18"/>
                <w:lang w:val="en-US" w:eastAsia="zh-CN"/>
              </w:rPr>
              <w:t>,</w:t>
            </w:r>
            <w:r>
              <w:rPr>
                <w:rFonts w:hint="eastAsia"/>
                <w:sz w:val="18"/>
                <w:szCs w:val="18"/>
              </w:rPr>
              <w:t>665</w:t>
            </w:r>
            <w:r>
              <w:rPr>
                <w:rFonts w:hint="eastAsia"/>
                <w:sz w:val="18"/>
                <w:szCs w:val="18"/>
                <w:lang w:val="en-US" w:eastAsia="zh-CN"/>
              </w:rPr>
              <w:t>,</w:t>
            </w:r>
            <w:r>
              <w:rPr>
                <w:rFonts w:hint="eastAsia"/>
                <w:sz w:val="18"/>
                <w:szCs w:val="18"/>
              </w:rPr>
              <w:t>716.41</w:t>
            </w:r>
          </w:p>
        </w:tc>
        <w:tc>
          <w:tcPr>
            <w:tcW w:w="928" w:type="pct"/>
            <w:tcBorders>
              <w:top w:val="nil"/>
              <w:left w:val="nil"/>
              <w:bottom w:val="single" w:color="auto" w:sz="8" w:space="0"/>
              <w:right w:val="single" w:color="auto" w:sz="8" w:space="0"/>
            </w:tcBorders>
            <w:tcMar>
              <w:top w:w="0" w:type="dxa"/>
              <w:left w:w="108" w:type="dxa"/>
              <w:bottom w:w="0" w:type="dxa"/>
              <w:right w:w="108" w:type="dxa"/>
            </w:tcMar>
            <w:vAlign w:val="center"/>
          </w:tcPr>
          <w:p w14:paraId="5055E095">
            <w:pPr>
              <w:pStyle w:val="9"/>
              <w:spacing w:before="0" w:beforeAutospacing="0" w:after="18" w:afterAutospacing="0"/>
              <w:jc w:val="right"/>
              <w:textAlignment w:val="center"/>
              <w:rPr>
                <w:sz w:val="18"/>
                <w:szCs w:val="18"/>
              </w:rPr>
            </w:pPr>
            <w:r>
              <w:rPr>
                <w:rFonts w:hint="eastAsia"/>
                <w:sz w:val="18"/>
                <w:szCs w:val="18"/>
              </w:rPr>
              <w:t>165</w:t>
            </w:r>
            <w:r>
              <w:rPr>
                <w:rFonts w:hint="eastAsia"/>
                <w:sz w:val="18"/>
                <w:szCs w:val="18"/>
                <w:lang w:val="en-US" w:eastAsia="zh-CN"/>
              </w:rPr>
              <w:t>,</w:t>
            </w:r>
            <w:r>
              <w:rPr>
                <w:rFonts w:hint="eastAsia"/>
                <w:sz w:val="18"/>
                <w:szCs w:val="18"/>
              </w:rPr>
              <w:t>688</w:t>
            </w:r>
            <w:r>
              <w:rPr>
                <w:rFonts w:hint="eastAsia"/>
                <w:sz w:val="18"/>
                <w:szCs w:val="18"/>
                <w:lang w:val="en-US" w:eastAsia="zh-CN"/>
              </w:rPr>
              <w:t>,</w:t>
            </w:r>
            <w:r>
              <w:rPr>
                <w:rFonts w:hint="eastAsia"/>
                <w:sz w:val="18"/>
                <w:szCs w:val="18"/>
              </w:rPr>
              <w:t>029.55</w:t>
            </w:r>
          </w:p>
        </w:tc>
      </w:tr>
    </w:tbl>
    <w:p w14:paraId="0796A6FF">
      <w:pPr>
        <w:pStyle w:val="3"/>
        <w:spacing w:after="100" w:line="280" w:lineRule="exact"/>
        <w:jc w:val="left"/>
        <w:rPr>
          <w:rFonts w:ascii="宋体" w:hAnsi="宋体" w:cs="宋体"/>
          <w:b/>
          <w:bCs/>
        </w:rPr>
      </w:pPr>
      <w:bookmarkStart w:id="471" w:name="_Toc989360"/>
      <w:r>
        <w:rPr>
          <w:rFonts w:ascii="宋体" w:hAnsi="宋体" w:cs="宋体"/>
          <w:b/>
          <w:bCs/>
        </w:rPr>
        <w:t>6、关联方应收应付款项</w:t>
      </w:r>
      <w:bookmarkEnd w:id="471"/>
    </w:p>
    <w:p w14:paraId="39914C0B">
      <w:pPr>
        <w:keepNext/>
        <w:keepLines/>
        <w:spacing w:before="300" w:after="100" w:line="280" w:lineRule="exact"/>
        <w:outlineLvl w:val="3"/>
        <w:rPr>
          <w:rFonts w:ascii="宋体" w:hAnsi="宋体" w:eastAsia="宋体" w:cs="宋体"/>
          <w:b/>
          <w:bCs/>
          <w:szCs w:val="21"/>
        </w:rPr>
      </w:pPr>
      <w:bookmarkStart w:id="472" w:name="_Toc989361"/>
      <w:r>
        <w:rPr>
          <w:rFonts w:ascii="宋体" w:hAnsi="宋体" w:eastAsia="宋体" w:cs="宋体"/>
          <w:b/>
          <w:bCs/>
          <w:szCs w:val="21"/>
        </w:rPr>
        <w:t>（1） 应收项目</w:t>
      </w:r>
      <w:bookmarkEnd w:id="472"/>
    </w:p>
    <w:p w14:paraId="161F1FC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7"/>
        <w:gridCol w:w="1606"/>
        <w:gridCol w:w="1606"/>
        <w:gridCol w:w="1607"/>
        <w:gridCol w:w="1606"/>
        <w:gridCol w:w="1607"/>
      </w:tblGrid>
      <w:tr w14:paraId="6F3C9C08">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3140B8F">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0C521A">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AB6918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8F9B90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97CEFB4">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33AD23A"/>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9F9D2B"/>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05D208A">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FB6152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569F9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135013A">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r>
    </w:tbl>
    <w:p w14:paraId="690499F0">
      <w:pPr>
        <w:keepNext/>
        <w:keepLines/>
        <w:spacing w:before="300" w:after="100" w:line="280" w:lineRule="exact"/>
        <w:outlineLvl w:val="3"/>
        <w:rPr>
          <w:rFonts w:ascii="宋体" w:hAnsi="宋体" w:eastAsia="宋体" w:cs="宋体"/>
          <w:b/>
          <w:bCs/>
          <w:szCs w:val="21"/>
        </w:rPr>
      </w:pPr>
      <w:bookmarkStart w:id="473" w:name="_Toc989362"/>
      <w:r>
        <w:rPr>
          <w:rFonts w:ascii="宋体" w:hAnsi="宋体" w:eastAsia="宋体" w:cs="宋体"/>
          <w:b/>
          <w:bCs/>
          <w:szCs w:val="21"/>
        </w:rPr>
        <w:t>（2） 应付项目</w:t>
      </w:r>
      <w:bookmarkEnd w:id="473"/>
    </w:p>
    <w:p w14:paraId="70928C5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EFF6AE1">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1DCA21">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E03193">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DAA938">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49ABADD">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bl>
    <w:p w14:paraId="734A15D8">
      <w:pPr>
        <w:pStyle w:val="3"/>
        <w:spacing w:after="100" w:line="280" w:lineRule="exact"/>
      </w:pPr>
      <w:bookmarkStart w:id="474" w:name="_Toc989363"/>
      <w:r>
        <w:rPr>
          <w:rFonts w:ascii="宋体" w:hAnsi="宋体" w:cs="宋体"/>
          <w:b/>
          <w:bCs/>
        </w:rPr>
        <w:t>7、关联方承诺</w:t>
      </w:r>
      <w:bookmarkEnd w:id="474"/>
    </w:p>
    <w:p w14:paraId="5DFDFA6D">
      <w:pPr>
        <w:pStyle w:val="3"/>
        <w:spacing w:after="100" w:line="280" w:lineRule="exact"/>
      </w:pPr>
      <w:bookmarkStart w:id="475" w:name="_Toc989364"/>
      <w:r>
        <w:rPr>
          <w:rFonts w:ascii="宋体" w:hAnsi="宋体" w:cs="宋体"/>
          <w:b/>
          <w:bCs/>
        </w:rPr>
        <w:t>8、其他</w:t>
      </w:r>
      <w:bookmarkEnd w:id="475"/>
    </w:p>
    <w:p w14:paraId="6C8B6FA5">
      <w:pPr>
        <w:pStyle w:val="2"/>
        <w:spacing w:before="300" w:after="100" w:line="320" w:lineRule="exact"/>
        <w:rPr>
          <w:rFonts w:ascii="宋体" w:hAnsi="宋体" w:eastAsia="宋体" w:cs="宋体"/>
          <w:b/>
          <w:bCs/>
          <w:sz w:val="24"/>
          <w:szCs w:val="24"/>
        </w:rPr>
      </w:pPr>
      <w:bookmarkStart w:id="476" w:name="_Toc989365"/>
      <w:r>
        <w:rPr>
          <w:rFonts w:ascii="宋体" w:hAnsi="宋体" w:eastAsia="宋体" w:cs="宋体"/>
          <w:b/>
          <w:bCs/>
          <w:sz w:val="24"/>
          <w:szCs w:val="24"/>
        </w:rPr>
        <w:t>十五、股份支付</w:t>
      </w:r>
      <w:bookmarkEnd w:id="476"/>
    </w:p>
    <w:p w14:paraId="3C46FD42">
      <w:pPr>
        <w:pStyle w:val="3"/>
        <w:spacing w:after="100" w:line="280" w:lineRule="exact"/>
        <w:jc w:val="left"/>
        <w:rPr>
          <w:rFonts w:ascii="宋体" w:hAnsi="宋体" w:cs="宋体"/>
          <w:b/>
          <w:bCs/>
        </w:rPr>
      </w:pPr>
      <w:bookmarkStart w:id="477" w:name="_Toc989366"/>
      <w:r>
        <w:rPr>
          <w:rFonts w:ascii="宋体" w:hAnsi="宋体" w:cs="宋体"/>
          <w:b/>
          <w:bCs/>
        </w:rPr>
        <w:t>1、股份支付总体情况</w:t>
      </w:r>
      <w:bookmarkEnd w:id="477"/>
    </w:p>
    <w:p w14:paraId="0A6EB19C">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3A05EF9">
      <w:pPr>
        <w:pStyle w:val="3"/>
        <w:spacing w:after="100" w:line="280" w:lineRule="exact"/>
        <w:jc w:val="left"/>
        <w:rPr>
          <w:rFonts w:ascii="宋体" w:hAnsi="宋体" w:cs="宋体"/>
          <w:b/>
          <w:bCs/>
        </w:rPr>
      </w:pPr>
      <w:bookmarkStart w:id="478" w:name="_Toc989367"/>
      <w:r>
        <w:rPr>
          <w:rFonts w:ascii="宋体" w:hAnsi="宋体" w:cs="宋体"/>
          <w:b/>
          <w:bCs/>
        </w:rPr>
        <w:t>2、以权益结算的股份支付情况</w:t>
      </w:r>
      <w:bookmarkEnd w:id="478"/>
    </w:p>
    <w:p w14:paraId="4A68643A">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1D9E2E2">
      <w:pPr>
        <w:pStyle w:val="3"/>
        <w:spacing w:after="100" w:line="280" w:lineRule="exact"/>
        <w:jc w:val="left"/>
        <w:rPr>
          <w:rFonts w:ascii="宋体" w:hAnsi="宋体" w:cs="宋体"/>
          <w:b/>
          <w:bCs/>
        </w:rPr>
      </w:pPr>
      <w:bookmarkStart w:id="479" w:name="_Toc989368"/>
      <w:r>
        <w:rPr>
          <w:rFonts w:ascii="宋体" w:hAnsi="宋体" w:cs="宋体"/>
          <w:b/>
          <w:bCs/>
        </w:rPr>
        <w:t>3、以现金结算的股份支付情况</w:t>
      </w:r>
      <w:bookmarkEnd w:id="479"/>
    </w:p>
    <w:p w14:paraId="3EE1BB76">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4E18304">
      <w:pPr>
        <w:pStyle w:val="3"/>
        <w:spacing w:after="100" w:line="280" w:lineRule="exact"/>
        <w:jc w:val="left"/>
        <w:rPr>
          <w:rFonts w:ascii="宋体" w:hAnsi="宋体" w:cs="宋体"/>
          <w:b/>
          <w:bCs/>
        </w:rPr>
      </w:pPr>
      <w:bookmarkStart w:id="480" w:name="_Toc989369"/>
      <w:r>
        <w:rPr>
          <w:rFonts w:ascii="宋体" w:hAnsi="宋体" w:cs="宋体"/>
          <w:b/>
          <w:bCs/>
        </w:rPr>
        <w:t>4、本期股份支付费用</w:t>
      </w:r>
      <w:bookmarkEnd w:id="480"/>
    </w:p>
    <w:p w14:paraId="0A6C38E7">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C4F289F">
      <w:pPr>
        <w:pStyle w:val="3"/>
        <w:spacing w:after="100" w:line="280" w:lineRule="exact"/>
        <w:jc w:val="left"/>
      </w:pPr>
      <w:bookmarkStart w:id="481" w:name="_Toc989370"/>
      <w:r>
        <w:rPr>
          <w:rFonts w:ascii="宋体" w:hAnsi="宋体" w:cs="宋体"/>
          <w:b/>
          <w:bCs/>
        </w:rPr>
        <w:t>5、股份支付的修改、终止情况</w:t>
      </w:r>
      <w:bookmarkEnd w:id="481"/>
    </w:p>
    <w:p w14:paraId="0C902A81">
      <w:pPr>
        <w:pStyle w:val="3"/>
        <w:spacing w:after="100" w:line="280" w:lineRule="exact"/>
      </w:pPr>
      <w:bookmarkStart w:id="482" w:name="_Toc989371"/>
      <w:r>
        <w:rPr>
          <w:rFonts w:ascii="宋体" w:hAnsi="宋体" w:cs="宋体"/>
          <w:b/>
          <w:bCs/>
        </w:rPr>
        <w:t xml:space="preserve">6、其他 </w:t>
      </w:r>
      <w:bookmarkEnd w:id="482"/>
    </w:p>
    <w:p w14:paraId="5401F79D">
      <w:pPr>
        <w:pStyle w:val="2"/>
        <w:spacing w:before="300" w:after="300" w:line="320" w:lineRule="exact"/>
        <w:rPr>
          <w:rFonts w:ascii="宋体" w:hAnsi="宋体" w:eastAsia="宋体" w:cs="宋体"/>
          <w:b/>
          <w:bCs/>
          <w:sz w:val="24"/>
          <w:szCs w:val="24"/>
        </w:rPr>
      </w:pPr>
      <w:bookmarkStart w:id="483" w:name="_Toc989372"/>
      <w:r>
        <w:rPr>
          <w:rFonts w:ascii="宋体" w:hAnsi="宋体" w:eastAsia="宋体" w:cs="宋体"/>
          <w:b/>
          <w:bCs/>
          <w:sz w:val="24"/>
          <w:szCs w:val="24"/>
        </w:rPr>
        <w:t>十六、承诺及或有事项</w:t>
      </w:r>
      <w:bookmarkEnd w:id="483"/>
    </w:p>
    <w:p w14:paraId="6A851C8C">
      <w:pPr>
        <w:pStyle w:val="3"/>
        <w:spacing w:after="100" w:line="280" w:lineRule="exact"/>
        <w:jc w:val="left"/>
        <w:rPr>
          <w:rFonts w:ascii="宋体" w:hAnsi="宋体" w:cs="宋体"/>
          <w:b/>
          <w:bCs/>
        </w:rPr>
      </w:pPr>
      <w:bookmarkStart w:id="484" w:name="_Toc989373"/>
      <w:r>
        <w:rPr>
          <w:rFonts w:ascii="宋体" w:hAnsi="宋体" w:cs="宋体"/>
          <w:b/>
          <w:bCs/>
        </w:rPr>
        <w:t>1、重要承诺事项</w:t>
      </w:r>
      <w:bookmarkEnd w:id="484"/>
    </w:p>
    <w:p w14:paraId="4A8588C4">
      <w:pPr>
        <w:spacing w:before="100" w:after="100" w:line="240" w:lineRule="exact"/>
      </w:pPr>
      <w:r>
        <w:rPr>
          <w:rFonts w:ascii="宋体" w:hAnsi="宋体" w:eastAsia="宋体" w:cs="宋体"/>
          <w:sz w:val="18"/>
          <w:szCs w:val="18"/>
        </w:rPr>
        <w:t>资产负债表日存在的重要承诺</w:t>
      </w:r>
    </w:p>
    <w:p w14:paraId="7FDC98CC">
      <w:pPr>
        <w:pStyle w:val="3"/>
        <w:spacing w:after="100" w:line="280" w:lineRule="exact"/>
        <w:jc w:val="left"/>
        <w:rPr>
          <w:rFonts w:ascii="宋体" w:hAnsi="宋体" w:cs="宋体"/>
          <w:b/>
          <w:bCs/>
        </w:rPr>
      </w:pPr>
      <w:bookmarkStart w:id="485" w:name="_Toc989374"/>
      <w:r>
        <w:rPr>
          <w:rFonts w:ascii="宋体" w:hAnsi="宋体" w:cs="宋体"/>
          <w:b/>
          <w:bCs/>
        </w:rPr>
        <w:t>2、或有事项</w:t>
      </w:r>
      <w:bookmarkEnd w:id="485"/>
    </w:p>
    <w:p w14:paraId="4CDEC2E5">
      <w:pPr>
        <w:keepNext/>
        <w:keepLines/>
        <w:spacing w:before="300" w:after="100" w:line="280" w:lineRule="exact"/>
        <w:outlineLvl w:val="3"/>
        <w:rPr>
          <w:rFonts w:ascii="宋体" w:hAnsi="宋体" w:eastAsia="宋体" w:cs="宋体"/>
          <w:b/>
          <w:bCs/>
          <w:szCs w:val="21"/>
        </w:rPr>
      </w:pPr>
      <w:bookmarkStart w:id="486" w:name="_Toc989375"/>
      <w:r>
        <w:rPr>
          <w:rFonts w:ascii="宋体" w:hAnsi="宋体" w:eastAsia="宋体" w:cs="宋体"/>
          <w:b/>
          <w:bCs/>
          <w:szCs w:val="21"/>
        </w:rPr>
        <w:t>（1） 资产负债表日存在的重要或有事项</w:t>
      </w:r>
      <w:bookmarkEnd w:id="486"/>
    </w:p>
    <w:p w14:paraId="18E79D8A">
      <w:pPr>
        <w:pStyle w:val="9"/>
        <w:spacing w:before="0" w:beforeAutospacing="0" w:after="100" w:afterAutospacing="0" w:line="20" w:lineRule="atLeast"/>
        <w:ind w:firstLine="432"/>
        <w:rPr>
          <w:sz w:val="18"/>
          <w:szCs w:val="18"/>
        </w:rPr>
      </w:pPr>
      <w:r>
        <w:rPr>
          <w:rFonts w:hint="eastAsia"/>
          <w:sz w:val="18"/>
          <w:szCs w:val="18"/>
        </w:rPr>
        <w:t>本公司涉及以下的或有事项，系本公司原第一大股东西藏天易隆兴投资有限公司（以下简称“天易隆兴”）、本公司原法定代表人及董事长王承波等人涉嫌舞弊，以本公司名义对外签署合同开展资金拆借等非经营活动，导致涉及债权人向本公司主张权利；公司于2021年9月收到西藏自治区拉萨市中级人民法院寄送的《西藏自治区拉萨市中级人民法院刑事判决书》（（2020）藏01刑初15号），判决被告人王承波犯背信损害上市公司利益罪，判处有期徒刑五年，并处罚金人民币100万元，王承波提起上诉，公司目前已收到西藏自治区高级人民法院（2021）藏刑终46号《刑事裁定书》，二审法院裁定驳回上诉，维持原判。</w:t>
      </w:r>
    </w:p>
    <w:p w14:paraId="08938284">
      <w:pPr>
        <w:pStyle w:val="9"/>
        <w:spacing w:before="0" w:beforeAutospacing="0" w:after="0" w:afterAutospacing="0" w:line="20" w:lineRule="atLeast"/>
        <w:ind w:firstLine="432"/>
        <w:rPr>
          <w:sz w:val="18"/>
          <w:szCs w:val="18"/>
        </w:rPr>
      </w:pPr>
      <w:r>
        <w:rPr>
          <w:rFonts w:hint="eastAsia"/>
          <w:sz w:val="18"/>
          <w:szCs w:val="18"/>
        </w:rPr>
        <w:t>截至2024年06月30日，本公司非金融机构对外共同借款形成的或有事项情况如下：</w:t>
      </w:r>
    </w:p>
    <w:tbl>
      <w:tblPr>
        <w:tblStyle w:val="11"/>
        <w:tblW w:w="5000" w:type="pct"/>
        <w:tblInd w:w="0" w:type="dxa"/>
        <w:tblLayout w:type="autofit"/>
        <w:tblCellMar>
          <w:top w:w="0" w:type="dxa"/>
          <w:left w:w="0" w:type="dxa"/>
          <w:bottom w:w="0" w:type="dxa"/>
          <w:right w:w="0" w:type="dxa"/>
        </w:tblCellMar>
      </w:tblPr>
      <w:tblGrid>
        <w:gridCol w:w="442"/>
        <w:gridCol w:w="816"/>
        <w:gridCol w:w="1420"/>
        <w:gridCol w:w="1126"/>
        <w:gridCol w:w="1304"/>
        <w:gridCol w:w="1183"/>
        <w:gridCol w:w="1947"/>
        <w:gridCol w:w="1173"/>
        <w:gridCol w:w="442"/>
      </w:tblGrid>
      <w:tr w14:paraId="10555EF7">
        <w:trPr>
          <w:trHeight w:val="397" w:hRule="atLeast"/>
          <w:tblHeader/>
        </w:trPr>
        <w:tc>
          <w:tcPr>
            <w:tcW w:w="224"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E02AB17">
            <w:pPr>
              <w:pStyle w:val="9"/>
              <w:spacing w:before="0" w:beforeAutospacing="0" w:after="0" w:afterAutospacing="0" w:line="20" w:lineRule="atLeast"/>
              <w:rPr>
                <w:sz w:val="18"/>
                <w:szCs w:val="18"/>
              </w:rPr>
            </w:pPr>
            <w:r>
              <w:rPr>
                <w:rFonts w:hint="eastAsia"/>
                <w:sz w:val="18"/>
                <w:szCs w:val="18"/>
              </w:rPr>
              <w:t>序号</w:t>
            </w:r>
          </w:p>
        </w:tc>
        <w:tc>
          <w:tcPr>
            <w:tcW w:w="414"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76A607A">
            <w:pPr>
              <w:pStyle w:val="9"/>
              <w:spacing w:before="0" w:beforeAutospacing="0" w:after="0" w:afterAutospacing="0" w:line="20" w:lineRule="atLeast"/>
              <w:rPr>
                <w:sz w:val="18"/>
                <w:szCs w:val="18"/>
              </w:rPr>
            </w:pPr>
            <w:r>
              <w:rPr>
                <w:rFonts w:hint="eastAsia"/>
                <w:sz w:val="18"/>
                <w:szCs w:val="18"/>
              </w:rPr>
              <w:t>出借人</w:t>
            </w:r>
          </w:p>
        </w:tc>
        <w:tc>
          <w:tcPr>
            <w:tcW w:w="719"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7042154">
            <w:pPr>
              <w:pStyle w:val="9"/>
              <w:spacing w:before="0" w:beforeAutospacing="0" w:after="0" w:afterAutospacing="0" w:line="20" w:lineRule="atLeast"/>
              <w:rPr>
                <w:sz w:val="18"/>
                <w:szCs w:val="18"/>
              </w:rPr>
            </w:pPr>
            <w:r>
              <w:rPr>
                <w:rFonts w:hint="eastAsia"/>
                <w:sz w:val="18"/>
                <w:szCs w:val="18"/>
              </w:rPr>
              <w:t>借款人</w:t>
            </w:r>
          </w:p>
        </w:tc>
        <w:tc>
          <w:tcPr>
            <w:tcW w:w="571"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4E6E136">
            <w:pPr>
              <w:pStyle w:val="9"/>
              <w:spacing w:before="0" w:beforeAutospacing="0" w:after="0" w:afterAutospacing="0" w:line="20" w:lineRule="atLeast"/>
              <w:rPr>
                <w:sz w:val="18"/>
                <w:szCs w:val="18"/>
              </w:rPr>
            </w:pPr>
            <w:r>
              <w:rPr>
                <w:rFonts w:hint="eastAsia"/>
                <w:sz w:val="18"/>
                <w:szCs w:val="18"/>
              </w:rPr>
              <w:t>借款本金（万元）</w:t>
            </w:r>
          </w:p>
        </w:tc>
        <w:tc>
          <w:tcPr>
            <w:tcW w:w="661"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99596BB">
            <w:pPr>
              <w:pStyle w:val="9"/>
              <w:spacing w:before="0" w:beforeAutospacing="0" w:after="0" w:afterAutospacing="0" w:line="20" w:lineRule="atLeast"/>
              <w:rPr>
                <w:sz w:val="18"/>
                <w:szCs w:val="18"/>
              </w:rPr>
            </w:pPr>
            <w:r>
              <w:rPr>
                <w:rFonts w:hint="eastAsia"/>
                <w:sz w:val="18"/>
                <w:szCs w:val="18"/>
              </w:rPr>
              <w:t>借款期限</w:t>
            </w:r>
          </w:p>
        </w:tc>
        <w:tc>
          <w:tcPr>
            <w:tcW w:w="600"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AC46291">
            <w:pPr>
              <w:pStyle w:val="9"/>
              <w:spacing w:before="0" w:beforeAutospacing="0" w:after="0" w:afterAutospacing="0" w:line="20" w:lineRule="atLeast"/>
              <w:rPr>
                <w:sz w:val="18"/>
                <w:szCs w:val="18"/>
              </w:rPr>
            </w:pPr>
            <w:r>
              <w:rPr>
                <w:rFonts w:hint="eastAsia"/>
                <w:sz w:val="18"/>
                <w:szCs w:val="18"/>
              </w:rPr>
              <w:t>诉讼状况</w:t>
            </w:r>
          </w:p>
        </w:tc>
        <w:tc>
          <w:tcPr>
            <w:tcW w:w="987"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B063E53">
            <w:pPr>
              <w:pStyle w:val="9"/>
              <w:spacing w:before="0" w:beforeAutospacing="0" w:after="0" w:afterAutospacing="0" w:line="20" w:lineRule="atLeast"/>
              <w:rPr>
                <w:sz w:val="18"/>
                <w:szCs w:val="18"/>
              </w:rPr>
            </w:pPr>
            <w:r>
              <w:rPr>
                <w:rFonts w:hint="eastAsia"/>
                <w:sz w:val="18"/>
                <w:szCs w:val="18"/>
              </w:rPr>
              <w:t>截至2024年06月30日应计负债或预计负债金额（万元）</w:t>
            </w:r>
          </w:p>
        </w:tc>
        <w:tc>
          <w:tcPr>
            <w:tcW w:w="595"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991D456">
            <w:pPr>
              <w:pStyle w:val="9"/>
              <w:spacing w:before="0" w:beforeAutospacing="0" w:after="0" w:afterAutospacing="0" w:line="20" w:lineRule="atLeast"/>
              <w:rPr>
                <w:sz w:val="18"/>
                <w:szCs w:val="18"/>
              </w:rPr>
            </w:pPr>
            <w:r>
              <w:rPr>
                <w:rFonts w:hint="eastAsia"/>
                <w:sz w:val="18"/>
                <w:szCs w:val="18"/>
              </w:rPr>
              <w:t>其中：本金（万元）</w:t>
            </w:r>
          </w:p>
        </w:tc>
        <w:tc>
          <w:tcPr>
            <w:tcW w:w="224"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A8BCD71">
            <w:pPr>
              <w:pStyle w:val="9"/>
              <w:spacing w:before="0" w:beforeAutospacing="0" w:after="0" w:afterAutospacing="0" w:line="20" w:lineRule="atLeast"/>
              <w:rPr>
                <w:sz w:val="18"/>
                <w:szCs w:val="18"/>
              </w:rPr>
            </w:pPr>
            <w:r>
              <w:rPr>
                <w:rFonts w:hint="eastAsia"/>
                <w:sz w:val="18"/>
                <w:szCs w:val="18"/>
              </w:rPr>
              <w:t>备注</w:t>
            </w:r>
          </w:p>
        </w:tc>
      </w:tr>
      <w:tr w14:paraId="1E211998">
        <w:trPr>
          <w:trHeight w:val="397" w:hRule="atLeast"/>
        </w:trPr>
        <w:tc>
          <w:tcPr>
            <w:tcW w:w="224"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28E753">
            <w:pPr>
              <w:pStyle w:val="9"/>
              <w:spacing w:before="0" w:beforeAutospacing="0" w:after="0" w:afterAutospacing="0" w:line="20" w:lineRule="atLeast"/>
              <w:rPr>
                <w:sz w:val="18"/>
                <w:szCs w:val="18"/>
              </w:rPr>
            </w:pPr>
            <w:r>
              <w:rPr>
                <w:rFonts w:hint="eastAsia"/>
                <w:sz w:val="18"/>
                <w:szCs w:val="18"/>
              </w:rPr>
              <w:t>1</w:t>
            </w:r>
          </w:p>
        </w:tc>
        <w:tc>
          <w:tcPr>
            <w:tcW w:w="414" w:type="pct"/>
            <w:tcBorders>
              <w:top w:val="nil"/>
              <w:left w:val="nil"/>
              <w:bottom w:val="single" w:color="auto" w:sz="8" w:space="0"/>
              <w:right w:val="single" w:color="auto" w:sz="8" w:space="0"/>
            </w:tcBorders>
            <w:tcMar>
              <w:top w:w="0" w:type="dxa"/>
              <w:left w:w="108" w:type="dxa"/>
              <w:bottom w:w="0" w:type="dxa"/>
              <w:right w:w="108" w:type="dxa"/>
            </w:tcMar>
            <w:vAlign w:val="center"/>
          </w:tcPr>
          <w:p w14:paraId="5A3F1A77">
            <w:pPr>
              <w:pStyle w:val="9"/>
              <w:spacing w:before="0" w:beforeAutospacing="0" w:after="0" w:afterAutospacing="0" w:line="20" w:lineRule="atLeast"/>
              <w:rPr>
                <w:sz w:val="18"/>
                <w:szCs w:val="18"/>
              </w:rPr>
            </w:pPr>
            <w:r>
              <w:rPr>
                <w:rFonts w:hint="eastAsia"/>
                <w:sz w:val="18"/>
                <w:szCs w:val="18"/>
              </w:rPr>
              <w:t>浙江至中实业有限公司</w:t>
            </w:r>
          </w:p>
        </w:tc>
        <w:tc>
          <w:tcPr>
            <w:tcW w:w="719" w:type="pct"/>
            <w:tcBorders>
              <w:top w:val="nil"/>
              <w:left w:val="nil"/>
              <w:bottom w:val="single" w:color="auto" w:sz="8" w:space="0"/>
              <w:right w:val="single" w:color="auto" w:sz="8" w:space="0"/>
            </w:tcBorders>
            <w:tcMar>
              <w:top w:w="0" w:type="dxa"/>
              <w:left w:w="108" w:type="dxa"/>
              <w:bottom w:w="0" w:type="dxa"/>
              <w:right w:w="108" w:type="dxa"/>
            </w:tcMar>
            <w:vAlign w:val="center"/>
          </w:tcPr>
          <w:p w14:paraId="41E733BA">
            <w:pPr>
              <w:pStyle w:val="9"/>
              <w:spacing w:before="0" w:beforeAutospacing="0" w:after="0" w:afterAutospacing="0" w:line="20" w:lineRule="atLeast"/>
              <w:rPr>
                <w:sz w:val="18"/>
                <w:szCs w:val="18"/>
              </w:rPr>
            </w:pPr>
            <w:r>
              <w:rPr>
                <w:rFonts w:hint="eastAsia"/>
                <w:sz w:val="18"/>
                <w:szCs w:val="18"/>
              </w:rPr>
              <w:t>本公司、西藏天易隆兴投资有限公司、王承波</w:t>
            </w:r>
          </w:p>
        </w:tc>
        <w:tc>
          <w:tcPr>
            <w:tcW w:w="571" w:type="pct"/>
            <w:tcBorders>
              <w:top w:val="nil"/>
              <w:left w:val="nil"/>
              <w:bottom w:val="single" w:color="auto" w:sz="8" w:space="0"/>
              <w:right w:val="single" w:color="auto" w:sz="8" w:space="0"/>
            </w:tcBorders>
            <w:tcMar>
              <w:top w:w="0" w:type="dxa"/>
              <w:left w:w="108" w:type="dxa"/>
              <w:bottom w:w="0" w:type="dxa"/>
              <w:right w:w="108" w:type="dxa"/>
            </w:tcMar>
            <w:vAlign w:val="center"/>
          </w:tcPr>
          <w:p w14:paraId="5DB84102">
            <w:pPr>
              <w:pStyle w:val="9"/>
              <w:spacing w:before="0" w:beforeAutospacing="0" w:after="0" w:afterAutospacing="0" w:line="20" w:lineRule="atLeast"/>
              <w:rPr>
                <w:sz w:val="18"/>
                <w:szCs w:val="18"/>
              </w:rPr>
            </w:pPr>
            <w:r>
              <w:rPr>
                <w:rFonts w:hint="eastAsia"/>
                <w:sz w:val="18"/>
                <w:szCs w:val="18"/>
              </w:rPr>
              <w:t>2,800.00</w:t>
            </w:r>
          </w:p>
        </w:tc>
        <w:tc>
          <w:tcPr>
            <w:tcW w:w="661" w:type="pct"/>
            <w:tcBorders>
              <w:top w:val="nil"/>
              <w:left w:val="nil"/>
              <w:bottom w:val="single" w:color="auto" w:sz="8" w:space="0"/>
              <w:right w:val="single" w:color="auto" w:sz="8" w:space="0"/>
            </w:tcBorders>
            <w:tcMar>
              <w:top w:w="0" w:type="dxa"/>
              <w:left w:w="108" w:type="dxa"/>
              <w:bottom w:w="0" w:type="dxa"/>
              <w:right w:w="108" w:type="dxa"/>
            </w:tcMar>
            <w:vAlign w:val="center"/>
          </w:tcPr>
          <w:p w14:paraId="00A2CCC9">
            <w:pPr>
              <w:pStyle w:val="9"/>
              <w:spacing w:before="0" w:beforeAutospacing="0" w:after="0" w:afterAutospacing="0" w:line="20" w:lineRule="atLeast"/>
              <w:rPr>
                <w:sz w:val="18"/>
                <w:szCs w:val="18"/>
              </w:rPr>
            </w:pPr>
            <w:r>
              <w:rPr>
                <w:rFonts w:hint="eastAsia"/>
                <w:sz w:val="18"/>
                <w:szCs w:val="18"/>
              </w:rPr>
              <w:t>2018.4.23-2018.5.7</w:t>
            </w:r>
          </w:p>
        </w:tc>
        <w:tc>
          <w:tcPr>
            <w:tcW w:w="600" w:type="pct"/>
            <w:tcBorders>
              <w:top w:val="nil"/>
              <w:left w:val="nil"/>
              <w:bottom w:val="single" w:color="auto" w:sz="8" w:space="0"/>
              <w:right w:val="single" w:color="auto" w:sz="8" w:space="0"/>
            </w:tcBorders>
            <w:tcMar>
              <w:top w:w="0" w:type="dxa"/>
              <w:left w:w="108" w:type="dxa"/>
              <w:bottom w:w="0" w:type="dxa"/>
              <w:right w:w="108" w:type="dxa"/>
            </w:tcMar>
            <w:vAlign w:val="center"/>
          </w:tcPr>
          <w:p w14:paraId="0096F372">
            <w:pPr>
              <w:pStyle w:val="9"/>
              <w:spacing w:before="0" w:beforeAutospacing="0" w:after="0" w:afterAutospacing="0" w:line="20" w:lineRule="atLeast"/>
              <w:rPr>
                <w:sz w:val="18"/>
                <w:szCs w:val="18"/>
              </w:rPr>
            </w:pPr>
            <w:r>
              <w:rPr>
                <w:rFonts w:hint="eastAsia"/>
                <w:sz w:val="18"/>
                <w:szCs w:val="18"/>
              </w:rPr>
              <w:t>终审裁定驳回原告起诉，移送公安</w:t>
            </w:r>
          </w:p>
        </w:tc>
        <w:tc>
          <w:tcPr>
            <w:tcW w:w="987" w:type="pct"/>
            <w:tcBorders>
              <w:top w:val="nil"/>
              <w:left w:val="nil"/>
              <w:bottom w:val="single" w:color="auto" w:sz="8" w:space="0"/>
              <w:right w:val="single" w:color="auto" w:sz="8" w:space="0"/>
            </w:tcBorders>
            <w:tcMar>
              <w:top w:w="0" w:type="dxa"/>
              <w:left w:w="108" w:type="dxa"/>
              <w:bottom w:w="0" w:type="dxa"/>
              <w:right w:w="108" w:type="dxa"/>
            </w:tcMar>
            <w:vAlign w:val="center"/>
          </w:tcPr>
          <w:p w14:paraId="3A060746">
            <w:pPr>
              <w:pStyle w:val="9"/>
              <w:spacing w:before="0" w:beforeAutospacing="0" w:after="0" w:afterAutospacing="0" w:line="20" w:lineRule="atLeast"/>
              <w:rPr>
                <w:sz w:val="18"/>
                <w:szCs w:val="18"/>
              </w:rPr>
            </w:pPr>
            <w:r>
              <w:rPr>
                <w:rFonts w:hint="eastAsia"/>
                <w:sz w:val="18"/>
                <w:szCs w:val="18"/>
              </w:rPr>
              <w:t>2,512.27</w:t>
            </w:r>
          </w:p>
        </w:tc>
        <w:tc>
          <w:tcPr>
            <w:tcW w:w="595" w:type="pct"/>
            <w:tcBorders>
              <w:top w:val="nil"/>
              <w:left w:val="nil"/>
              <w:bottom w:val="single" w:color="auto" w:sz="8" w:space="0"/>
              <w:right w:val="single" w:color="auto" w:sz="8" w:space="0"/>
            </w:tcBorders>
            <w:tcMar>
              <w:top w:w="0" w:type="dxa"/>
              <w:left w:w="108" w:type="dxa"/>
              <w:bottom w:w="0" w:type="dxa"/>
              <w:right w:w="108" w:type="dxa"/>
            </w:tcMar>
            <w:vAlign w:val="center"/>
          </w:tcPr>
          <w:p w14:paraId="1451E9E0">
            <w:pPr>
              <w:pStyle w:val="9"/>
              <w:spacing w:before="0" w:beforeAutospacing="0" w:after="0" w:afterAutospacing="0" w:line="20" w:lineRule="atLeast"/>
              <w:rPr>
                <w:sz w:val="18"/>
                <w:szCs w:val="18"/>
              </w:rPr>
            </w:pPr>
            <w:r>
              <w:rPr>
                <w:rFonts w:hint="eastAsia"/>
                <w:sz w:val="18"/>
                <w:szCs w:val="18"/>
              </w:rPr>
              <w:t>2,512.27</w:t>
            </w:r>
          </w:p>
        </w:tc>
        <w:tc>
          <w:tcPr>
            <w:tcW w:w="224" w:type="pct"/>
            <w:tcBorders>
              <w:top w:val="nil"/>
              <w:left w:val="nil"/>
              <w:bottom w:val="single" w:color="auto" w:sz="8" w:space="0"/>
              <w:right w:val="single" w:color="auto" w:sz="8" w:space="0"/>
            </w:tcBorders>
            <w:tcMar>
              <w:top w:w="0" w:type="dxa"/>
              <w:left w:w="108" w:type="dxa"/>
              <w:bottom w:w="0" w:type="dxa"/>
              <w:right w:w="108" w:type="dxa"/>
            </w:tcMar>
            <w:vAlign w:val="center"/>
          </w:tcPr>
          <w:p w14:paraId="2585EEA6">
            <w:pPr>
              <w:pStyle w:val="9"/>
              <w:spacing w:before="0" w:beforeAutospacing="0" w:after="0" w:afterAutospacing="0" w:line="20" w:lineRule="atLeast"/>
              <w:rPr>
                <w:sz w:val="18"/>
                <w:szCs w:val="18"/>
              </w:rPr>
            </w:pPr>
            <w:r>
              <w:rPr>
                <w:rFonts w:hint="eastAsia"/>
                <w:sz w:val="18"/>
                <w:szCs w:val="18"/>
              </w:rPr>
              <w:t>注</w:t>
            </w:r>
          </w:p>
        </w:tc>
      </w:tr>
      <w:tr w14:paraId="7ACCE9EA">
        <w:trPr>
          <w:trHeight w:val="397" w:hRule="atLeast"/>
        </w:trPr>
        <w:tc>
          <w:tcPr>
            <w:tcW w:w="1358" w:type="pct"/>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DF940A">
            <w:pPr>
              <w:pStyle w:val="9"/>
              <w:spacing w:before="0" w:beforeAutospacing="0" w:after="0" w:afterAutospacing="0" w:line="20" w:lineRule="atLeast"/>
              <w:rPr>
                <w:sz w:val="18"/>
                <w:szCs w:val="18"/>
              </w:rPr>
            </w:pPr>
            <w:r>
              <w:rPr>
                <w:rFonts w:hint="eastAsia"/>
                <w:sz w:val="18"/>
                <w:szCs w:val="18"/>
              </w:rPr>
              <w:t>合计</w:t>
            </w:r>
          </w:p>
        </w:tc>
        <w:tc>
          <w:tcPr>
            <w:tcW w:w="571" w:type="pct"/>
            <w:tcBorders>
              <w:top w:val="nil"/>
              <w:left w:val="nil"/>
              <w:bottom w:val="single" w:color="auto" w:sz="8" w:space="0"/>
              <w:right w:val="single" w:color="auto" w:sz="8" w:space="0"/>
            </w:tcBorders>
            <w:tcMar>
              <w:top w:w="0" w:type="dxa"/>
              <w:left w:w="108" w:type="dxa"/>
              <w:bottom w:w="0" w:type="dxa"/>
              <w:right w:w="108" w:type="dxa"/>
            </w:tcMar>
            <w:vAlign w:val="center"/>
          </w:tcPr>
          <w:p w14:paraId="7A3F29D5">
            <w:pPr>
              <w:pStyle w:val="9"/>
              <w:spacing w:before="0" w:beforeAutospacing="0" w:after="0" w:afterAutospacing="0" w:line="20" w:lineRule="atLeast"/>
              <w:rPr>
                <w:sz w:val="18"/>
                <w:szCs w:val="18"/>
              </w:rPr>
            </w:pPr>
            <w:r>
              <w:rPr>
                <w:rStyle w:val="13"/>
                <w:rFonts w:hint="eastAsia"/>
                <w:sz w:val="18"/>
                <w:szCs w:val="18"/>
              </w:rPr>
              <w:t>2,800.00</w:t>
            </w:r>
          </w:p>
        </w:tc>
        <w:tc>
          <w:tcPr>
            <w:tcW w:w="661" w:type="pct"/>
            <w:tcBorders>
              <w:top w:val="nil"/>
              <w:left w:val="nil"/>
              <w:bottom w:val="single" w:color="auto" w:sz="8" w:space="0"/>
              <w:right w:val="single" w:color="auto" w:sz="8" w:space="0"/>
            </w:tcBorders>
            <w:tcMar>
              <w:top w:w="0" w:type="dxa"/>
              <w:left w:w="108" w:type="dxa"/>
              <w:bottom w:w="0" w:type="dxa"/>
              <w:right w:w="108" w:type="dxa"/>
            </w:tcMar>
            <w:vAlign w:val="center"/>
          </w:tcPr>
          <w:p w14:paraId="6434C74A">
            <w:pPr>
              <w:pStyle w:val="9"/>
              <w:spacing w:before="0" w:beforeAutospacing="0" w:after="0" w:afterAutospacing="0" w:line="20" w:lineRule="atLeast"/>
              <w:rPr>
                <w:sz w:val="18"/>
                <w:szCs w:val="18"/>
              </w:rPr>
            </w:pPr>
            <w:r>
              <w:rPr>
                <w:rStyle w:val="13"/>
                <w:rFonts w:hint="eastAsia"/>
                <w:sz w:val="18"/>
                <w:szCs w:val="18"/>
              </w:rPr>
              <w:t> </w:t>
            </w:r>
          </w:p>
        </w:tc>
        <w:tc>
          <w:tcPr>
            <w:tcW w:w="600" w:type="pct"/>
            <w:tcBorders>
              <w:top w:val="nil"/>
              <w:left w:val="nil"/>
              <w:bottom w:val="single" w:color="auto" w:sz="8" w:space="0"/>
              <w:right w:val="single" w:color="auto" w:sz="8" w:space="0"/>
            </w:tcBorders>
            <w:tcMar>
              <w:top w:w="0" w:type="dxa"/>
              <w:left w:w="108" w:type="dxa"/>
              <w:bottom w:w="0" w:type="dxa"/>
              <w:right w:w="108" w:type="dxa"/>
            </w:tcMar>
            <w:vAlign w:val="center"/>
          </w:tcPr>
          <w:p w14:paraId="57CE45E9">
            <w:pPr>
              <w:pStyle w:val="9"/>
              <w:spacing w:before="0" w:beforeAutospacing="0" w:after="0" w:afterAutospacing="0" w:line="20" w:lineRule="atLeast"/>
              <w:rPr>
                <w:sz w:val="18"/>
                <w:szCs w:val="18"/>
              </w:rPr>
            </w:pPr>
            <w:r>
              <w:rPr>
                <w:rStyle w:val="13"/>
                <w:rFonts w:hint="eastAsia"/>
                <w:sz w:val="18"/>
                <w:szCs w:val="18"/>
              </w:rPr>
              <w:t> </w:t>
            </w:r>
          </w:p>
        </w:tc>
        <w:tc>
          <w:tcPr>
            <w:tcW w:w="987" w:type="pct"/>
            <w:tcBorders>
              <w:top w:val="nil"/>
              <w:left w:val="nil"/>
              <w:bottom w:val="single" w:color="auto" w:sz="8" w:space="0"/>
              <w:right w:val="single" w:color="auto" w:sz="8" w:space="0"/>
            </w:tcBorders>
            <w:tcMar>
              <w:top w:w="0" w:type="dxa"/>
              <w:left w:w="108" w:type="dxa"/>
              <w:bottom w:w="0" w:type="dxa"/>
              <w:right w:w="108" w:type="dxa"/>
            </w:tcMar>
            <w:vAlign w:val="center"/>
          </w:tcPr>
          <w:p w14:paraId="1F5CE84B">
            <w:pPr>
              <w:pStyle w:val="9"/>
              <w:spacing w:before="0" w:beforeAutospacing="0" w:after="0" w:afterAutospacing="0" w:line="20" w:lineRule="atLeast"/>
              <w:rPr>
                <w:sz w:val="18"/>
                <w:szCs w:val="18"/>
              </w:rPr>
            </w:pPr>
            <w:r>
              <w:rPr>
                <w:rStyle w:val="13"/>
                <w:rFonts w:hint="eastAsia"/>
                <w:sz w:val="18"/>
                <w:szCs w:val="18"/>
              </w:rPr>
              <w:t>2,512.27</w:t>
            </w:r>
          </w:p>
        </w:tc>
        <w:tc>
          <w:tcPr>
            <w:tcW w:w="595" w:type="pct"/>
            <w:tcBorders>
              <w:top w:val="nil"/>
              <w:left w:val="nil"/>
              <w:bottom w:val="single" w:color="auto" w:sz="8" w:space="0"/>
              <w:right w:val="single" w:color="auto" w:sz="8" w:space="0"/>
            </w:tcBorders>
            <w:tcMar>
              <w:top w:w="0" w:type="dxa"/>
              <w:left w:w="108" w:type="dxa"/>
              <w:bottom w:w="0" w:type="dxa"/>
              <w:right w:w="108" w:type="dxa"/>
            </w:tcMar>
            <w:vAlign w:val="center"/>
          </w:tcPr>
          <w:p w14:paraId="4A484742">
            <w:pPr>
              <w:pStyle w:val="9"/>
              <w:spacing w:before="0" w:beforeAutospacing="0" w:after="0" w:afterAutospacing="0" w:line="20" w:lineRule="atLeast"/>
              <w:rPr>
                <w:sz w:val="18"/>
                <w:szCs w:val="18"/>
              </w:rPr>
            </w:pPr>
            <w:r>
              <w:rPr>
                <w:rStyle w:val="13"/>
                <w:rFonts w:hint="eastAsia"/>
                <w:sz w:val="18"/>
                <w:szCs w:val="18"/>
              </w:rPr>
              <w:t>2,512.27</w:t>
            </w:r>
          </w:p>
        </w:tc>
        <w:tc>
          <w:tcPr>
            <w:tcW w:w="224" w:type="pct"/>
            <w:tcBorders>
              <w:top w:val="nil"/>
              <w:left w:val="nil"/>
              <w:bottom w:val="single" w:color="auto" w:sz="8" w:space="0"/>
              <w:right w:val="single" w:color="auto" w:sz="8" w:space="0"/>
            </w:tcBorders>
            <w:tcMar>
              <w:top w:w="0" w:type="dxa"/>
              <w:left w:w="108" w:type="dxa"/>
              <w:bottom w:w="0" w:type="dxa"/>
              <w:right w:w="108" w:type="dxa"/>
            </w:tcMar>
            <w:vAlign w:val="center"/>
          </w:tcPr>
          <w:p w14:paraId="51E289CA">
            <w:pPr>
              <w:pStyle w:val="9"/>
              <w:spacing w:before="0" w:beforeAutospacing="0" w:after="0" w:afterAutospacing="0" w:line="20" w:lineRule="atLeast"/>
              <w:rPr>
                <w:sz w:val="18"/>
                <w:szCs w:val="18"/>
              </w:rPr>
            </w:pPr>
            <w:r>
              <w:rPr>
                <w:rFonts w:hint="eastAsia"/>
                <w:sz w:val="18"/>
                <w:szCs w:val="18"/>
              </w:rPr>
              <w:t> </w:t>
            </w:r>
          </w:p>
        </w:tc>
      </w:tr>
    </w:tbl>
    <w:p w14:paraId="2236A68D">
      <w:pPr>
        <w:pStyle w:val="9"/>
        <w:spacing w:before="0" w:beforeAutospacing="0" w:after="0" w:afterAutospacing="0" w:line="20" w:lineRule="atLeast"/>
        <w:ind w:firstLine="432"/>
        <w:rPr>
          <w:sz w:val="18"/>
          <w:szCs w:val="18"/>
        </w:rPr>
      </w:pPr>
      <w:r>
        <w:rPr>
          <w:rFonts w:hint="eastAsia"/>
          <w:sz w:val="18"/>
          <w:szCs w:val="18"/>
        </w:rPr>
        <w:t>注：本公司委托律师事务所律师于2018年9月21日向杭州市下城区人民法院核查并取得了浙江至中实业有限公司（以下简称“至中实业”）诉本公司、天易隆兴及王承波（共同借款人）作为共同被告案件的相关文件，至中实业请求判令三被告立即归还原告借款本金2,512.27万元（2018年11月申请变更后金额）及利息（按月利率3%计算），并承担原告追讨欠款律师费、诉讼费。诉讼理由：2018年4月23日，至中实业、本公司、天易隆兴及王承波四方签订了一份《借款合同》，合同约定至中实业出借给本公司、天易隆兴及王承波2,800.00万元人民币，期限为2018年4月23日起至2018年5月7日，月利率为3%，利息按月支付；指定收款账号为仕远置商贸在招商银行某支行开设的账户；合同签订当天，至中实业如约打款2,800.00万元给仕远置商贸招商银行成都分行玉双路支行某账户；借款到期后，三被告并未如约归还全部本金，逾期占用期间的利息也仅支付至2018年6月12日。经至中实业申请，杭州市下城区人民法院据此作出（2018）浙0103民初4168号之一《民事裁定书》，裁定冻结被申请人本公司、天易隆兴、王承波的银行存款2,878.00万元，或查封、扣押其相应价值的财产。</w:t>
      </w:r>
    </w:p>
    <w:p w14:paraId="25A04278">
      <w:pPr>
        <w:pStyle w:val="9"/>
        <w:spacing w:before="0" w:beforeAutospacing="0" w:after="0" w:afterAutospacing="0" w:line="20" w:lineRule="atLeast"/>
        <w:ind w:firstLine="432"/>
        <w:rPr>
          <w:sz w:val="18"/>
          <w:szCs w:val="18"/>
        </w:rPr>
      </w:pPr>
      <w:r>
        <w:rPr>
          <w:rFonts w:hint="eastAsia"/>
          <w:sz w:val="18"/>
          <w:szCs w:val="18"/>
        </w:rPr>
        <w:t>2019年10月25日，浙江杭州市中级人民法院出具（2019）浙01民终7399号《民事裁定书》，其中至中实业请求：1、西藏发展、天易隆兴、王承波归还至中实业借款本金2,800.00万元及利息28.00万元（暂计算至2018年6月22日，最终利息金额应计算至付清所有借款本息之日）；2判令西藏发展、天易隆兴、王承波承担律师费50万元；3、本案诉讼费由西藏发展、天易隆兴、王承波承担。审理过程中，至中实业变更诉求为：1、判令西藏发展、天易隆兴归还至中实业借款本金25,122,712.00元及利息（自2018年12月18日起，按合同约定利率计算至付清所有借款本息之日）；2、判令西藏发展、天易隆兴承担律师费20.00万元；3、本案诉讼费由西藏发展、天易隆兴承担。浙江杭州市中级人民法院出具（2019）浙01民终7399号《民事裁定书》：1、撤销杭州下城区人民法院（2018）浙0103民初4168号之二民事裁定；2、本案指令杭州市下城区人民法院审理。</w:t>
      </w:r>
    </w:p>
    <w:p w14:paraId="1022C7DE">
      <w:pPr>
        <w:pStyle w:val="9"/>
        <w:spacing w:before="0" w:beforeAutospacing="0" w:after="100" w:afterAutospacing="0" w:line="20" w:lineRule="atLeast"/>
        <w:ind w:firstLine="432"/>
        <w:rPr>
          <w:sz w:val="18"/>
          <w:szCs w:val="18"/>
        </w:rPr>
      </w:pPr>
      <w:r>
        <w:rPr>
          <w:rFonts w:hint="eastAsia"/>
          <w:sz w:val="18"/>
          <w:szCs w:val="18"/>
        </w:rPr>
        <w:t>2020年5月26日，杭州市下城区法院《民事判决书》（2019）浙0103民初6937号作出判决：本公司归还浙江至中借款本金25,122,712.00元及相应利息并承担相关费用。本公司不服，向浙江省杭州市中级人民法院提起上诉，2021年2月9日，浙江省杭州市中级人民法院（2020）浙01民终9303号民事裁定书终审裁定撤销杭州市下城区人民法院（2019）浙0103民初6937号民事判决，驳回浙江至中实业公司的起诉。2021年7月27日，浙江省高级人民法院（2021）浙民申1636号民事裁定，驳回浙江至中实业公司的再审申请。此负债报表科目列示在预计负债。</w:t>
      </w:r>
    </w:p>
    <w:p w14:paraId="215A540F">
      <w:pPr>
        <w:pStyle w:val="9"/>
        <w:spacing w:before="0" w:beforeAutospacing="0" w:after="100" w:afterAutospacing="0" w:line="20" w:lineRule="atLeast"/>
        <w:ind w:firstLine="432"/>
        <w:rPr>
          <w:sz w:val="18"/>
          <w:szCs w:val="18"/>
        </w:rPr>
      </w:pPr>
      <w:r>
        <w:rPr>
          <w:rFonts w:hint="eastAsia"/>
          <w:sz w:val="18"/>
          <w:szCs w:val="18"/>
        </w:rPr>
        <w:t xml:space="preserve">本公司董事会未审议过上述共同借款事项，本公司根据法院判决裁定估计预计负债金额。 </w:t>
      </w:r>
    </w:p>
    <w:p w14:paraId="21579712">
      <w:pPr>
        <w:keepNext/>
        <w:keepLines/>
        <w:spacing w:before="300" w:after="100" w:line="280" w:lineRule="exact"/>
        <w:outlineLvl w:val="3"/>
        <w:rPr>
          <w:rFonts w:ascii="宋体" w:hAnsi="宋体" w:eastAsia="宋体" w:cs="宋体"/>
          <w:b/>
          <w:bCs/>
          <w:szCs w:val="21"/>
        </w:rPr>
      </w:pPr>
      <w:bookmarkStart w:id="487" w:name="_Toc989376"/>
      <w:r>
        <w:rPr>
          <w:rFonts w:ascii="宋体" w:hAnsi="宋体" w:eastAsia="宋体" w:cs="宋体"/>
          <w:b/>
          <w:bCs/>
          <w:szCs w:val="21"/>
        </w:rPr>
        <w:t>（2） 公司没有需要披露的重要或有事项，也应予以说明</w:t>
      </w:r>
      <w:bookmarkEnd w:id="487"/>
    </w:p>
    <w:p w14:paraId="384B5C4A">
      <w:pPr>
        <w:spacing w:before="40" w:after="100" w:line="240" w:lineRule="exact"/>
        <w:rPr>
          <w:rFonts w:ascii="宋体" w:hAnsi="宋体" w:eastAsia="宋体" w:cs="宋体"/>
          <w:sz w:val="18"/>
          <w:szCs w:val="18"/>
        </w:rPr>
      </w:pPr>
      <w:r>
        <w:rPr>
          <w:rFonts w:ascii="宋体" w:hAnsi="宋体" w:eastAsia="宋体" w:cs="宋体"/>
          <w:sz w:val="18"/>
          <w:szCs w:val="18"/>
        </w:rPr>
        <w:t>公司不存在需要披露的重要或有事项。</w:t>
      </w:r>
    </w:p>
    <w:p w14:paraId="7A051D36">
      <w:pPr>
        <w:pStyle w:val="3"/>
        <w:spacing w:after="100" w:line="280" w:lineRule="exact"/>
        <w:jc w:val="left"/>
      </w:pPr>
      <w:bookmarkStart w:id="488" w:name="_Toc989377"/>
      <w:r>
        <w:rPr>
          <w:rFonts w:ascii="宋体" w:hAnsi="宋体" w:cs="宋体"/>
          <w:b/>
          <w:bCs/>
        </w:rPr>
        <w:t>3、其他</w:t>
      </w:r>
      <w:bookmarkEnd w:id="488"/>
    </w:p>
    <w:p w14:paraId="313EAA7D">
      <w:pPr>
        <w:pStyle w:val="2"/>
        <w:spacing w:before="300" w:after="300" w:line="320" w:lineRule="exact"/>
        <w:rPr>
          <w:rFonts w:ascii="宋体" w:hAnsi="宋体" w:eastAsia="宋体" w:cs="宋体"/>
          <w:b/>
          <w:bCs/>
          <w:sz w:val="24"/>
          <w:szCs w:val="24"/>
        </w:rPr>
      </w:pPr>
      <w:bookmarkStart w:id="489" w:name="_Toc989378"/>
      <w:r>
        <w:rPr>
          <w:rFonts w:ascii="宋体" w:hAnsi="宋体" w:eastAsia="宋体" w:cs="宋体"/>
          <w:b/>
          <w:bCs/>
          <w:sz w:val="24"/>
          <w:szCs w:val="24"/>
        </w:rPr>
        <w:t>十七、资产负债表日后事项</w:t>
      </w:r>
      <w:bookmarkEnd w:id="489"/>
    </w:p>
    <w:p w14:paraId="4C1F3947">
      <w:pPr>
        <w:pStyle w:val="3"/>
        <w:spacing w:after="100" w:line="280" w:lineRule="exact"/>
        <w:jc w:val="left"/>
        <w:rPr>
          <w:rFonts w:ascii="宋体" w:hAnsi="宋体" w:cs="宋体"/>
          <w:b/>
          <w:bCs/>
        </w:rPr>
      </w:pPr>
      <w:bookmarkStart w:id="490" w:name="_Toc989379"/>
      <w:r>
        <w:rPr>
          <w:rFonts w:ascii="宋体" w:hAnsi="宋体" w:cs="宋体"/>
          <w:b/>
          <w:bCs/>
        </w:rPr>
        <w:t>1、重要的非调整事项</w:t>
      </w:r>
      <w:bookmarkEnd w:id="490"/>
    </w:p>
    <w:p w14:paraId="64E537A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59A4FB7">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94D9D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1769EBF">
            <w:pPr>
              <w:spacing w:before="40" w:after="40" w:line="240" w:lineRule="exact"/>
              <w:jc w:val="center"/>
              <w:rPr>
                <w:rFonts w:ascii="宋体" w:hAnsi="宋体" w:eastAsia="宋体" w:cs="宋体"/>
                <w:sz w:val="18"/>
                <w:szCs w:val="18"/>
              </w:rPr>
            </w:pPr>
            <w:r>
              <w:rPr>
                <w:rFonts w:ascii="宋体" w:hAnsi="宋体" w:eastAsia="宋体" w:cs="宋体"/>
                <w:sz w:val="18"/>
                <w:szCs w:val="18"/>
              </w:rPr>
              <w:t>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EB4C65A">
            <w:pPr>
              <w:spacing w:before="40" w:after="40" w:line="240" w:lineRule="exact"/>
              <w:jc w:val="center"/>
              <w:rPr>
                <w:rFonts w:ascii="宋体" w:hAnsi="宋体" w:eastAsia="宋体" w:cs="宋体"/>
                <w:sz w:val="18"/>
                <w:szCs w:val="18"/>
              </w:rPr>
            </w:pPr>
            <w:r>
              <w:rPr>
                <w:rFonts w:ascii="宋体" w:hAnsi="宋体" w:eastAsia="宋体" w:cs="宋体"/>
                <w:sz w:val="18"/>
                <w:szCs w:val="18"/>
              </w:rPr>
              <w:t>对财务状况和经营成果的影响数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2A30AE">
            <w:pPr>
              <w:spacing w:before="40" w:after="40" w:line="240" w:lineRule="exact"/>
              <w:jc w:val="center"/>
              <w:rPr>
                <w:rFonts w:ascii="宋体" w:hAnsi="宋体" w:eastAsia="宋体" w:cs="宋体"/>
                <w:sz w:val="18"/>
                <w:szCs w:val="18"/>
              </w:rPr>
            </w:pPr>
            <w:r>
              <w:rPr>
                <w:rFonts w:ascii="宋体" w:hAnsi="宋体" w:eastAsia="宋体" w:cs="宋体"/>
                <w:sz w:val="18"/>
                <w:szCs w:val="18"/>
              </w:rPr>
              <w:t>无法估计影响数的原因</w:t>
            </w:r>
          </w:p>
        </w:tc>
      </w:tr>
    </w:tbl>
    <w:p w14:paraId="4377948B">
      <w:pPr>
        <w:pStyle w:val="3"/>
        <w:spacing w:after="100" w:line="280" w:lineRule="exact"/>
        <w:jc w:val="left"/>
      </w:pPr>
      <w:bookmarkStart w:id="491" w:name="_Toc989380"/>
      <w:r>
        <w:rPr>
          <w:rFonts w:ascii="宋体" w:hAnsi="宋体" w:cs="宋体"/>
          <w:b/>
          <w:bCs/>
        </w:rPr>
        <w:t>2、利润分配情况</w:t>
      </w:r>
      <w:bookmarkEnd w:id="491"/>
    </w:p>
    <w:p w14:paraId="2314C1A2">
      <w:pPr>
        <w:pStyle w:val="3"/>
        <w:spacing w:after="100" w:line="280" w:lineRule="exact"/>
        <w:jc w:val="left"/>
      </w:pPr>
      <w:bookmarkStart w:id="492" w:name="_Toc989381"/>
      <w:r>
        <w:rPr>
          <w:rFonts w:ascii="宋体" w:hAnsi="宋体" w:cs="宋体"/>
          <w:b/>
          <w:bCs/>
        </w:rPr>
        <w:t>3、销售退回</w:t>
      </w:r>
      <w:bookmarkEnd w:id="492"/>
    </w:p>
    <w:p w14:paraId="52D41305">
      <w:pPr>
        <w:pStyle w:val="3"/>
        <w:spacing w:after="100" w:line="280" w:lineRule="exact"/>
        <w:jc w:val="left"/>
      </w:pPr>
      <w:bookmarkStart w:id="493" w:name="_Toc989382"/>
      <w:r>
        <w:rPr>
          <w:rFonts w:ascii="宋体" w:hAnsi="宋体" w:cs="宋体"/>
          <w:b/>
          <w:bCs/>
        </w:rPr>
        <w:t>4、其他资产负债表日后事项说明</w:t>
      </w:r>
      <w:bookmarkEnd w:id="493"/>
    </w:p>
    <w:p w14:paraId="2CEA963C">
      <w:pPr>
        <w:pStyle w:val="2"/>
        <w:spacing w:before="300" w:after="300" w:line="320" w:lineRule="exact"/>
        <w:rPr>
          <w:rFonts w:ascii="宋体" w:hAnsi="宋体" w:eastAsia="宋体" w:cs="宋体"/>
          <w:b/>
          <w:bCs/>
          <w:sz w:val="24"/>
          <w:szCs w:val="24"/>
        </w:rPr>
      </w:pPr>
      <w:bookmarkStart w:id="494" w:name="_Toc989383"/>
      <w:r>
        <w:rPr>
          <w:rFonts w:ascii="宋体" w:hAnsi="宋体" w:eastAsia="宋体" w:cs="宋体"/>
          <w:b/>
          <w:bCs/>
          <w:sz w:val="24"/>
          <w:szCs w:val="24"/>
        </w:rPr>
        <w:t>十八、其他重要事项</w:t>
      </w:r>
      <w:bookmarkEnd w:id="494"/>
    </w:p>
    <w:p w14:paraId="3E925975">
      <w:pPr>
        <w:pStyle w:val="3"/>
        <w:spacing w:after="100" w:line="280" w:lineRule="exact"/>
        <w:jc w:val="left"/>
        <w:rPr>
          <w:rFonts w:ascii="宋体" w:hAnsi="宋体" w:cs="宋体"/>
          <w:b/>
          <w:bCs/>
        </w:rPr>
      </w:pPr>
      <w:bookmarkStart w:id="495" w:name="_Toc989384"/>
      <w:r>
        <w:rPr>
          <w:rFonts w:ascii="宋体" w:hAnsi="宋体" w:cs="宋体"/>
          <w:b/>
          <w:bCs/>
        </w:rPr>
        <w:t>1、前期会计差错更正</w:t>
      </w:r>
      <w:bookmarkEnd w:id="495"/>
    </w:p>
    <w:p w14:paraId="0F7EB94B">
      <w:pPr>
        <w:keepNext/>
        <w:keepLines/>
        <w:spacing w:before="300" w:after="100" w:line="280" w:lineRule="exact"/>
        <w:outlineLvl w:val="3"/>
        <w:rPr>
          <w:rFonts w:ascii="宋体" w:hAnsi="宋体" w:eastAsia="宋体" w:cs="宋体"/>
          <w:b/>
          <w:bCs/>
          <w:szCs w:val="21"/>
        </w:rPr>
      </w:pPr>
      <w:bookmarkStart w:id="496" w:name="_Toc989385"/>
      <w:r>
        <w:rPr>
          <w:rFonts w:ascii="宋体" w:hAnsi="宋体" w:eastAsia="宋体" w:cs="宋体"/>
          <w:b/>
          <w:bCs/>
          <w:szCs w:val="21"/>
        </w:rPr>
        <w:t>（1） 追溯重述法</w:t>
      </w:r>
      <w:bookmarkEnd w:id="496"/>
    </w:p>
    <w:p w14:paraId="0B973948">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04FDF3DC">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7D3A20">
            <w:pPr>
              <w:spacing w:before="40" w:after="100" w:line="240" w:lineRule="exact"/>
              <w:jc w:val="center"/>
              <w:rPr>
                <w:rFonts w:ascii="宋体" w:hAnsi="宋体" w:eastAsia="宋体" w:cs="宋体"/>
                <w:sz w:val="18"/>
                <w:szCs w:val="18"/>
              </w:rPr>
            </w:pPr>
            <w:r>
              <w:rPr>
                <w:rFonts w:ascii="宋体" w:hAnsi="宋体" w:eastAsia="宋体" w:cs="宋体"/>
                <w:sz w:val="18"/>
                <w:szCs w:val="18"/>
              </w:rPr>
              <w:t>会计差错更正的内容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2BB597">
            <w:pPr>
              <w:spacing w:before="40" w:after="100" w:line="240" w:lineRule="exact"/>
              <w:jc w:val="center"/>
              <w:rPr>
                <w:rFonts w:ascii="宋体" w:hAnsi="宋体" w:eastAsia="宋体" w:cs="宋体"/>
                <w:sz w:val="18"/>
                <w:szCs w:val="18"/>
              </w:rPr>
            </w:pPr>
            <w:r>
              <w:rPr>
                <w:rFonts w:ascii="宋体" w:hAnsi="宋体" w:eastAsia="宋体" w:cs="宋体"/>
                <w:sz w:val="18"/>
                <w:szCs w:val="18"/>
              </w:rPr>
              <w:t>处理程序</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5E24523">
            <w:pPr>
              <w:spacing w:before="40" w:after="100" w:line="240" w:lineRule="exact"/>
              <w:jc w:val="center"/>
              <w:rPr>
                <w:rFonts w:ascii="宋体" w:hAnsi="宋体" w:eastAsia="宋体" w:cs="宋体"/>
                <w:sz w:val="18"/>
                <w:szCs w:val="18"/>
              </w:rPr>
            </w:pPr>
            <w:r>
              <w:rPr>
                <w:rFonts w:ascii="宋体" w:hAnsi="宋体" w:eastAsia="宋体" w:cs="宋体"/>
                <w:sz w:val="18"/>
                <w:szCs w:val="18"/>
              </w:rPr>
              <w:t>受影响的各个比较期间报表项目名称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831D0B">
            <w:pPr>
              <w:spacing w:before="40" w:after="100" w:line="240" w:lineRule="exact"/>
              <w:jc w:val="center"/>
              <w:rPr>
                <w:rFonts w:ascii="宋体" w:hAnsi="宋体" w:eastAsia="宋体" w:cs="宋体"/>
                <w:sz w:val="18"/>
                <w:szCs w:val="18"/>
              </w:rPr>
            </w:pPr>
            <w:r>
              <w:rPr>
                <w:rFonts w:ascii="宋体" w:hAnsi="宋体" w:eastAsia="宋体" w:cs="宋体"/>
                <w:sz w:val="18"/>
                <w:szCs w:val="18"/>
              </w:rPr>
              <w:t>累积影响数</w:t>
            </w:r>
          </w:p>
        </w:tc>
      </w:tr>
    </w:tbl>
    <w:p w14:paraId="1D80EFA1">
      <w:pPr>
        <w:keepNext/>
        <w:keepLines/>
        <w:spacing w:before="300" w:after="100" w:line="280" w:lineRule="exact"/>
        <w:outlineLvl w:val="3"/>
        <w:rPr>
          <w:rFonts w:ascii="宋体" w:hAnsi="宋体" w:eastAsia="宋体" w:cs="宋体"/>
          <w:b/>
          <w:bCs/>
          <w:szCs w:val="21"/>
        </w:rPr>
      </w:pPr>
      <w:bookmarkStart w:id="497" w:name="_Toc989386"/>
      <w:r>
        <w:rPr>
          <w:rFonts w:ascii="宋体" w:hAnsi="宋体" w:eastAsia="宋体" w:cs="宋体"/>
          <w:b/>
          <w:bCs/>
          <w:szCs w:val="21"/>
        </w:rPr>
        <w:t>（2） 未来适用法</w:t>
      </w:r>
      <w:bookmarkEnd w:id="497"/>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2A21D5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75A982">
            <w:pPr>
              <w:spacing w:before="40" w:after="40" w:line="240" w:lineRule="exact"/>
              <w:jc w:val="center"/>
              <w:rPr>
                <w:rFonts w:ascii="宋体" w:hAnsi="宋体" w:eastAsia="宋体" w:cs="宋体"/>
                <w:sz w:val="18"/>
                <w:szCs w:val="18"/>
              </w:rPr>
            </w:pPr>
            <w:r>
              <w:rPr>
                <w:rFonts w:ascii="宋体" w:hAnsi="宋体" w:eastAsia="宋体" w:cs="宋体"/>
                <w:sz w:val="18"/>
                <w:szCs w:val="18"/>
              </w:rPr>
              <w:t>会计差错更正的内容</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F4DF02">
            <w:pPr>
              <w:spacing w:before="40" w:after="40" w:line="240" w:lineRule="exact"/>
              <w:jc w:val="center"/>
              <w:rPr>
                <w:rFonts w:ascii="宋体" w:hAnsi="宋体" w:eastAsia="宋体" w:cs="宋体"/>
                <w:sz w:val="18"/>
                <w:szCs w:val="18"/>
              </w:rPr>
            </w:pPr>
            <w:r>
              <w:rPr>
                <w:rFonts w:ascii="宋体" w:hAnsi="宋体" w:eastAsia="宋体" w:cs="宋体"/>
                <w:sz w:val="18"/>
                <w:szCs w:val="18"/>
              </w:rPr>
              <w:t>批准程序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C1017">
            <w:pPr>
              <w:spacing w:before="40" w:after="40" w:line="240" w:lineRule="exact"/>
              <w:jc w:val="center"/>
              <w:rPr>
                <w:rFonts w:ascii="宋体" w:hAnsi="宋体" w:eastAsia="宋体" w:cs="宋体"/>
                <w:sz w:val="18"/>
                <w:szCs w:val="18"/>
              </w:rPr>
            </w:pPr>
            <w:r>
              <w:rPr>
                <w:rFonts w:ascii="宋体" w:hAnsi="宋体" w:eastAsia="宋体" w:cs="宋体"/>
                <w:sz w:val="18"/>
                <w:szCs w:val="18"/>
              </w:rPr>
              <w:t>采用未来适用法的原因</w:t>
            </w:r>
          </w:p>
        </w:tc>
      </w:tr>
    </w:tbl>
    <w:p w14:paraId="3F5BCE7E">
      <w:pPr>
        <w:pStyle w:val="3"/>
        <w:keepNext w:val="0"/>
        <w:keepLines w:val="0"/>
        <w:spacing w:after="100" w:line="280" w:lineRule="exact"/>
        <w:jc w:val="left"/>
      </w:pPr>
      <w:bookmarkStart w:id="498" w:name="_Toc989387"/>
      <w:r>
        <w:rPr>
          <w:rFonts w:ascii="宋体" w:hAnsi="宋体" w:cs="宋体"/>
          <w:b/>
          <w:bCs/>
        </w:rPr>
        <w:t>2、债务重组</w:t>
      </w:r>
      <w:bookmarkEnd w:id="498"/>
    </w:p>
    <w:p w14:paraId="400D8B9E">
      <w:pPr>
        <w:pStyle w:val="3"/>
        <w:keepNext w:val="0"/>
        <w:keepLines w:val="0"/>
        <w:spacing w:after="100" w:line="280" w:lineRule="exact"/>
        <w:jc w:val="left"/>
        <w:rPr>
          <w:rFonts w:ascii="宋体" w:hAnsi="宋体" w:cs="宋体"/>
          <w:b/>
          <w:bCs/>
        </w:rPr>
      </w:pPr>
      <w:bookmarkStart w:id="499" w:name="_Toc989388"/>
      <w:r>
        <w:rPr>
          <w:rFonts w:ascii="宋体" w:hAnsi="宋体" w:cs="宋体"/>
          <w:b/>
          <w:bCs/>
        </w:rPr>
        <w:t>3、资产置换</w:t>
      </w:r>
      <w:bookmarkEnd w:id="499"/>
    </w:p>
    <w:p w14:paraId="641EB2E3">
      <w:pPr>
        <w:keepNext w:val="0"/>
        <w:keepLines w:val="0"/>
        <w:spacing w:before="300" w:after="100" w:line="280" w:lineRule="exact"/>
        <w:outlineLvl w:val="3"/>
      </w:pPr>
      <w:bookmarkStart w:id="500" w:name="_Toc989389"/>
      <w:r>
        <w:rPr>
          <w:rFonts w:ascii="宋体" w:hAnsi="宋体" w:eastAsia="宋体" w:cs="宋体"/>
          <w:b/>
          <w:bCs/>
          <w:szCs w:val="21"/>
        </w:rPr>
        <w:t>（1） 非货币性资产交换</w:t>
      </w:r>
      <w:bookmarkEnd w:id="500"/>
    </w:p>
    <w:p w14:paraId="7A6240E3">
      <w:pPr>
        <w:spacing w:before="300" w:after="100" w:line="280" w:lineRule="exact"/>
        <w:outlineLvl w:val="3"/>
      </w:pPr>
      <w:bookmarkStart w:id="501" w:name="_Toc989390"/>
      <w:r>
        <w:rPr>
          <w:rFonts w:ascii="宋体" w:hAnsi="宋体" w:eastAsia="宋体" w:cs="宋体"/>
          <w:b/>
          <w:bCs/>
          <w:szCs w:val="21"/>
        </w:rPr>
        <w:t>（2） 其他资产置换</w:t>
      </w:r>
      <w:bookmarkEnd w:id="501"/>
    </w:p>
    <w:p w14:paraId="3F8AC439">
      <w:pPr>
        <w:pStyle w:val="3"/>
        <w:keepNext w:val="0"/>
        <w:keepLines w:val="0"/>
        <w:spacing w:after="100" w:line="280" w:lineRule="exact"/>
        <w:jc w:val="left"/>
      </w:pPr>
      <w:bookmarkStart w:id="502" w:name="_Toc989391"/>
      <w:r>
        <w:rPr>
          <w:rFonts w:ascii="宋体" w:hAnsi="宋体" w:cs="宋体"/>
          <w:b/>
          <w:bCs/>
        </w:rPr>
        <w:t>4、年金计划</w:t>
      </w:r>
      <w:bookmarkEnd w:id="502"/>
    </w:p>
    <w:p w14:paraId="49968870">
      <w:pPr>
        <w:pStyle w:val="3"/>
        <w:keepNext w:val="0"/>
        <w:keepLines w:val="0"/>
        <w:spacing w:after="100" w:line="280" w:lineRule="exact"/>
        <w:jc w:val="left"/>
        <w:rPr>
          <w:rFonts w:ascii="宋体" w:hAnsi="宋体" w:cs="宋体"/>
          <w:b/>
          <w:bCs/>
        </w:rPr>
      </w:pPr>
      <w:bookmarkStart w:id="503" w:name="_Toc989392"/>
      <w:r>
        <w:rPr>
          <w:rFonts w:ascii="宋体" w:hAnsi="宋体" w:cs="宋体"/>
          <w:b/>
          <w:bCs/>
        </w:rPr>
        <w:t>5、终止经营</w:t>
      </w:r>
      <w:bookmarkEnd w:id="503"/>
    </w:p>
    <w:p w14:paraId="2EFD005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017AF1F">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02C04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3983ABD">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124CA9">
            <w:pPr>
              <w:spacing w:before="40" w:after="40" w:line="240" w:lineRule="exact"/>
              <w:jc w:val="center"/>
              <w:rPr>
                <w:rFonts w:ascii="宋体" w:hAnsi="宋体" w:eastAsia="宋体" w:cs="宋体"/>
                <w:sz w:val="18"/>
                <w:szCs w:val="18"/>
              </w:rPr>
            </w:pPr>
            <w:r>
              <w:rPr>
                <w:rFonts w:ascii="宋体" w:hAnsi="宋体" w:eastAsia="宋体" w:cs="宋体"/>
                <w:sz w:val="18"/>
                <w:szCs w:val="18"/>
              </w:rPr>
              <w:t>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13CDBC">
            <w:pPr>
              <w:spacing w:before="40" w:after="40" w:line="240" w:lineRule="exact"/>
              <w:jc w:val="center"/>
              <w:rPr>
                <w:rFonts w:ascii="宋体" w:hAnsi="宋体" w:eastAsia="宋体" w:cs="宋体"/>
                <w:sz w:val="18"/>
                <w:szCs w:val="18"/>
              </w:rPr>
            </w:pPr>
            <w:r>
              <w:rPr>
                <w:rFonts w:ascii="宋体" w:hAnsi="宋体" w:eastAsia="宋体" w:cs="宋体"/>
                <w:sz w:val="18"/>
                <w:szCs w:val="18"/>
              </w:rPr>
              <w:t>利润总额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9C84CB6">
            <w:pPr>
              <w:spacing w:before="40" w:after="40" w:line="240" w:lineRule="exact"/>
              <w:jc w:val="center"/>
              <w:rPr>
                <w:rFonts w:ascii="宋体" w:hAnsi="宋体" w:eastAsia="宋体" w:cs="宋体"/>
                <w:sz w:val="18"/>
                <w:szCs w:val="18"/>
              </w:rPr>
            </w:pPr>
            <w:r>
              <w:rPr>
                <w:rFonts w:ascii="宋体" w:hAnsi="宋体" w:eastAsia="宋体" w:cs="宋体"/>
                <w:sz w:val="18"/>
                <w:szCs w:val="18"/>
              </w:rPr>
              <w:t>所得税费用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33AA6E">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1DECF1">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归属于母公司所有者的终止经营利润</w:t>
            </w:r>
          </w:p>
        </w:tc>
      </w:tr>
    </w:tbl>
    <w:p w14:paraId="35CFA69F">
      <w:pPr>
        <w:spacing w:before="100" w:after="100" w:line="240" w:lineRule="exact"/>
      </w:pPr>
      <w:r>
        <w:rPr>
          <w:rFonts w:ascii="宋体" w:hAnsi="宋体" w:eastAsia="宋体" w:cs="宋体"/>
          <w:sz w:val="18"/>
          <w:szCs w:val="18"/>
        </w:rPr>
        <w:t>其他说明</w:t>
      </w:r>
    </w:p>
    <w:p w14:paraId="7A3800FE">
      <w:pPr>
        <w:pStyle w:val="3"/>
        <w:spacing w:after="100" w:line="280" w:lineRule="exact"/>
        <w:jc w:val="left"/>
        <w:rPr>
          <w:rFonts w:ascii="宋体" w:hAnsi="宋体" w:cs="宋体"/>
          <w:b/>
          <w:bCs/>
        </w:rPr>
      </w:pPr>
      <w:bookmarkStart w:id="504" w:name="_Toc989393"/>
      <w:r>
        <w:rPr>
          <w:rFonts w:ascii="宋体" w:hAnsi="宋体" w:cs="宋体"/>
          <w:b/>
          <w:bCs/>
        </w:rPr>
        <w:t>6、分部信息</w:t>
      </w:r>
      <w:bookmarkEnd w:id="504"/>
    </w:p>
    <w:p w14:paraId="5E3D9310">
      <w:pPr>
        <w:keepNext/>
        <w:keepLines/>
        <w:spacing w:before="300" w:after="100" w:line="280" w:lineRule="exact"/>
        <w:outlineLvl w:val="3"/>
      </w:pPr>
      <w:bookmarkStart w:id="505" w:name="_Toc989394"/>
      <w:r>
        <w:rPr>
          <w:rFonts w:ascii="宋体" w:hAnsi="宋体" w:eastAsia="宋体" w:cs="宋体"/>
          <w:b/>
          <w:bCs/>
          <w:szCs w:val="21"/>
        </w:rPr>
        <w:t>（1） 报告分部的确定依据与会计政策</w:t>
      </w:r>
      <w:bookmarkEnd w:id="505"/>
    </w:p>
    <w:p w14:paraId="7B3FC3F2">
      <w:pPr>
        <w:keepNext/>
        <w:keepLines/>
        <w:spacing w:before="300" w:after="100" w:line="280" w:lineRule="exact"/>
        <w:outlineLvl w:val="3"/>
        <w:rPr>
          <w:rFonts w:ascii="宋体" w:hAnsi="宋体" w:eastAsia="宋体" w:cs="宋体"/>
          <w:b/>
          <w:bCs/>
          <w:szCs w:val="21"/>
        </w:rPr>
      </w:pPr>
      <w:bookmarkStart w:id="506" w:name="_Toc989395"/>
      <w:r>
        <w:rPr>
          <w:rFonts w:ascii="宋体" w:hAnsi="宋体" w:eastAsia="宋体" w:cs="宋体"/>
          <w:b/>
          <w:bCs/>
          <w:szCs w:val="21"/>
        </w:rPr>
        <w:t>（2） 报告分部的财务信息</w:t>
      </w:r>
      <w:bookmarkEnd w:id="506"/>
    </w:p>
    <w:p w14:paraId="584D13C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8875252">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FC6C5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vAlign w:val="center"/>
          </w:tcPr>
          <w:p w14:paraId="31D45404">
            <w:pPr>
              <w:spacing w:line="240" w:lineRule="exact"/>
              <w:jc w:val="center"/>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9A7E935">
            <w:pPr>
              <w:spacing w:before="40" w:after="40" w:line="240" w:lineRule="exact"/>
              <w:jc w:val="center"/>
              <w:rPr>
                <w:rFonts w:ascii="宋体" w:hAnsi="宋体" w:eastAsia="宋体" w:cs="宋体"/>
                <w:sz w:val="18"/>
                <w:szCs w:val="18"/>
              </w:rPr>
            </w:pPr>
            <w:r>
              <w:rPr>
                <w:rFonts w:ascii="宋体" w:hAnsi="宋体" w:eastAsia="宋体" w:cs="宋体"/>
                <w:sz w:val="18"/>
                <w:szCs w:val="18"/>
              </w:rPr>
              <w:t>分部间抵销</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AA623A">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79A85553">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A6DC206">
            <w:pPr>
              <w:spacing w:line="240" w:lineRule="exac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FB9166D">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A9E40EA">
            <w:pPr>
              <w:spacing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42D51D0">
            <w:pPr>
              <w:spacing w:line="240" w:lineRule="exact"/>
              <w:jc w:val="right"/>
              <w:rPr>
                <w:rFonts w:ascii="宋体" w:hAnsi="宋体" w:eastAsia="宋体" w:cs="宋体"/>
                <w:sz w:val="18"/>
                <w:szCs w:val="18"/>
              </w:rPr>
            </w:pPr>
          </w:p>
        </w:tc>
      </w:tr>
    </w:tbl>
    <w:p w14:paraId="72ACED51">
      <w:pPr>
        <w:keepNext/>
        <w:keepLines/>
        <w:spacing w:before="300" w:after="100" w:line="280" w:lineRule="exact"/>
        <w:outlineLvl w:val="3"/>
      </w:pPr>
      <w:bookmarkStart w:id="507" w:name="_Toc989396"/>
      <w:r>
        <w:rPr>
          <w:rFonts w:ascii="宋体" w:hAnsi="宋体" w:eastAsia="宋体" w:cs="宋体"/>
          <w:b/>
          <w:bCs/>
          <w:szCs w:val="21"/>
        </w:rPr>
        <w:t>（3） 公司无报告分部的，或者不能披露各报告分部的资产总额和负债总额的，应说明原因</w:t>
      </w:r>
      <w:bookmarkEnd w:id="507"/>
    </w:p>
    <w:p w14:paraId="32078E8D">
      <w:pPr>
        <w:keepNext/>
        <w:keepLines/>
        <w:spacing w:before="300" w:after="100" w:line="280" w:lineRule="exact"/>
        <w:outlineLvl w:val="3"/>
      </w:pPr>
      <w:bookmarkStart w:id="508" w:name="_Toc989397"/>
      <w:r>
        <w:rPr>
          <w:rFonts w:ascii="宋体" w:hAnsi="宋体" w:eastAsia="宋体" w:cs="宋体"/>
          <w:b/>
          <w:bCs/>
          <w:szCs w:val="21"/>
        </w:rPr>
        <w:t>（4） 其他说明</w:t>
      </w:r>
      <w:bookmarkEnd w:id="508"/>
    </w:p>
    <w:p w14:paraId="4C1B0AC4">
      <w:pPr>
        <w:pStyle w:val="3"/>
        <w:spacing w:line="280" w:lineRule="exact"/>
        <w:jc w:val="left"/>
      </w:pPr>
      <w:bookmarkStart w:id="509" w:name="_Toc989398"/>
      <w:r>
        <w:rPr>
          <w:rFonts w:ascii="宋体" w:hAnsi="宋体" w:cs="宋体"/>
          <w:b/>
          <w:bCs/>
        </w:rPr>
        <w:t>7、其他对投资者决策有影响的重要交易和事项</w:t>
      </w:r>
      <w:bookmarkEnd w:id="509"/>
    </w:p>
    <w:p w14:paraId="750C685B">
      <w:pPr>
        <w:spacing w:after="100"/>
      </w:pPr>
      <w:bookmarkStart w:id="510" w:name="_Toc989399"/>
      <w:r>
        <w:rPr>
          <w:rFonts w:ascii="宋体" w:hAnsi="宋体" w:cs="宋体"/>
          <w:b/>
          <w:bCs/>
        </w:rPr>
        <w:t>8、其他</w:t>
      </w:r>
      <w:bookmarkEnd w:id="510"/>
    </w:p>
    <w:p w14:paraId="1463278A">
      <w:pPr>
        <w:pStyle w:val="2"/>
        <w:spacing w:before="300" w:after="100" w:line="320" w:lineRule="exact"/>
        <w:rPr>
          <w:rFonts w:ascii="宋体" w:hAnsi="宋体" w:eastAsia="宋体" w:cs="宋体"/>
          <w:b/>
          <w:bCs/>
          <w:sz w:val="24"/>
          <w:szCs w:val="24"/>
        </w:rPr>
      </w:pPr>
      <w:bookmarkStart w:id="511" w:name="_Toc989400"/>
      <w:r>
        <w:rPr>
          <w:rFonts w:ascii="宋体" w:hAnsi="宋体" w:eastAsia="宋体" w:cs="宋体"/>
          <w:b/>
          <w:bCs/>
          <w:sz w:val="24"/>
          <w:szCs w:val="24"/>
        </w:rPr>
        <w:t>十九、母公司财务报表主要项目注释</w:t>
      </w:r>
      <w:bookmarkEnd w:id="511"/>
    </w:p>
    <w:p w14:paraId="3AF0A483">
      <w:pPr>
        <w:pStyle w:val="3"/>
        <w:spacing w:after="100" w:line="280" w:lineRule="exact"/>
        <w:jc w:val="left"/>
        <w:rPr>
          <w:rFonts w:ascii="宋体" w:hAnsi="宋体" w:cs="宋体"/>
          <w:b/>
          <w:bCs/>
        </w:rPr>
      </w:pPr>
      <w:bookmarkStart w:id="512" w:name="_Toc989401"/>
      <w:r>
        <w:rPr>
          <w:rFonts w:ascii="宋体" w:hAnsi="宋体" w:cs="宋体"/>
          <w:b/>
          <w:bCs/>
        </w:rPr>
        <w:t>1、应收账款</w:t>
      </w:r>
      <w:bookmarkEnd w:id="512"/>
    </w:p>
    <w:p w14:paraId="3CE40517">
      <w:pPr>
        <w:keepNext/>
        <w:keepLines/>
        <w:spacing w:before="300" w:after="100" w:line="280" w:lineRule="exact"/>
        <w:outlineLvl w:val="3"/>
        <w:rPr>
          <w:rFonts w:ascii="宋体" w:hAnsi="宋体" w:eastAsia="宋体" w:cs="宋体"/>
          <w:b/>
          <w:bCs/>
          <w:szCs w:val="21"/>
        </w:rPr>
      </w:pPr>
      <w:bookmarkStart w:id="513" w:name="_Toc989402"/>
      <w:r>
        <w:rPr>
          <w:rFonts w:ascii="宋体" w:hAnsi="宋体" w:eastAsia="宋体" w:cs="宋体"/>
          <w:b/>
          <w:bCs/>
          <w:szCs w:val="21"/>
        </w:rPr>
        <w:t>（1） 按账龄披露</w:t>
      </w:r>
      <w:bookmarkEnd w:id="513"/>
    </w:p>
    <w:p w14:paraId="12A4127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B76F4C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65CB55">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363CC4">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C61094">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3860F3C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9854AC">
            <w:pPr>
              <w:spacing w:before="40" w:after="40" w:line="240" w:lineRule="exac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17F52C0B">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3213" w:type="dxa"/>
            <w:tcBorders>
              <w:top w:val="single" w:color="auto" w:sz="2" w:space="0"/>
              <w:left w:val="single" w:color="auto" w:sz="2" w:space="0"/>
              <w:bottom w:val="single" w:color="auto" w:sz="2" w:space="0"/>
              <w:right w:val="single" w:color="auto" w:sz="2" w:space="0"/>
            </w:tcBorders>
            <w:vAlign w:val="center"/>
          </w:tcPr>
          <w:p w14:paraId="33A76881">
            <w:pPr>
              <w:spacing w:line="240" w:lineRule="exact"/>
              <w:jc w:val="right"/>
              <w:rPr>
                <w:rFonts w:ascii="宋体" w:hAnsi="宋体" w:eastAsia="宋体" w:cs="宋体"/>
                <w:sz w:val="18"/>
                <w:szCs w:val="18"/>
              </w:rPr>
            </w:pPr>
            <w:r>
              <w:rPr>
                <w:rFonts w:ascii="宋体" w:hAnsi="宋体" w:eastAsia="宋体" w:cs="宋体"/>
                <w:sz w:val="18"/>
                <w:szCs w:val="18"/>
              </w:rPr>
              <w:t>4,309.83</w:t>
            </w:r>
          </w:p>
        </w:tc>
      </w:tr>
      <w:tr w14:paraId="38C5141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750E1A">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77AB0277">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3213" w:type="dxa"/>
            <w:tcBorders>
              <w:top w:val="single" w:color="auto" w:sz="2" w:space="0"/>
              <w:left w:val="single" w:color="auto" w:sz="2" w:space="0"/>
              <w:bottom w:val="single" w:color="auto" w:sz="2" w:space="0"/>
              <w:right w:val="single" w:color="auto" w:sz="2" w:space="0"/>
            </w:tcBorders>
            <w:vAlign w:val="center"/>
          </w:tcPr>
          <w:p w14:paraId="768A755B">
            <w:pPr>
              <w:spacing w:line="240" w:lineRule="exact"/>
              <w:jc w:val="right"/>
              <w:rPr>
                <w:rFonts w:ascii="宋体" w:hAnsi="宋体" w:eastAsia="宋体" w:cs="宋体"/>
                <w:sz w:val="18"/>
                <w:szCs w:val="18"/>
              </w:rPr>
            </w:pPr>
            <w:r>
              <w:rPr>
                <w:rFonts w:ascii="宋体" w:hAnsi="宋体" w:eastAsia="宋体" w:cs="宋体"/>
                <w:sz w:val="18"/>
                <w:szCs w:val="18"/>
              </w:rPr>
              <w:t>4,309.83</w:t>
            </w:r>
          </w:p>
        </w:tc>
      </w:tr>
      <w:tr w14:paraId="285A36A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A00C05">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5FA03F7">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3213" w:type="dxa"/>
            <w:tcBorders>
              <w:top w:val="single" w:color="auto" w:sz="2" w:space="0"/>
              <w:left w:val="single" w:color="auto" w:sz="2" w:space="0"/>
              <w:bottom w:val="single" w:color="auto" w:sz="2" w:space="0"/>
              <w:right w:val="single" w:color="auto" w:sz="2" w:space="0"/>
            </w:tcBorders>
            <w:vAlign w:val="center"/>
          </w:tcPr>
          <w:p w14:paraId="23770727">
            <w:pPr>
              <w:spacing w:line="240" w:lineRule="exact"/>
              <w:jc w:val="right"/>
              <w:rPr>
                <w:rFonts w:ascii="宋体" w:hAnsi="宋体" w:eastAsia="宋体" w:cs="宋体"/>
                <w:sz w:val="18"/>
                <w:szCs w:val="18"/>
              </w:rPr>
            </w:pPr>
            <w:r>
              <w:rPr>
                <w:rFonts w:ascii="宋体" w:hAnsi="宋体" w:eastAsia="宋体" w:cs="宋体"/>
                <w:sz w:val="18"/>
                <w:szCs w:val="18"/>
              </w:rPr>
              <w:t>4,309.83</w:t>
            </w:r>
          </w:p>
        </w:tc>
      </w:tr>
    </w:tbl>
    <w:p w14:paraId="27EEF265">
      <w:pPr>
        <w:keepNext/>
        <w:keepLines/>
        <w:spacing w:before="300" w:after="100" w:line="280" w:lineRule="exact"/>
        <w:outlineLvl w:val="3"/>
        <w:rPr>
          <w:rFonts w:ascii="宋体" w:hAnsi="宋体" w:eastAsia="宋体" w:cs="宋体"/>
          <w:b/>
          <w:bCs/>
          <w:szCs w:val="21"/>
        </w:rPr>
      </w:pPr>
      <w:bookmarkStart w:id="514" w:name="_Toc989403"/>
      <w:r>
        <w:rPr>
          <w:rFonts w:ascii="宋体" w:hAnsi="宋体" w:eastAsia="宋体" w:cs="宋体"/>
          <w:b/>
          <w:bCs/>
          <w:szCs w:val="21"/>
        </w:rPr>
        <w:t>（2） 按坏账计提方法分类披露</w:t>
      </w:r>
      <w:bookmarkEnd w:id="514"/>
    </w:p>
    <w:p w14:paraId="14D5C4BE">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5A5AD063">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E95B67">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E6468F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D1BB0C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1E93F00">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8F9420D"/>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D67CFA1">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2952456">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9FD0B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41684F3">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EF725E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762800">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0CBE3BA7">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22A2E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D0C28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C36E83">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737DA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BA7E58D">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1E3E6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4D73CC">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8604CA6">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69599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9ED52A">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6487E5"/>
        </w:tc>
      </w:tr>
      <w:tr w14:paraId="148A2091">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90338E0">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BA9E6F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0E08F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57ABBE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87746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7891A9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1CEBD4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40D25E"/>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D33E1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02897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B609D95"/>
        </w:tc>
      </w:tr>
      <w:tr w14:paraId="3043D567">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2102070">
            <w:pPr>
              <w:spacing w:before="40" w:after="40" w:line="240" w:lineRule="exact"/>
              <w:rPr>
                <w:rFonts w:ascii="宋体" w:hAnsi="宋体" w:eastAsia="宋体" w:cs="宋体"/>
                <w:sz w:val="18"/>
                <w:szCs w:val="18"/>
              </w:rPr>
            </w:pPr>
            <w:r>
              <w:rPr>
                <w:rFonts w:ascii="宋体" w:hAnsi="宋体" w:eastAsia="宋体" w:cs="宋体"/>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0FB9204A">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4C1861D1">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E6D6BD6">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26CED393">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7977848">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38EE3FBE">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271030D8">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32E999F">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1DC849B9">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7C0F355">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60800F57">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5E9BDF">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8E907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D4989B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933F7F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BC55B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931DE1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212B0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7CD1A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7840E9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031B58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E0D54ED"/>
        </w:tc>
      </w:tr>
      <w:tr w14:paraId="3FB88E23">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D97790">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50CCABEC">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56EC6A0E">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6AD7573">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077F98DE">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5183931">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4D56DDA6">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188202C6">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EB114C2">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876" w:type="dxa"/>
            <w:tcBorders>
              <w:top w:val="single" w:color="auto" w:sz="2" w:space="0"/>
              <w:left w:val="single" w:color="auto" w:sz="2" w:space="0"/>
              <w:bottom w:val="single" w:color="auto" w:sz="2" w:space="0"/>
              <w:right w:val="single" w:color="auto" w:sz="2" w:space="0"/>
            </w:tcBorders>
            <w:vAlign w:val="center"/>
          </w:tcPr>
          <w:p w14:paraId="7A764478">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62DA250">
            <w:pPr>
              <w:spacing w:line="240" w:lineRule="exact"/>
              <w:jc w:val="right"/>
              <w:rPr>
                <w:rFonts w:ascii="宋体" w:hAnsi="宋体" w:eastAsia="宋体" w:cs="宋体"/>
                <w:sz w:val="18"/>
                <w:szCs w:val="18"/>
              </w:rPr>
            </w:pPr>
            <w:r>
              <w:rPr>
                <w:rFonts w:ascii="宋体" w:hAnsi="宋体" w:eastAsia="宋体" w:cs="宋体"/>
                <w:sz w:val="18"/>
                <w:szCs w:val="18"/>
              </w:rPr>
              <w:t>0.00</w:t>
            </w:r>
          </w:p>
        </w:tc>
      </w:tr>
    </w:tbl>
    <w:p w14:paraId="26319B99">
      <w:pPr>
        <w:spacing w:before="100" w:after="100" w:line="240" w:lineRule="exact"/>
        <w:rPr>
          <w:rFonts w:ascii="宋体" w:hAnsi="宋体" w:eastAsia="宋体" w:cs="宋体"/>
          <w:sz w:val="18"/>
          <w:szCs w:val="18"/>
        </w:rPr>
      </w:pPr>
      <w:r>
        <w:rPr>
          <w:rFonts w:ascii="宋体" w:hAnsi="宋体" w:eastAsia="宋体" w:cs="宋体"/>
          <w:sz w:val="18"/>
          <w:szCs w:val="18"/>
        </w:rPr>
        <w:t>按组合计提坏账准备类别名称：账龄组合</w:t>
      </w:r>
    </w:p>
    <w:p w14:paraId="582B0FF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7EA1A46">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710CA08">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A23511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C68AB9A">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FEB722"/>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C48D0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7636B8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C2040F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735858AC">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68C206B">
            <w:pPr>
              <w:spacing w:line="240" w:lineRule="exac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48C46AE2">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2410" w:type="dxa"/>
            <w:tcBorders>
              <w:top w:val="single" w:color="auto" w:sz="2" w:space="0"/>
              <w:left w:val="single" w:color="auto" w:sz="2" w:space="0"/>
              <w:bottom w:val="single" w:color="auto" w:sz="2" w:space="0"/>
              <w:right w:val="single" w:color="auto" w:sz="2" w:space="0"/>
            </w:tcBorders>
            <w:vAlign w:val="center"/>
          </w:tcPr>
          <w:p w14:paraId="32453AEA">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2410" w:type="dxa"/>
            <w:tcBorders>
              <w:top w:val="single" w:color="auto" w:sz="2" w:space="0"/>
              <w:left w:val="single" w:color="auto" w:sz="2" w:space="0"/>
              <w:bottom w:val="single" w:color="auto" w:sz="2" w:space="0"/>
              <w:right w:val="single" w:color="auto" w:sz="2" w:space="0"/>
            </w:tcBorders>
            <w:vAlign w:val="center"/>
          </w:tcPr>
          <w:p w14:paraId="24F2028B">
            <w:pPr>
              <w:spacing w:line="240" w:lineRule="exact"/>
              <w:jc w:val="right"/>
              <w:rPr>
                <w:rFonts w:ascii="宋体" w:hAnsi="宋体" w:eastAsia="宋体" w:cs="宋体"/>
                <w:sz w:val="18"/>
                <w:szCs w:val="18"/>
              </w:rPr>
            </w:pPr>
            <w:r>
              <w:rPr>
                <w:rFonts w:ascii="宋体" w:hAnsi="宋体" w:eastAsia="宋体" w:cs="宋体"/>
                <w:sz w:val="18"/>
                <w:szCs w:val="18"/>
              </w:rPr>
              <w:t>100.00%</w:t>
            </w:r>
          </w:p>
        </w:tc>
      </w:tr>
      <w:tr w14:paraId="3B176574">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4EB7F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9F38353">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2410" w:type="dxa"/>
            <w:tcBorders>
              <w:top w:val="single" w:color="auto" w:sz="2" w:space="0"/>
              <w:left w:val="single" w:color="auto" w:sz="2" w:space="0"/>
              <w:bottom w:val="single" w:color="auto" w:sz="2" w:space="0"/>
              <w:right w:val="single" w:color="auto" w:sz="2" w:space="0"/>
            </w:tcBorders>
            <w:vAlign w:val="center"/>
          </w:tcPr>
          <w:p w14:paraId="7E01DAC5">
            <w:pPr>
              <w:spacing w:line="240" w:lineRule="exact"/>
              <w:jc w:val="right"/>
              <w:rPr>
                <w:rFonts w:ascii="宋体" w:hAnsi="宋体" w:eastAsia="宋体" w:cs="宋体"/>
                <w:sz w:val="18"/>
                <w:szCs w:val="18"/>
              </w:rPr>
            </w:pPr>
            <w:r>
              <w:rPr>
                <w:rFonts w:ascii="宋体" w:hAnsi="宋体" w:eastAsia="宋体" w:cs="宋体"/>
                <w:sz w:val="18"/>
                <w:szCs w:val="18"/>
              </w:rPr>
              <w:t>4,309.83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832ACAE"/>
        </w:tc>
      </w:tr>
    </w:tbl>
    <w:p w14:paraId="75039D12">
      <w:pPr>
        <w:spacing w:before="100" w:after="100" w:line="240" w:lineRule="exact"/>
      </w:pPr>
      <w:r>
        <w:rPr>
          <w:rFonts w:ascii="宋体" w:hAnsi="宋体" w:eastAsia="宋体" w:cs="宋体"/>
          <w:sz w:val="18"/>
          <w:szCs w:val="18"/>
        </w:rPr>
        <w:t>确定该组合依据的说明：</w:t>
      </w:r>
    </w:p>
    <w:p w14:paraId="5B1C671F">
      <w:pPr>
        <w:spacing w:before="100" w:after="100" w:line="240" w:lineRule="exact"/>
        <w:rPr>
          <w:rFonts w:ascii="宋体" w:hAnsi="宋体" w:eastAsia="宋体" w:cs="宋体"/>
          <w:sz w:val="18"/>
          <w:szCs w:val="18"/>
        </w:rPr>
      </w:pPr>
      <w:r>
        <w:rPr>
          <w:rFonts w:ascii="宋体" w:hAnsi="宋体" w:eastAsia="宋体" w:cs="宋体"/>
          <w:sz w:val="18"/>
          <w:szCs w:val="18"/>
        </w:rPr>
        <w:t>如是按照预期信用损失一般模型计提应收账款坏账准备：</w:t>
      </w:r>
    </w:p>
    <w:p w14:paraId="6BACEB9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3D73687">
      <w:pPr>
        <w:keepNext/>
        <w:keepLines/>
        <w:spacing w:before="300" w:after="100" w:line="280" w:lineRule="exact"/>
        <w:outlineLvl w:val="3"/>
        <w:rPr>
          <w:rFonts w:ascii="宋体" w:hAnsi="宋体" w:eastAsia="宋体" w:cs="宋体"/>
          <w:b/>
          <w:bCs/>
          <w:szCs w:val="21"/>
        </w:rPr>
      </w:pPr>
      <w:bookmarkStart w:id="515" w:name="_Toc989404"/>
      <w:r>
        <w:rPr>
          <w:rFonts w:ascii="宋体" w:hAnsi="宋体" w:eastAsia="宋体" w:cs="宋体"/>
          <w:b/>
          <w:bCs/>
          <w:szCs w:val="21"/>
        </w:rPr>
        <w:t>（3） 本期计提、收回或转回的坏账准备情况</w:t>
      </w:r>
      <w:bookmarkEnd w:id="515"/>
    </w:p>
    <w:p w14:paraId="5253D340">
      <w:pPr>
        <w:spacing w:before="40" w:after="100" w:line="240" w:lineRule="exact"/>
        <w:rPr>
          <w:rFonts w:ascii="宋体" w:hAnsi="宋体" w:eastAsia="宋体" w:cs="宋体"/>
          <w:sz w:val="18"/>
          <w:szCs w:val="18"/>
        </w:rPr>
      </w:pPr>
      <w:r>
        <w:rPr>
          <w:rFonts w:ascii="宋体" w:hAnsi="宋体" w:eastAsia="宋体" w:cs="宋体"/>
          <w:sz w:val="18"/>
          <w:szCs w:val="18"/>
        </w:rPr>
        <w:t>本期计提坏账准备情况：</w:t>
      </w:r>
    </w:p>
    <w:p w14:paraId="74DC21E7">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511B33E">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0D8B16">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E9DA1A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050967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A9D9B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E070DF8">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163E18"/>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7590033"/>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698A6E">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7F07900">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5EC314">
            <w:pPr>
              <w:spacing w:before="40" w:after="40" w:line="240" w:lineRule="exact"/>
              <w:jc w:val="center"/>
              <w:rPr>
                <w:rFonts w:ascii="宋体" w:hAnsi="宋体" w:eastAsia="宋体" w:cs="宋体"/>
                <w:sz w:val="18"/>
                <w:szCs w:val="18"/>
              </w:rPr>
            </w:pPr>
            <w:r>
              <w:rPr>
                <w:rFonts w:ascii="宋体" w:hAnsi="宋体" w:eastAsia="宋体" w:cs="宋体"/>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16E9416">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33BDD9"/>
        </w:tc>
      </w:tr>
    </w:tbl>
    <w:p w14:paraId="3FAF984B">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4E724DB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DF05AC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1D12FF">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6E711F">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F65362">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E99505">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06AB8F">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6B52C51D">
      <w:pPr>
        <w:keepNext/>
        <w:keepLines/>
        <w:spacing w:before="300" w:after="100" w:line="280" w:lineRule="exact"/>
        <w:outlineLvl w:val="3"/>
        <w:rPr>
          <w:rFonts w:ascii="宋体" w:hAnsi="宋体" w:eastAsia="宋体" w:cs="宋体"/>
          <w:b/>
          <w:bCs/>
          <w:szCs w:val="21"/>
        </w:rPr>
      </w:pPr>
      <w:bookmarkStart w:id="516" w:name="_Toc989405"/>
      <w:r>
        <w:rPr>
          <w:rFonts w:ascii="宋体" w:hAnsi="宋体" w:eastAsia="宋体" w:cs="宋体"/>
          <w:b/>
          <w:bCs/>
          <w:szCs w:val="21"/>
        </w:rPr>
        <w:t>（4） 本期实际核销的应收账款情况</w:t>
      </w:r>
      <w:bookmarkEnd w:id="516"/>
    </w:p>
    <w:p w14:paraId="6160C8B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248B1EA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900228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538F139">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0823CBC1">
      <w:pPr>
        <w:spacing w:before="100" w:after="40" w:line="240" w:lineRule="exact"/>
        <w:rPr>
          <w:rFonts w:ascii="宋体" w:hAnsi="宋体" w:eastAsia="宋体" w:cs="宋体"/>
          <w:sz w:val="18"/>
          <w:szCs w:val="18"/>
        </w:rPr>
      </w:pPr>
      <w:r>
        <w:rPr>
          <w:rFonts w:ascii="宋体" w:hAnsi="宋体" w:eastAsia="宋体" w:cs="宋体"/>
          <w:sz w:val="18"/>
          <w:szCs w:val="18"/>
        </w:rPr>
        <w:t>其中重要的应收账款核销情况：</w:t>
      </w:r>
    </w:p>
    <w:p w14:paraId="604C71D8">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33E2D0C5">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FB8574A">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DF99A56">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BA290D0">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9A3E8C">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65E6989">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F037D18">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74CC4506">
      <w:pPr>
        <w:spacing w:before="100" w:after="100" w:line="240" w:lineRule="exact"/>
      </w:pPr>
      <w:r>
        <w:rPr>
          <w:rFonts w:ascii="宋体" w:hAnsi="宋体" w:eastAsia="宋体" w:cs="宋体"/>
          <w:sz w:val="18"/>
          <w:szCs w:val="18"/>
        </w:rPr>
        <w:t>应收账款核销说明：</w:t>
      </w:r>
    </w:p>
    <w:p w14:paraId="65132031">
      <w:pPr>
        <w:keepNext/>
        <w:keepLines/>
        <w:spacing w:before="300" w:after="100" w:line="280" w:lineRule="exact"/>
        <w:outlineLvl w:val="3"/>
        <w:rPr>
          <w:rFonts w:ascii="宋体" w:hAnsi="宋体" w:eastAsia="宋体" w:cs="宋体"/>
          <w:b/>
          <w:bCs/>
          <w:szCs w:val="21"/>
        </w:rPr>
      </w:pPr>
      <w:bookmarkStart w:id="517" w:name="_Toc989406"/>
      <w:r>
        <w:rPr>
          <w:rFonts w:ascii="宋体" w:hAnsi="宋体" w:eastAsia="宋体" w:cs="宋体"/>
          <w:b/>
          <w:bCs/>
          <w:szCs w:val="21"/>
        </w:rPr>
        <w:t>（5） 按欠款方归集的期末余额前五名的应收账款和合同资产情况</w:t>
      </w:r>
      <w:bookmarkEnd w:id="517"/>
    </w:p>
    <w:p w14:paraId="29C6F24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0EA37E69">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04A99DD">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8FD92F8">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FC0C36">
            <w:pPr>
              <w:spacing w:before="40" w:after="40" w:line="240" w:lineRule="exact"/>
              <w:jc w:val="center"/>
              <w:rPr>
                <w:rFonts w:ascii="宋体" w:hAnsi="宋体" w:eastAsia="宋体" w:cs="宋体"/>
                <w:sz w:val="18"/>
                <w:szCs w:val="18"/>
              </w:rPr>
            </w:pPr>
            <w:r>
              <w:rPr>
                <w:rFonts w:ascii="宋体" w:hAnsi="宋体" w:eastAsia="宋体" w:cs="宋体"/>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6D3E78">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C026D0A">
            <w:pPr>
              <w:spacing w:before="40" w:after="40" w:line="240" w:lineRule="exact"/>
              <w:jc w:val="center"/>
              <w:rPr>
                <w:rFonts w:ascii="宋体" w:hAnsi="宋体" w:eastAsia="宋体" w:cs="宋体"/>
                <w:sz w:val="18"/>
                <w:szCs w:val="18"/>
              </w:rPr>
            </w:pPr>
            <w:r>
              <w:rPr>
                <w:rFonts w:ascii="宋体" w:hAnsi="宋体" w:eastAsia="宋体" w:cs="宋体"/>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41E049C">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应收账款坏账准备和合同资产减值准备期末余额</w:t>
            </w:r>
          </w:p>
        </w:tc>
      </w:tr>
    </w:tbl>
    <w:p w14:paraId="31353C4A">
      <w:pPr>
        <w:pStyle w:val="3"/>
        <w:spacing w:after="100" w:line="280" w:lineRule="exact"/>
        <w:jc w:val="left"/>
        <w:rPr>
          <w:rFonts w:ascii="宋体" w:hAnsi="宋体" w:cs="宋体"/>
          <w:b/>
          <w:bCs/>
        </w:rPr>
      </w:pPr>
      <w:bookmarkStart w:id="518" w:name="_Toc989407"/>
      <w:r>
        <w:rPr>
          <w:rFonts w:ascii="宋体" w:hAnsi="宋体" w:cs="宋体"/>
          <w:b/>
          <w:bCs/>
        </w:rPr>
        <w:t>2、其他应收款</w:t>
      </w:r>
      <w:bookmarkEnd w:id="518"/>
    </w:p>
    <w:p w14:paraId="6256BAE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B9E9FE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4DD9F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B061C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A2EE5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201BBB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684299">
            <w:pPr>
              <w:spacing w:before="40" w:after="40" w:line="240" w:lineRule="exac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2DCFA28D">
            <w:pPr>
              <w:spacing w:line="240" w:lineRule="exact"/>
              <w:jc w:val="right"/>
              <w:rPr>
                <w:rFonts w:ascii="宋体" w:hAnsi="宋体" w:eastAsia="宋体" w:cs="宋体"/>
                <w:sz w:val="18"/>
                <w:szCs w:val="18"/>
              </w:rPr>
            </w:pPr>
            <w:r>
              <w:rPr>
                <w:rFonts w:ascii="宋体" w:hAnsi="宋体" w:eastAsia="宋体" w:cs="宋体"/>
                <w:sz w:val="18"/>
                <w:szCs w:val="18"/>
              </w:rPr>
              <w:t>362,137.70</w:t>
            </w:r>
          </w:p>
        </w:tc>
        <w:tc>
          <w:tcPr>
            <w:tcW w:w="3213" w:type="dxa"/>
            <w:tcBorders>
              <w:top w:val="single" w:color="auto" w:sz="2" w:space="0"/>
              <w:left w:val="single" w:color="auto" w:sz="2" w:space="0"/>
              <w:bottom w:val="single" w:color="auto" w:sz="2" w:space="0"/>
              <w:right w:val="single" w:color="auto" w:sz="2" w:space="0"/>
            </w:tcBorders>
            <w:vAlign w:val="center"/>
          </w:tcPr>
          <w:p w14:paraId="119BD331">
            <w:pPr>
              <w:spacing w:line="240" w:lineRule="exact"/>
              <w:jc w:val="right"/>
              <w:rPr>
                <w:rFonts w:ascii="宋体" w:hAnsi="宋体" w:eastAsia="宋体" w:cs="宋体"/>
                <w:sz w:val="18"/>
                <w:szCs w:val="18"/>
              </w:rPr>
            </w:pPr>
            <w:r>
              <w:rPr>
                <w:rFonts w:ascii="宋体" w:hAnsi="宋体" w:eastAsia="宋体" w:cs="宋体"/>
                <w:sz w:val="18"/>
                <w:szCs w:val="18"/>
              </w:rPr>
              <w:t>246,071.12</w:t>
            </w:r>
          </w:p>
        </w:tc>
      </w:tr>
      <w:tr w14:paraId="69FB6C4E">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8B4F2C">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6690FD7">
            <w:pPr>
              <w:spacing w:line="240" w:lineRule="exact"/>
              <w:jc w:val="right"/>
              <w:rPr>
                <w:rFonts w:ascii="宋体" w:hAnsi="宋体" w:eastAsia="宋体" w:cs="宋体"/>
                <w:sz w:val="18"/>
                <w:szCs w:val="18"/>
              </w:rPr>
            </w:pPr>
            <w:r>
              <w:rPr>
                <w:rFonts w:ascii="宋体" w:hAnsi="宋体" w:eastAsia="宋体" w:cs="宋体"/>
                <w:sz w:val="18"/>
                <w:szCs w:val="18"/>
              </w:rPr>
              <w:t>362,137.70</w:t>
            </w:r>
          </w:p>
        </w:tc>
        <w:tc>
          <w:tcPr>
            <w:tcW w:w="3213" w:type="dxa"/>
            <w:tcBorders>
              <w:top w:val="single" w:color="auto" w:sz="2" w:space="0"/>
              <w:left w:val="single" w:color="auto" w:sz="2" w:space="0"/>
              <w:bottom w:val="single" w:color="auto" w:sz="2" w:space="0"/>
              <w:right w:val="single" w:color="auto" w:sz="2" w:space="0"/>
            </w:tcBorders>
            <w:vAlign w:val="center"/>
          </w:tcPr>
          <w:p w14:paraId="3791A889">
            <w:pPr>
              <w:spacing w:line="240" w:lineRule="exact"/>
              <w:jc w:val="right"/>
              <w:rPr>
                <w:rFonts w:ascii="宋体" w:hAnsi="宋体" w:eastAsia="宋体" w:cs="宋体"/>
                <w:sz w:val="18"/>
                <w:szCs w:val="18"/>
              </w:rPr>
            </w:pPr>
            <w:r>
              <w:rPr>
                <w:rFonts w:ascii="宋体" w:hAnsi="宋体" w:eastAsia="宋体" w:cs="宋体"/>
                <w:sz w:val="18"/>
                <w:szCs w:val="18"/>
              </w:rPr>
              <w:t>246,071.12</w:t>
            </w:r>
          </w:p>
        </w:tc>
      </w:tr>
    </w:tbl>
    <w:p w14:paraId="6D76D2AF">
      <w:pPr>
        <w:keepNext/>
        <w:keepLines/>
        <w:spacing w:before="300" w:after="100" w:line="280" w:lineRule="exact"/>
        <w:outlineLvl w:val="3"/>
        <w:rPr>
          <w:rFonts w:ascii="宋体" w:hAnsi="宋体" w:eastAsia="宋体" w:cs="宋体"/>
          <w:b/>
          <w:bCs/>
          <w:sz w:val="18"/>
          <w:szCs w:val="18"/>
        </w:rPr>
      </w:pPr>
      <w:bookmarkStart w:id="519" w:name="_Toc989408"/>
      <w:r>
        <w:rPr>
          <w:rFonts w:ascii="宋体" w:hAnsi="宋体" w:eastAsia="宋体" w:cs="宋体"/>
          <w:b/>
          <w:bCs/>
          <w:sz w:val="18"/>
          <w:szCs w:val="18"/>
        </w:rPr>
        <w:t>（1） 应收利息</w:t>
      </w:r>
      <w:bookmarkEnd w:id="519"/>
    </w:p>
    <w:p w14:paraId="027D886D">
      <w:pPr>
        <w:keepNext/>
        <w:keepLines/>
        <w:spacing w:before="300" w:after="100" w:line="280" w:lineRule="exact"/>
        <w:outlineLvl w:val="4"/>
        <w:rPr>
          <w:rFonts w:ascii="宋体" w:hAnsi="宋体" w:eastAsia="宋体" w:cs="宋体"/>
          <w:b/>
          <w:bCs/>
          <w:sz w:val="18"/>
          <w:szCs w:val="18"/>
        </w:rPr>
      </w:pPr>
      <w:bookmarkStart w:id="520" w:name="_Toc989409"/>
      <w:r>
        <w:rPr>
          <w:rFonts w:ascii="宋体" w:hAnsi="宋体" w:eastAsia="宋体" w:cs="宋体"/>
          <w:b/>
          <w:bCs/>
          <w:sz w:val="18"/>
          <w:szCs w:val="18"/>
        </w:rPr>
        <w:t>1） 应收利息分类</w:t>
      </w:r>
      <w:bookmarkEnd w:id="520"/>
    </w:p>
    <w:p w14:paraId="24E7730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E6D203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34743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5B33F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E4E68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B7A9168">
      <w:pPr>
        <w:keepNext/>
        <w:keepLines/>
        <w:spacing w:before="300" w:after="100" w:line="280" w:lineRule="exact"/>
        <w:outlineLvl w:val="4"/>
        <w:rPr>
          <w:rFonts w:ascii="宋体" w:hAnsi="宋体" w:eastAsia="宋体" w:cs="宋体"/>
          <w:b/>
          <w:bCs/>
          <w:sz w:val="18"/>
          <w:szCs w:val="18"/>
        </w:rPr>
      </w:pPr>
      <w:bookmarkStart w:id="521" w:name="_Toc989410"/>
      <w:r>
        <w:rPr>
          <w:rFonts w:ascii="宋体" w:hAnsi="宋体" w:eastAsia="宋体" w:cs="宋体"/>
          <w:b/>
          <w:bCs/>
          <w:sz w:val="18"/>
          <w:szCs w:val="18"/>
        </w:rPr>
        <w:t>2） 重要逾期利息</w:t>
      </w:r>
      <w:bookmarkEnd w:id="521"/>
    </w:p>
    <w:p w14:paraId="28294D6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0442E24">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8B1D64">
            <w:pPr>
              <w:spacing w:before="40" w:after="4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F36F4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00CA7E">
            <w:pPr>
              <w:spacing w:before="40" w:after="40" w:line="240" w:lineRule="exact"/>
              <w:jc w:val="center"/>
              <w:rPr>
                <w:rFonts w:ascii="宋体" w:hAnsi="宋体" w:eastAsia="宋体" w:cs="宋体"/>
                <w:sz w:val="18"/>
                <w:szCs w:val="18"/>
              </w:rPr>
            </w:pPr>
            <w:r>
              <w:rPr>
                <w:rFonts w:ascii="宋体" w:hAnsi="宋体" w:eastAsia="宋体" w:cs="宋体"/>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164F321">
            <w:pPr>
              <w:spacing w:before="40" w:after="40" w:line="240" w:lineRule="exact"/>
              <w:jc w:val="center"/>
              <w:rPr>
                <w:rFonts w:ascii="宋体" w:hAnsi="宋体" w:eastAsia="宋体" w:cs="宋体"/>
                <w:sz w:val="18"/>
                <w:szCs w:val="18"/>
              </w:rPr>
            </w:pPr>
            <w:r>
              <w:rPr>
                <w:rFonts w:ascii="宋体" w:hAnsi="宋体" w:eastAsia="宋体" w:cs="宋体"/>
                <w:sz w:val="18"/>
                <w:szCs w:val="18"/>
              </w:rPr>
              <w:t>逾期原因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D00B09">
            <w:pPr>
              <w:spacing w:before="40" w:after="4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1EAEA4A8">
      <w:pPr>
        <w:spacing w:before="100" w:after="100" w:line="240" w:lineRule="exact"/>
      </w:pPr>
      <w:r>
        <w:rPr>
          <w:rFonts w:ascii="宋体" w:hAnsi="宋体" w:eastAsia="宋体" w:cs="宋体"/>
          <w:sz w:val="18"/>
          <w:szCs w:val="18"/>
        </w:rPr>
        <w:t>其他说明：</w:t>
      </w:r>
    </w:p>
    <w:p w14:paraId="2CEF7B67">
      <w:pPr>
        <w:keepNext/>
        <w:keepLines/>
        <w:spacing w:before="300" w:after="100" w:line="280" w:lineRule="exact"/>
        <w:outlineLvl w:val="4"/>
        <w:rPr>
          <w:rFonts w:ascii="宋体" w:hAnsi="宋体" w:eastAsia="宋体" w:cs="宋体"/>
          <w:b/>
          <w:bCs/>
          <w:sz w:val="18"/>
          <w:szCs w:val="18"/>
        </w:rPr>
      </w:pPr>
      <w:bookmarkStart w:id="522" w:name="_Toc989411"/>
      <w:r>
        <w:rPr>
          <w:rFonts w:ascii="宋体" w:hAnsi="宋体" w:eastAsia="宋体" w:cs="宋体"/>
          <w:b/>
          <w:bCs/>
          <w:sz w:val="18"/>
          <w:szCs w:val="18"/>
        </w:rPr>
        <w:t>3） 按坏账计提方法分类披露</w:t>
      </w:r>
      <w:bookmarkEnd w:id="522"/>
    </w:p>
    <w:p w14:paraId="7A5DE4FF">
      <w:pPr>
        <w:spacing w:before="4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F270EE2">
      <w:pPr>
        <w:keepNext/>
        <w:keepLines/>
        <w:spacing w:before="300" w:after="100" w:line="280" w:lineRule="exact"/>
        <w:outlineLvl w:val="4"/>
        <w:rPr>
          <w:rFonts w:ascii="宋体" w:hAnsi="宋体" w:eastAsia="宋体" w:cs="宋体"/>
          <w:b/>
          <w:bCs/>
          <w:sz w:val="18"/>
          <w:szCs w:val="18"/>
        </w:rPr>
      </w:pPr>
      <w:bookmarkStart w:id="523" w:name="_Toc989412"/>
      <w:r>
        <w:rPr>
          <w:rFonts w:ascii="宋体" w:hAnsi="宋体" w:eastAsia="宋体" w:cs="宋体"/>
          <w:b/>
          <w:bCs/>
          <w:sz w:val="18"/>
          <w:szCs w:val="18"/>
        </w:rPr>
        <w:t>4） 本期计提、收回或转回的坏账准备的情况</w:t>
      </w:r>
      <w:bookmarkEnd w:id="523"/>
    </w:p>
    <w:p w14:paraId="1872E4D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A8F49BB">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C300BA">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FF9E8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A70D13E">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1826A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250A47FF">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0C50D8"/>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863401"/>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85D36B">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0C8D87">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59E7631">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B292346">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3AF65E"/>
        </w:tc>
      </w:tr>
    </w:tbl>
    <w:p w14:paraId="1678BEEE">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31417A4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E4078B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FC5952">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FB77BA">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2D0BB6">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272998">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0739C50">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3F109E1D">
      <w:pPr>
        <w:spacing w:before="100" w:after="100" w:line="240" w:lineRule="exact"/>
      </w:pPr>
      <w:r>
        <w:rPr>
          <w:rFonts w:ascii="宋体" w:hAnsi="宋体" w:eastAsia="宋体" w:cs="宋体"/>
          <w:sz w:val="18"/>
          <w:szCs w:val="18"/>
        </w:rPr>
        <w:t>其他说明：</w:t>
      </w:r>
    </w:p>
    <w:p w14:paraId="7B8EA688">
      <w:pPr>
        <w:keepNext/>
        <w:keepLines/>
        <w:spacing w:before="300" w:after="100" w:line="280" w:lineRule="exact"/>
        <w:outlineLvl w:val="4"/>
        <w:rPr>
          <w:rFonts w:ascii="宋体" w:hAnsi="宋体" w:eastAsia="宋体" w:cs="宋体"/>
          <w:b/>
          <w:bCs/>
          <w:sz w:val="18"/>
          <w:szCs w:val="18"/>
        </w:rPr>
      </w:pPr>
      <w:bookmarkStart w:id="524" w:name="_Toc989413"/>
      <w:r>
        <w:rPr>
          <w:rFonts w:ascii="宋体" w:hAnsi="宋体" w:eastAsia="宋体" w:cs="宋体"/>
          <w:b/>
          <w:bCs/>
          <w:sz w:val="18"/>
          <w:szCs w:val="18"/>
        </w:rPr>
        <w:t>5） 本期实际核销的应收利息情况</w:t>
      </w:r>
      <w:bookmarkEnd w:id="524"/>
    </w:p>
    <w:p w14:paraId="2A97B41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E12BFB4">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8E53DA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D7B4BAC">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60513B66">
      <w:pPr>
        <w:spacing w:before="100" w:after="100" w:line="240" w:lineRule="exact"/>
        <w:rPr>
          <w:rFonts w:ascii="宋体" w:hAnsi="宋体" w:eastAsia="宋体" w:cs="宋体"/>
          <w:sz w:val="18"/>
          <w:szCs w:val="18"/>
        </w:rPr>
      </w:pPr>
      <w:r>
        <w:rPr>
          <w:rFonts w:ascii="宋体" w:hAnsi="宋体" w:eastAsia="宋体" w:cs="宋体"/>
          <w:sz w:val="18"/>
          <w:szCs w:val="18"/>
        </w:rPr>
        <w:t>其中重要的应收利息核销情况</w:t>
      </w:r>
    </w:p>
    <w:p w14:paraId="27609E2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176C97A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0A13AA7">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45400BF">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AD5E54">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708862D">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D100EAA">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0F70F1">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5B4A8022">
      <w:pPr>
        <w:spacing w:before="100" w:after="100" w:line="240" w:lineRule="exact"/>
      </w:pPr>
      <w:r>
        <w:rPr>
          <w:rFonts w:ascii="宋体" w:hAnsi="宋体" w:eastAsia="宋体" w:cs="宋体"/>
          <w:sz w:val="18"/>
          <w:szCs w:val="18"/>
        </w:rPr>
        <w:t>核销说明：</w:t>
      </w:r>
    </w:p>
    <w:p w14:paraId="05F187DA">
      <w:pPr>
        <w:spacing w:before="100" w:after="100" w:line="240" w:lineRule="exact"/>
      </w:pPr>
      <w:r>
        <w:rPr>
          <w:rFonts w:ascii="宋体" w:hAnsi="宋体" w:eastAsia="宋体" w:cs="宋体"/>
          <w:sz w:val="18"/>
          <w:szCs w:val="18"/>
        </w:rPr>
        <w:t>其他说明：</w:t>
      </w:r>
    </w:p>
    <w:p w14:paraId="1DF57A3C">
      <w:pPr>
        <w:keepNext/>
        <w:keepLines/>
        <w:spacing w:before="300" w:after="100" w:line="280" w:lineRule="exact"/>
        <w:outlineLvl w:val="3"/>
        <w:rPr>
          <w:rFonts w:ascii="宋体" w:hAnsi="宋体" w:eastAsia="宋体" w:cs="宋体"/>
          <w:b/>
          <w:bCs/>
          <w:sz w:val="18"/>
          <w:szCs w:val="18"/>
        </w:rPr>
      </w:pPr>
      <w:bookmarkStart w:id="525" w:name="_Toc989414"/>
      <w:r>
        <w:rPr>
          <w:rFonts w:ascii="宋体" w:hAnsi="宋体" w:eastAsia="宋体" w:cs="宋体"/>
          <w:b/>
          <w:bCs/>
          <w:sz w:val="18"/>
          <w:szCs w:val="18"/>
        </w:rPr>
        <w:t>（2） 应收股利</w:t>
      </w:r>
      <w:bookmarkEnd w:id="525"/>
    </w:p>
    <w:p w14:paraId="6D5F0093">
      <w:pPr>
        <w:keepNext/>
        <w:keepLines/>
        <w:spacing w:before="300" w:after="100" w:line="280" w:lineRule="exact"/>
        <w:outlineLvl w:val="4"/>
        <w:rPr>
          <w:rFonts w:ascii="宋体" w:hAnsi="宋体" w:eastAsia="宋体" w:cs="宋体"/>
          <w:b/>
          <w:bCs/>
          <w:sz w:val="18"/>
          <w:szCs w:val="18"/>
        </w:rPr>
      </w:pPr>
      <w:bookmarkStart w:id="526" w:name="_Toc989415"/>
      <w:r>
        <w:rPr>
          <w:rFonts w:ascii="宋体" w:hAnsi="宋体" w:eastAsia="宋体" w:cs="宋体"/>
          <w:b/>
          <w:bCs/>
          <w:sz w:val="18"/>
          <w:szCs w:val="18"/>
        </w:rPr>
        <w:t>1） 应收股利分类</w:t>
      </w:r>
      <w:bookmarkEnd w:id="526"/>
    </w:p>
    <w:p w14:paraId="70A5EAC1">
      <w:pPr>
        <w:spacing w:before="40" w:after="10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ACB067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2BE8EC">
            <w:pPr>
              <w:spacing w:before="40" w:after="10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93747C">
            <w:pPr>
              <w:spacing w:before="40" w:after="10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E88F37">
            <w:pPr>
              <w:spacing w:before="40" w:after="10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49C43376">
      <w:pPr>
        <w:keepNext/>
        <w:keepLines/>
        <w:spacing w:before="300" w:after="100" w:line="280" w:lineRule="exact"/>
        <w:outlineLvl w:val="4"/>
        <w:rPr>
          <w:rFonts w:ascii="宋体" w:hAnsi="宋体" w:eastAsia="宋体" w:cs="宋体"/>
          <w:b/>
          <w:bCs/>
          <w:sz w:val="18"/>
          <w:szCs w:val="18"/>
        </w:rPr>
      </w:pPr>
      <w:bookmarkStart w:id="527" w:name="_Toc989416"/>
      <w:r>
        <w:rPr>
          <w:rFonts w:ascii="宋体" w:hAnsi="宋体" w:eastAsia="宋体" w:cs="宋体"/>
          <w:b/>
          <w:bCs/>
          <w:sz w:val="18"/>
          <w:szCs w:val="18"/>
        </w:rPr>
        <w:t>2） 重要的账龄超过1年的应收股利</w:t>
      </w:r>
      <w:bookmarkEnd w:id="527"/>
    </w:p>
    <w:p w14:paraId="06F7181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4D3B23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6455F1">
            <w:pPr>
              <w:spacing w:before="40" w:after="4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41D6B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D808D8">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D82DCB">
            <w:pPr>
              <w:spacing w:before="40" w:after="40" w:line="240" w:lineRule="exact"/>
              <w:jc w:val="center"/>
              <w:rPr>
                <w:rFonts w:ascii="宋体" w:hAnsi="宋体" w:eastAsia="宋体" w:cs="宋体"/>
                <w:sz w:val="18"/>
                <w:szCs w:val="18"/>
              </w:rPr>
            </w:pPr>
            <w:r>
              <w:rPr>
                <w:rFonts w:ascii="宋体" w:hAnsi="宋体" w:eastAsia="宋体" w:cs="宋体"/>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61B119">
            <w:pPr>
              <w:spacing w:before="40" w:after="4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5868F9A4">
      <w:pPr>
        <w:keepNext/>
        <w:keepLines/>
        <w:spacing w:before="300" w:after="100" w:line="280" w:lineRule="exact"/>
        <w:outlineLvl w:val="4"/>
        <w:rPr>
          <w:rFonts w:ascii="宋体" w:hAnsi="宋体" w:eastAsia="宋体" w:cs="宋体"/>
          <w:b/>
          <w:bCs/>
          <w:sz w:val="18"/>
          <w:szCs w:val="18"/>
        </w:rPr>
      </w:pPr>
      <w:bookmarkStart w:id="528" w:name="_Toc989417"/>
      <w:r>
        <w:rPr>
          <w:rFonts w:ascii="宋体" w:hAnsi="宋体" w:eastAsia="宋体" w:cs="宋体"/>
          <w:b/>
          <w:bCs/>
          <w:sz w:val="18"/>
          <w:szCs w:val="18"/>
        </w:rPr>
        <w:t>3） 按坏账计提方法分类披露</w:t>
      </w:r>
      <w:bookmarkEnd w:id="528"/>
    </w:p>
    <w:p w14:paraId="4E3DE69D">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7C4ED4D">
      <w:pPr>
        <w:keepNext/>
        <w:keepLines/>
        <w:spacing w:before="300" w:after="100" w:line="280" w:lineRule="exact"/>
        <w:outlineLvl w:val="4"/>
        <w:rPr>
          <w:rFonts w:ascii="宋体" w:hAnsi="宋体" w:eastAsia="宋体" w:cs="宋体"/>
          <w:b/>
          <w:bCs/>
          <w:sz w:val="18"/>
          <w:szCs w:val="18"/>
        </w:rPr>
      </w:pPr>
      <w:bookmarkStart w:id="529" w:name="_Toc989418"/>
      <w:r>
        <w:rPr>
          <w:rFonts w:ascii="宋体" w:hAnsi="宋体" w:eastAsia="宋体" w:cs="宋体"/>
          <w:b/>
          <w:bCs/>
          <w:sz w:val="18"/>
          <w:szCs w:val="18"/>
        </w:rPr>
        <w:t>4） 本期计提、收回或转回的坏账准备的情况</w:t>
      </w:r>
      <w:bookmarkEnd w:id="529"/>
    </w:p>
    <w:p w14:paraId="18D07BC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1D098E1">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28CB0C">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0251B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505C8D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F61D5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E71763B">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85B665"/>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B3258B"/>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B43212">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8F19795">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7510E11">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955AF9">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CFD028"/>
        </w:tc>
      </w:tr>
    </w:tbl>
    <w:p w14:paraId="61D19E42">
      <w:pPr>
        <w:spacing w:before="100" w:after="100" w:line="240" w:lineRule="exact"/>
        <w:rPr>
          <w:rFonts w:ascii="宋体" w:hAnsi="宋体" w:eastAsia="宋体" w:cs="宋体"/>
          <w:sz w:val="18"/>
          <w:szCs w:val="18"/>
        </w:rPr>
      </w:pPr>
      <w:r>
        <w:rPr>
          <w:rFonts w:ascii="宋体" w:hAnsi="宋体" w:eastAsia="宋体" w:cs="宋体"/>
          <w:sz w:val="18"/>
          <w:szCs w:val="18"/>
        </w:rPr>
        <w:t>其中本期坏账准备收回或转回金额重要的：</w:t>
      </w:r>
    </w:p>
    <w:p w14:paraId="41B1285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3AB60ED">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6452D7">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CACA69">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9C402DA">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AE1D78">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AD47E2">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4272A29D">
      <w:pPr>
        <w:spacing w:before="100" w:after="100" w:line="240" w:lineRule="exact"/>
      </w:pPr>
      <w:r>
        <w:rPr>
          <w:rFonts w:ascii="宋体" w:hAnsi="宋体" w:eastAsia="宋体" w:cs="宋体"/>
          <w:sz w:val="18"/>
          <w:szCs w:val="18"/>
        </w:rPr>
        <w:t>其他说明：</w:t>
      </w:r>
    </w:p>
    <w:p w14:paraId="461FD640">
      <w:pPr>
        <w:keepNext/>
        <w:keepLines/>
        <w:spacing w:before="300" w:after="100" w:line="280" w:lineRule="exact"/>
        <w:outlineLvl w:val="4"/>
        <w:rPr>
          <w:rFonts w:ascii="宋体" w:hAnsi="宋体" w:eastAsia="宋体" w:cs="宋体"/>
          <w:b/>
          <w:bCs/>
          <w:sz w:val="18"/>
          <w:szCs w:val="18"/>
        </w:rPr>
      </w:pPr>
      <w:bookmarkStart w:id="530" w:name="_Toc989419"/>
      <w:r>
        <w:rPr>
          <w:rFonts w:ascii="宋体" w:hAnsi="宋体" w:eastAsia="宋体" w:cs="宋体"/>
          <w:b/>
          <w:bCs/>
          <w:sz w:val="18"/>
          <w:szCs w:val="18"/>
        </w:rPr>
        <w:t>5） 本期实际核销的应收股利情况</w:t>
      </w:r>
      <w:bookmarkEnd w:id="530"/>
    </w:p>
    <w:p w14:paraId="4E6B3AE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081D9F18">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2C082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5EDBA9">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736D04C7">
      <w:pPr>
        <w:spacing w:before="100" w:after="100" w:line="240" w:lineRule="exact"/>
        <w:rPr>
          <w:rFonts w:ascii="宋体" w:hAnsi="宋体" w:eastAsia="宋体" w:cs="宋体"/>
          <w:sz w:val="18"/>
          <w:szCs w:val="18"/>
        </w:rPr>
      </w:pPr>
      <w:r>
        <w:rPr>
          <w:rFonts w:ascii="宋体" w:hAnsi="宋体" w:eastAsia="宋体" w:cs="宋体"/>
          <w:sz w:val="18"/>
          <w:szCs w:val="18"/>
        </w:rPr>
        <w:t>其中重要的应收股利核销情况</w:t>
      </w:r>
    </w:p>
    <w:p w14:paraId="385D34D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1797D47">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BFE667">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F6EB43">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1AC4E1E">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A3DBA81">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28A606">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76391B">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12937E1E">
      <w:pPr>
        <w:spacing w:before="100" w:after="100" w:line="240" w:lineRule="exact"/>
      </w:pPr>
      <w:r>
        <w:rPr>
          <w:rFonts w:ascii="宋体" w:hAnsi="宋体" w:eastAsia="宋体" w:cs="宋体"/>
          <w:sz w:val="18"/>
          <w:szCs w:val="18"/>
        </w:rPr>
        <w:t>核销说明：</w:t>
      </w:r>
    </w:p>
    <w:p w14:paraId="734A9192">
      <w:pPr>
        <w:spacing w:before="100" w:after="100" w:line="240" w:lineRule="exact"/>
      </w:pPr>
      <w:r>
        <w:rPr>
          <w:rFonts w:ascii="宋体" w:hAnsi="宋体" w:eastAsia="宋体" w:cs="宋体"/>
          <w:sz w:val="18"/>
          <w:szCs w:val="18"/>
        </w:rPr>
        <w:t>其他说明：</w:t>
      </w:r>
    </w:p>
    <w:p w14:paraId="0EBF955D">
      <w:pPr>
        <w:keepNext/>
        <w:keepLines/>
        <w:spacing w:before="300" w:after="100" w:line="280" w:lineRule="exact"/>
        <w:outlineLvl w:val="3"/>
        <w:rPr>
          <w:rFonts w:ascii="宋体" w:hAnsi="宋体" w:eastAsia="宋体" w:cs="宋体"/>
          <w:b/>
          <w:bCs/>
          <w:sz w:val="18"/>
          <w:szCs w:val="18"/>
        </w:rPr>
      </w:pPr>
      <w:bookmarkStart w:id="531" w:name="_Toc989420"/>
      <w:r>
        <w:rPr>
          <w:rFonts w:ascii="宋体" w:hAnsi="宋体" w:eastAsia="宋体" w:cs="宋体"/>
          <w:b/>
          <w:bCs/>
          <w:sz w:val="18"/>
          <w:szCs w:val="18"/>
        </w:rPr>
        <w:t>（3） 其他应收款</w:t>
      </w:r>
      <w:bookmarkEnd w:id="531"/>
    </w:p>
    <w:p w14:paraId="66D1C60F">
      <w:pPr>
        <w:keepNext/>
        <w:keepLines/>
        <w:spacing w:before="300" w:after="100" w:line="280" w:lineRule="exact"/>
        <w:outlineLvl w:val="4"/>
        <w:rPr>
          <w:rFonts w:ascii="宋体" w:hAnsi="宋体" w:eastAsia="宋体" w:cs="宋体"/>
          <w:b/>
          <w:bCs/>
          <w:sz w:val="18"/>
          <w:szCs w:val="18"/>
        </w:rPr>
      </w:pPr>
      <w:bookmarkStart w:id="532" w:name="_Toc989421"/>
      <w:r>
        <w:rPr>
          <w:rFonts w:ascii="宋体" w:hAnsi="宋体" w:eastAsia="宋体" w:cs="宋体"/>
          <w:b/>
          <w:bCs/>
          <w:sz w:val="18"/>
          <w:szCs w:val="18"/>
        </w:rPr>
        <w:t>1） 其他应收款按款项性质分类情况</w:t>
      </w:r>
      <w:bookmarkEnd w:id="532"/>
    </w:p>
    <w:p w14:paraId="18A80CE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BD037C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0409DC">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FAEDC6">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80AF42">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4AB16315">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F91ECC">
            <w:pPr>
              <w:spacing w:line="240" w:lineRule="exact"/>
              <w:rPr>
                <w:rFonts w:ascii="宋体" w:hAnsi="宋体" w:eastAsia="宋体" w:cs="宋体"/>
                <w:sz w:val="18"/>
                <w:szCs w:val="18"/>
              </w:rPr>
            </w:pPr>
            <w:r>
              <w:rPr>
                <w:rFonts w:ascii="宋体" w:hAnsi="宋体" w:eastAsia="宋体" w:cs="宋体"/>
                <w:sz w:val="18"/>
                <w:szCs w:val="18"/>
              </w:rPr>
              <w:t> 与借款及票据有关的款项</w:t>
            </w:r>
          </w:p>
        </w:tc>
        <w:tc>
          <w:tcPr>
            <w:tcW w:w="3213" w:type="dxa"/>
            <w:tcBorders>
              <w:top w:val="single" w:color="auto" w:sz="2" w:space="0"/>
              <w:left w:val="single" w:color="auto" w:sz="2" w:space="0"/>
              <w:bottom w:val="single" w:color="auto" w:sz="2" w:space="0"/>
              <w:right w:val="single" w:color="auto" w:sz="2" w:space="0"/>
            </w:tcBorders>
            <w:vAlign w:val="center"/>
          </w:tcPr>
          <w:p w14:paraId="291F267E">
            <w:pPr>
              <w:spacing w:line="240" w:lineRule="exact"/>
              <w:jc w:val="right"/>
              <w:rPr>
                <w:rFonts w:ascii="宋体" w:hAnsi="宋体" w:eastAsia="宋体" w:cs="宋体"/>
                <w:sz w:val="18"/>
                <w:szCs w:val="18"/>
              </w:rPr>
            </w:pPr>
            <w:r>
              <w:rPr>
                <w:rFonts w:ascii="宋体" w:hAnsi="宋体" w:eastAsia="宋体" w:cs="宋体"/>
                <w:sz w:val="18"/>
                <w:szCs w:val="18"/>
              </w:rPr>
              <w:t>294,200,000.00</w:t>
            </w:r>
          </w:p>
        </w:tc>
        <w:tc>
          <w:tcPr>
            <w:tcW w:w="3213" w:type="dxa"/>
            <w:tcBorders>
              <w:top w:val="single" w:color="auto" w:sz="2" w:space="0"/>
              <w:left w:val="single" w:color="auto" w:sz="2" w:space="0"/>
              <w:bottom w:val="single" w:color="auto" w:sz="2" w:space="0"/>
              <w:right w:val="single" w:color="auto" w:sz="2" w:space="0"/>
            </w:tcBorders>
            <w:vAlign w:val="center"/>
          </w:tcPr>
          <w:p w14:paraId="2B1473F6">
            <w:pPr>
              <w:spacing w:line="240" w:lineRule="exact"/>
              <w:jc w:val="right"/>
              <w:rPr>
                <w:rFonts w:ascii="宋体" w:hAnsi="宋体" w:eastAsia="宋体" w:cs="宋体"/>
                <w:sz w:val="18"/>
                <w:szCs w:val="18"/>
              </w:rPr>
            </w:pPr>
            <w:r>
              <w:rPr>
                <w:rFonts w:ascii="宋体" w:hAnsi="宋体" w:eastAsia="宋体" w:cs="宋体"/>
                <w:sz w:val="18"/>
                <w:szCs w:val="18"/>
              </w:rPr>
              <w:t>294,200,000.00</w:t>
            </w:r>
          </w:p>
        </w:tc>
      </w:tr>
      <w:tr w14:paraId="7EB31F63">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32F7BF">
            <w:pPr>
              <w:spacing w:line="240" w:lineRule="exact"/>
              <w:rPr>
                <w:rFonts w:ascii="宋体" w:hAnsi="宋体" w:eastAsia="宋体" w:cs="宋体"/>
                <w:sz w:val="18"/>
                <w:szCs w:val="18"/>
              </w:rPr>
            </w:pPr>
            <w:r>
              <w:rPr>
                <w:rFonts w:ascii="宋体" w:hAnsi="宋体" w:eastAsia="宋体" w:cs="宋体"/>
                <w:sz w:val="18"/>
                <w:szCs w:val="18"/>
              </w:rPr>
              <w:t> 往来款</w:t>
            </w:r>
          </w:p>
        </w:tc>
        <w:tc>
          <w:tcPr>
            <w:tcW w:w="3213" w:type="dxa"/>
            <w:tcBorders>
              <w:top w:val="single" w:color="auto" w:sz="2" w:space="0"/>
              <w:left w:val="single" w:color="auto" w:sz="2" w:space="0"/>
              <w:bottom w:val="single" w:color="auto" w:sz="2" w:space="0"/>
              <w:right w:val="single" w:color="auto" w:sz="2" w:space="0"/>
            </w:tcBorders>
            <w:vAlign w:val="center"/>
          </w:tcPr>
          <w:p w14:paraId="48570911">
            <w:pPr>
              <w:spacing w:line="240" w:lineRule="exact"/>
              <w:jc w:val="right"/>
              <w:rPr>
                <w:rFonts w:ascii="宋体" w:hAnsi="宋体" w:eastAsia="宋体" w:cs="宋体"/>
                <w:sz w:val="18"/>
                <w:szCs w:val="18"/>
              </w:rPr>
            </w:pPr>
            <w:r>
              <w:rPr>
                <w:rFonts w:hint="eastAsia" w:ascii="宋体" w:hAnsi="宋体" w:eastAsia="宋体" w:cs="宋体"/>
                <w:sz w:val="18"/>
                <w:szCs w:val="18"/>
              </w:rPr>
              <w:t>6</w:t>
            </w:r>
            <w:r>
              <w:rPr>
                <w:rFonts w:ascii="宋体" w:hAnsi="宋体" w:eastAsia="宋体" w:cs="宋体"/>
                <w:sz w:val="18"/>
                <w:szCs w:val="18"/>
              </w:rPr>
              <w:t>00</w:t>
            </w:r>
          </w:p>
        </w:tc>
        <w:tc>
          <w:tcPr>
            <w:tcW w:w="3213" w:type="dxa"/>
            <w:tcBorders>
              <w:top w:val="single" w:color="auto" w:sz="2" w:space="0"/>
              <w:left w:val="single" w:color="auto" w:sz="2" w:space="0"/>
              <w:bottom w:val="single" w:color="auto" w:sz="2" w:space="0"/>
              <w:right w:val="single" w:color="auto" w:sz="2" w:space="0"/>
            </w:tcBorders>
            <w:vAlign w:val="center"/>
          </w:tcPr>
          <w:p w14:paraId="4E03B13C">
            <w:pPr>
              <w:spacing w:line="240" w:lineRule="exact"/>
              <w:jc w:val="right"/>
              <w:rPr>
                <w:rFonts w:ascii="宋体" w:hAnsi="宋体" w:eastAsia="宋体" w:cs="宋体"/>
                <w:sz w:val="18"/>
                <w:szCs w:val="18"/>
              </w:rPr>
            </w:pPr>
            <w:r>
              <w:rPr>
                <w:rFonts w:ascii="宋体" w:hAnsi="宋体" w:eastAsia="宋体" w:cs="宋体"/>
                <w:sz w:val="18"/>
                <w:szCs w:val="18"/>
              </w:rPr>
              <w:t>600.00</w:t>
            </w:r>
          </w:p>
        </w:tc>
      </w:tr>
      <w:tr w14:paraId="0237E919">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8C81BF1">
            <w:pPr>
              <w:spacing w:line="240" w:lineRule="exact"/>
              <w:rPr>
                <w:rFonts w:ascii="宋体" w:hAnsi="宋体" w:eastAsia="宋体" w:cs="宋体"/>
                <w:sz w:val="18"/>
                <w:szCs w:val="18"/>
              </w:rPr>
            </w:pPr>
            <w:r>
              <w:rPr>
                <w:rFonts w:ascii="宋体" w:hAnsi="宋体" w:eastAsia="宋体" w:cs="宋体"/>
                <w:sz w:val="18"/>
                <w:szCs w:val="18"/>
              </w:rPr>
              <w:t> 其他</w:t>
            </w:r>
          </w:p>
        </w:tc>
        <w:tc>
          <w:tcPr>
            <w:tcW w:w="3213" w:type="dxa"/>
            <w:tcBorders>
              <w:top w:val="single" w:color="auto" w:sz="2" w:space="0"/>
              <w:left w:val="single" w:color="auto" w:sz="2" w:space="0"/>
              <w:bottom w:val="single" w:color="auto" w:sz="2" w:space="0"/>
              <w:right w:val="single" w:color="auto" w:sz="2" w:space="0"/>
            </w:tcBorders>
            <w:vAlign w:val="center"/>
          </w:tcPr>
          <w:p w14:paraId="6FE4B381">
            <w:pPr>
              <w:spacing w:line="240" w:lineRule="exact"/>
              <w:jc w:val="right"/>
              <w:rPr>
                <w:rFonts w:ascii="宋体" w:hAnsi="宋体" w:eastAsia="宋体" w:cs="宋体"/>
                <w:sz w:val="18"/>
                <w:szCs w:val="18"/>
              </w:rPr>
            </w:pPr>
            <w:r>
              <w:rPr>
                <w:rFonts w:ascii="宋体" w:hAnsi="宋体" w:eastAsia="宋体" w:cs="宋体"/>
                <w:sz w:val="18"/>
                <w:szCs w:val="18"/>
              </w:rPr>
              <w:t>8,466,096.11</w:t>
            </w:r>
          </w:p>
        </w:tc>
        <w:tc>
          <w:tcPr>
            <w:tcW w:w="3213" w:type="dxa"/>
            <w:tcBorders>
              <w:top w:val="single" w:color="auto" w:sz="2" w:space="0"/>
              <w:left w:val="single" w:color="auto" w:sz="2" w:space="0"/>
              <w:bottom w:val="single" w:color="auto" w:sz="2" w:space="0"/>
              <w:right w:val="single" w:color="auto" w:sz="2" w:space="0"/>
            </w:tcBorders>
            <w:vAlign w:val="center"/>
          </w:tcPr>
          <w:p w14:paraId="33C75C97">
            <w:pPr>
              <w:spacing w:line="240" w:lineRule="exact"/>
              <w:jc w:val="right"/>
              <w:rPr>
                <w:rFonts w:ascii="宋体" w:hAnsi="宋体" w:eastAsia="宋体" w:cs="宋体"/>
                <w:sz w:val="18"/>
                <w:szCs w:val="18"/>
              </w:rPr>
            </w:pPr>
            <w:r>
              <w:rPr>
                <w:rFonts w:ascii="宋体" w:hAnsi="宋体" w:eastAsia="宋体" w:cs="宋体"/>
                <w:sz w:val="18"/>
                <w:szCs w:val="18"/>
              </w:rPr>
              <w:t>8,336,580.91</w:t>
            </w:r>
          </w:p>
        </w:tc>
      </w:tr>
      <w:tr w14:paraId="2496A82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F60833">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AA55523">
            <w:pPr>
              <w:spacing w:line="240" w:lineRule="exact"/>
              <w:jc w:val="right"/>
              <w:rPr>
                <w:rFonts w:ascii="宋体" w:hAnsi="宋体" w:eastAsia="宋体" w:cs="宋体"/>
                <w:sz w:val="18"/>
                <w:szCs w:val="18"/>
              </w:rPr>
            </w:pPr>
            <w:r>
              <w:rPr>
                <w:rFonts w:ascii="宋体" w:hAnsi="宋体" w:eastAsia="宋体" w:cs="宋体"/>
                <w:sz w:val="18"/>
                <w:szCs w:val="18"/>
              </w:rPr>
              <w:t>302,666,696.11</w:t>
            </w:r>
          </w:p>
        </w:tc>
        <w:tc>
          <w:tcPr>
            <w:tcW w:w="3213" w:type="dxa"/>
            <w:tcBorders>
              <w:top w:val="single" w:color="auto" w:sz="2" w:space="0"/>
              <w:left w:val="single" w:color="auto" w:sz="2" w:space="0"/>
              <w:bottom w:val="single" w:color="auto" w:sz="2" w:space="0"/>
              <w:right w:val="single" w:color="auto" w:sz="2" w:space="0"/>
            </w:tcBorders>
            <w:vAlign w:val="center"/>
          </w:tcPr>
          <w:p w14:paraId="73BFEA91">
            <w:pPr>
              <w:spacing w:line="240" w:lineRule="exact"/>
              <w:jc w:val="right"/>
              <w:rPr>
                <w:rFonts w:ascii="宋体" w:hAnsi="宋体" w:eastAsia="宋体" w:cs="宋体"/>
                <w:sz w:val="18"/>
                <w:szCs w:val="18"/>
              </w:rPr>
            </w:pPr>
            <w:r>
              <w:rPr>
                <w:rFonts w:ascii="宋体" w:hAnsi="宋体" w:eastAsia="宋体" w:cs="宋体"/>
                <w:sz w:val="18"/>
                <w:szCs w:val="18"/>
              </w:rPr>
              <w:t>302,537,180.91</w:t>
            </w:r>
          </w:p>
        </w:tc>
      </w:tr>
    </w:tbl>
    <w:p w14:paraId="42BC9962">
      <w:pPr>
        <w:keepNext/>
        <w:keepLines/>
        <w:spacing w:before="300" w:after="100" w:line="280" w:lineRule="exact"/>
        <w:outlineLvl w:val="4"/>
        <w:rPr>
          <w:rFonts w:ascii="宋体" w:hAnsi="宋体" w:eastAsia="宋体" w:cs="宋体"/>
          <w:b/>
          <w:bCs/>
          <w:sz w:val="18"/>
          <w:szCs w:val="18"/>
        </w:rPr>
      </w:pPr>
      <w:bookmarkStart w:id="533" w:name="_Toc989422"/>
      <w:r>
        <w:rPr>
          <w:rFonts w:ascii="宋体" w:hAnsi="宋体" w:eastAsia="宋体" w:cs="宋体"/>
          <w:b/>
          <w:bCs/>
          <w:sz w:val="18"/>
          <w:szCs w:val="18"/>
        </w:rPr>
        <w:t>2） 按账龄披露</w:t>
      </w:r>
      <w:bookmarkEnd w:id="533"/>
    </w:p>
    <w:p w14:paraId="5855228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83FE54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1BBF9C">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92A096">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2756F6">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4D80A05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4A7F7A">
            <w:pPr>
              <w:spacing w:before="40" w:after="40" w:line="240" w:lineRule="exac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430919C7">
            <w:pPr>
              <w:spacing w:line="240" w:lineRule="exact"/>
              <w:jc w:val="right"/>
              <w:rPr>
                <w:rFonts w:ascii="宋体" w:hAnsi="宋体" w:eastAsia="宋体" w:cs="宋体"/>
                <w:sz w:val="18"/>
                <w:szCs w:val="18"/>
              </w:rPr>
            </w:pPr>
            <w:r>
              <w:rPr>
                <w:rFonts w:ascii="宋体" w:hAnsi="宋体" w:eastAsia="宋体" w:cs="宋体"/>
                <w:sz w:val="18"/>
                <w:szCs w:val="18"/>
              </w:rPr>
              <w:t>170,915.72</w:t>
            </w:r>
          </w:p>
        </w:tc>
        <w:tc>
          <w:tcPr>
            <w:tcW w:w="3213" w:type="dxa"/>
            <w:tcBorders>
              <w:top w:val="single" w:color="auto" w:sz="2" w:space="0"/>
              <w:left w:val="single" w:color="auto" w:sz="2" w:space="0"/>
              <w:bottom w:val="single" w:color="auto" w:sz="2" w:space="0"/>
              <w:right w:val="single" w:color="auto" w:sz="2" w:space="0"/>
            </w:tcBorders>
            <w:vAlign w:val="center"/>
          </w:tcPr>
          <w:p w14:paraId="4F2EB272">
            <w:pPr>
              <w:spacing w:line="240" w:lineRule="exact"/>
              <w:jc w:val="right"/>
              <w:rPr>
                <w:rFonts w:ascii="宋体" w:hAnsi="宋体" w:eastAsia="宋体" w:cs="宋体"/>
                <w:sz w:val="18"/>
                <w:szCs w:val="18"/>
              </w:rPr>
            </w:pPr>
            <w:r>
              <w:rPr>
                <w:rFonts w:ascii="宋体" w:hAnsi="宋体" w:eastAsia="宋体" w:cs="宋体"/>
                <w:sz w:val="18"/>
                <w:szCs w:val="18"/>
              </w:rPr>
              <w:t>7,766,495.91</w:t>
            </w:r>
          </w:p>
        </w:tc>
      </w:tr>
      <w:tr w14:paraId="7A4A7FD1">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9537FF">
            <w:pPr>
              <w:spacing w:before="40" w:after="40" w:line="240" w:lineRule="exact"/>
              <w:rPr>
                <w:rFonts w:ascii="宋体" w:hAnsi="宋体" w:eastAsia="宋体" w:cs="宋体"/>
                <w:sz w:val="18"/>
                <w:szCs w:val="18"/>
              </w:rPr>
            </w:pPr>
            <w:r>
              <w:rPr>
                <w:rFonts w:ascii="宋体" w:hAnsi="宋体" w:eastAsia="宋体" w:cs="宋体"/>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29922986">
            <w:pPr>
              <w:spacing w:line="240" w:lineRule="exact"/>
              <w:jc w:val="right"/>
              <w:rPr>
                <w:rFonts w:ascii="宋体" w:hAnsi="宋体" w:eastAsia="宋体" w:cs="宋体"/>
                <w:sz w:val="18"/>
                <w:szCs w:val="18"/>
              </w:rPr>
            </w:pPr>
            <w:r>
              <w:rPr>
                <w:rFonts w:ascii="宋体" w:hAnsi="宋体" w:eastAsia="宋体" w:cs="宋体"/>
                <w:sz w:val="18"/>
                <w:szCs w:val="18"/>
              </w:rPr>
              <w:t>7,725,095.40</w:t>
            </w:r>
          </w:p>
        </w:tc>
        <w:tc>
          <w:tcPr>
            <w:tcW w:w="3213" w:type="dxa"/>
            <w:tcBorders>
              <w:top w:val="single" w:color="auto" w:sz="2" w:space="0"/>
              <w:left w:val="single" w:color="auto" w:sz="2" w:space="0"/>
              <w:bottom w:val="single" w:color="auto" w:sz="2" w:space="0"/>
              <w:right w:val="single" w:color="auto" w:sz="2" w:space="0"/>
            </w:tcBorders>
            <w:vAlign w:val="center"/>
          </w:tcPr>
          <w:p w14:paraId="674FC521">
            <w:pPr>
              <w:spacing w:line="240" w:lineRule="exact"/>
              <w:jc w:val="right"/>
              <w:rPr>
                <w:rFonts w:ascii="宋体" w:hAnsi="宋体" w:eastAsia="宋体" w:cs="宋体"/>
                <w:sz w:val="18"/>
                <w:szCs w:val="18"/>
              </w:rPr>
            </w:pPr>
          </w:p>
        </w:tc>
      </w:tr>
      <w:tr w14:paraId="4C92AEF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16664C">
            <w:pPr>
              <w:spacing w:before="40" w:after="40" w:line="240" w:lineRule="exact"/>
              <w:rPr>
                <w:rFonts w:ascii="宋体" w:hAnsi="宋体" w:eastAsia="宋体" w:cs="宋体"/>
                <w:sz w:val="18"/>
                <w:szCs w:val="18"/>
              </w:rPr>
            </w:pPr>
            <w:r>
              <w:rPr>
                <w:rFonts w:ascii="宋体" w:hAnsi="宋体" w:eastAsia="宋体" w:cs="宋体"/>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515F1E57">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91BDA4E">
            <w:pPr>
              <w:spacing w:line="240" w:lineRule="exact"/>
              <w:jc w:val="right"/>
              <w:rPr>
                <w:rFonts w:ascii="宋体" w:hAnsi="宋体" w:eastAsia="宋体" w:cs="宋体"/>
                <w:sz w:val="18"/>
                <w:szCs w:val="18"/>
              </w:rPr>
            </w:pPr>
            <w:r>
              <w:rPr>
                <w:rFonts w:ascii="宋体" w:hAnsi="宋体" w:eastAsia="宋体" w:cs="宋体"/>
                <w:sz w:val="18"/>
                <w:szCs w:val="18"/>
              </w:rPr>
              <w:t>20,000.00</w:t>
            </w:r>
          </w:p>
        </w:tc>
      </w:tr>
      <w:tr w14:paraId="7361F97D">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4FF2C8">
            <w:pPr>
              <w:spacing w:before="40" w:after="40" w:line="240" w:lineRule="exac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4021B873">
            <w:pPr>
              <w:spacing w:line="240" w:lineRule="exact"/>
              <w:jc w:val="right"/>
              <w:rPr>
                <w:rFonts w:ascii="宋体" w:hAnsi="宋体" w:eastAsia="宋体" w:cs="宋体"/>
                <w:sz w:val="18"/>
                <w:szCs w:val="18"/>
              </w:rPr>
            </w:pPr>
            <w:r>
              <w:rPr>
                <w:rFonts w:ascii="宋体" w:hAnsi="宋体" w:eastAsia="宋体" w:cs="宋体"/>
                <w:sz w:val="18"/>
                <w:szCs w:val="18"/>
              </w:rPr>
              <w:t>294,770,684.99</w:t>
            </w:r>
          </w:p>
        </w:tc>
        <w:tc>
          <w:tcPr>
            <w:tcW w:w="3213" w:type="dxa"/>
            <w:tcBorders>
              <w:top w:val="single" w:color="auto" w:sz="2" w:space="0"/>
              <w:left w:val="single" w:color="auto" w:sz="2" w:space="0"/>
              <w:bottom w:val="single" w:color="auto" w:sz="2" w:space="0"/>
              <w:right w:val="single" w:color="auto" w:sz="2" w:space="0"/>
            </w:tcBorders>
            <w:vAlign w:val="center"/>
          </w:tcPr>
          <w:p w14:paraId="68ADECCA">
            <w:pPr>
              <w:spacing w:line="240" w:lineRule="exact"/>
              <w:jc w:val="right"/>
              <w:rPr>
                <w:rFonts w:ascii="宋体" w:hAnsi="宋体" w:eastAsia="宋体" w:cs="宋体"/>
                <w:sz w:val="18"/>
                <w:szCs w:val="18"/>
              </w:rPr>
            </w:pPr>
            <w:r>
              <w:rPr>
                <w:rFonts w:ascii="宋体" w:hAnsi="宋体" w:eastAsia="宋体" w:cs="宋体"/>
                <w:sz w:val="18"/>
                <w:szCs w:val="18"/>
              </w:rPr>
              <w:t>294,750,685.00</w:t>
            </w:r>
          </w:p>
        </w:tc>
      </w:tr>
      <w:tr w14:paraId="606CEC16">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AD372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6028DD9B">
            <w:pPr>
              <w:spacing w:line="240" w:lineRule="exact"/>
              <w:jc w:val="right"/>
              <w:rPr>
                <w:rFonts w:ascii="宋体" w:hAnsi="宋体" w:eastAsia="宋体" w:cs="宋体"/>
                <w:sz w:val="18"/>
                <w:szCs w:val="18"/>
              </w:rPr>
            </w:pPr>
            <w:r>
              <w:rPr>
                <w:rFonts w:ascii="宋体" w:hAnsi="宋体" w:eastAsia="宋体" w:cs="宋体"/>
                <w:sz w:val="18"/>
                <w:szCs w:val="18"/>
              </w:rPr>
              <w:t>20,000.00</w:t>
            </w:r>
          </w:p>
        </w:tc>
        <w:tc>
          <w:tcPr>
            <w:tcW w:w="3213" w:type="dxa"/>
            <w:tcBorders>
              <w:top w:val="single" w:color="auto" w:sz="2" w:space="0"/>
              <w:left w:val="single" w:color="auto" w:sz="2" w:space="0"/>
              <w:bottom w:val="single" w:color="auto" w:sz="2" w:space="0"/>
              <w:right w:val="single" w:color="auto" w:sz="2" w:space="0"/>
            </w:tcBorders>
            <w:vAlign w:val="center"/>
          </w:tcPr>
          <w:p w14:paraId="1ACA5D60">
            <w:pPr>
              <w:spacing w:line="240" w:lineRule="exact"/>
              <w:jc w:val="right"/>
              <w:rPr>
                <w:rFonts w:ascii="宋体" w:hAnsi="宋体" w:eastAsia="宋体" w:cs="宋体"/>
                <w:sz w:val="18"/>
                <w:szCs w:val="18"/>
              </w:rPr>
            </w:pPr>
          </w:p>
        </w:tc>
      </w:tr>
      <w:tr w14:paraId="1622E1E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A9FB62">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0D1DADF4">
            <w:pPr>
              <w:spacing w:line="240" w:lineRule="exact"/>
              <w:jc w:val="right"/>
              <w:rPr>
                <w:rFonts w:ascii="宋体" w:hAnsi="宋体" w:eastAsia="宋体" w:cs="宋体"/>
                <w:sz w:val="18"/>
                <w:szCs w:val="18"/>
              </w:rPr>
            </w:pPr>
            <w:r>
              <w:rPr>
                <w:rFonts w:hint="eastAsia" w:ascii="宋体" w:hAnsi="宋体" w:eastAsia="宋体" w:cs="宋体"/>
                <w:sz w:val="18"/>
                <w:szCs w:val="18"/>
              </w:rPr>
              <w:t>6</w:t>
            </w:r>
            <w:r>
              <w:rPr>
                <w:rFonts w:ascii="宋体" w:hAnsi="宋体" w:eastAsia="宋体" w:cs="宋体"/>
                <w:sz w:val="18"/>
                <w:szCs w:val="18"/>
              </w:rPr>
              <w:t>00</w:t>
            </w:r>
          </w:p>
        </w:tc>
        <w:tc>
          <w:tcPr>
            <w:tcW w:w="3213" w:type="dxa"/>
            <w:tcBorders>
              <w:top w:val="single" w:color="auto" w:sz="2" w:space="0"/>
              <w:left w:val="single" w:color="auto" w:sz="2" w:space="0"/>
              <w:bottom w:val="single" w:color="auto" w:sz="2" w:space="0"/>
              <w:right w:val="single" w:color="auto" w:sz="2" w:space="0"/>
            </w:tcBorders>
            <w:vAlign w:val="center"/>
          </w:tcPr>
          <w:p w14:paraId="46A72AD4">
            <w:pPr>
              <w:spacing w:line="240" w:lineRule="exact"/>
              <w:jc w:val="right"/>
              <w:rPr>
                <w:rFonts w:ascii="宋体" w:hAnsi="宋体" w:eastAsia="宋体" w:cs="宋体"/>
                <w:sz w:val="18"/>
                <w:szCs w:val="18"/>
              </w:rPr>
            </w:pPr>
            <w:r>
              <w:rPr>
                <w:rFonts w:ascii="宋体" w:hAnsi="宋体" w:eastAsia="宋体" w:cs="宋体"/>
                <w:sz w:val="18"/>
                <w:szCs w:val="18"/>
              </w:rPr>
              <w:t>600.00</w:t>
            </w:r>
          </w:p>
        </w:tc>
      </w:tr>
      <w:tr w14:paraId="28F1C5A9">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41416B">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0977924C">
            <w:pPr>
              <w:spacing w:line="240" w:lineRule="exact"/>
              <w:jc w:val="right"/>
              <w:rPr>
                <w:rFonts w:ascii="宋体" w:hAnsi="宋体" w:eastAsia="宋体" w:cs="宋体"/>
                <w:sz w:val="18"/>
                <w:szCs w:val="18"/>
              </w:rPr>
            </w:pPr>
            <w:r>
              <w:rPr>
                <w:rFonts w:ascii="宋体" w:hAnsi="宋体" w:eastAsia="宋体" w:cs="宋体"/>
                <w:sz w:val="18"/>
                <w:szCs w:val="18"/>
              </w:rPr>
              <w:t>294,750,084.99</w:t>
            </w:r>
          </w:p>
        </w:tc>
        <w:tc>
          <w:tcPr>
            <w:tcW w:w="3213" w:type="dxa"/>
            <w:tcBorders>
              <w:top w:val="single" w:color="auto" w:sz="2" w:space="0"/>
              <w:left w:val="single" w:color="auto" w:sz="2" w:space="0"/>
              <w:bottom w:val="single" w:color="auto" w:sz="2" w:space="0"/>
              <w:right w:val="single" w:color="auto" w:sz="2" w:space="0"/>
            </w:tcBorders>
            <w:vAlign w:val="center"/>
          </w:tcPr>
          <w:p w14:paraId="4B341AB7">
            <w:pPr>
              <w:spacing w:line="240" w:lineRule="exact"/>
              <w:jc w:val="right"/>
              <w:rPr>
                <w:rFonts w:ascii="宋体" w:hAnsi="宋体" w:eastAsia="宋体" w:cs="宋体"/>
                <w:sz w:val="18"/>
                <w:szCs w:val="18"/>
              </w:rPr>
            </w:pPr>
            <w:r>
              <w:rPr>
                <w:rFonts w:ascii="宋体" w:hAnsi="宋体" w:eastAsia="宋体" w:cs="宋体"/>
                <w:sz w:val="18"/>
                <w:szCs w:val="18"/>
              </w:rPr>
              <w:t>294,750,085.00</w:t>
            </w:r>
          </w:p>
        </w:tc>
      </w:tr>
      <w:tr w14:paraId="4DEA8753">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389C70">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CD66FCC">
            <w:pPr>
              <w:spacing w:line="240" w:lineRule="exact"/>
              <w:jc w:val="right"/>
              <w:rPr>
                <w:rFonts w:ascii="宋体" w:hAnsi="宋体" w:eastAsia="宋体" w:cs="宋体"/>
                <w:sz w:val="18"/>
                <w:szCs w:val="18"/>
              </w:rPr>
            </w:pPr>
            <w:r>
              <w:rPr>
                <w:rFonts w:ascii="宋体" w:hAnsi="宋体" w:eastAsia="宋体" w:cs="宋体"/>
                <w:sz w:val="18"/>
                <w:szCs w:val="18"/>
              </w:rPr>
              <w:t>302,666,696.11</w:t>
            </w:r>
          </w:p>
        </w:tc>
        <w:tc>
          <w:tcPr>
            <w:tcW w:w="3213" w:type="dxa"/>
            <w:tcBorders>
              <w:top w:val="single" w:color="auto" w:sz="2" w:space="0"/>
              <w:left w:val="single" w:color="auto" w:sz="2" w:space="0"/>
              <w:bottom w:val="single" w:color="auto" w:sz="2" w:space="0"/>
              <w:right w:val="single" w:color="auto" w:sz="2" w:space="0"/>
            </w:tcBorders>
            <w:vAlign w:val="center"/>
          </w:tcPr>
          <w:p w14:paraId="098BA94C">
            <w:pPr>
              <w:spacing w:line="240" w:lineRule="exact"/>
              <w:jc w:val="right"/>
              <w:rPr>
                <w:rFonts w:ascii="宋体" w:hAnsi="宋体" w:eastAsia="宋体" w:cs="宋体"/>
                <w:sz w:val="18"/>
                <w:szCs w:val="18"/>
              </w:rPr>
            </w:pPr>
            <w:r>
              <w:rPr>
                <w:rFonts w:ascii="宋体" w:hAnsi="宋体" w:eastAsia="宋体" w:cs="宋体"/>
                <w:sz w:val="18"/>
                <w:szCs w:val="18"/>
              </w:rPr>
              <w:t>302,537,180.91</w:t>
            </w:r>
          </w:p>
        </w:tc>
      </w:tr>
    </w:tbl>
    <w:p w14:paraId="39565644">
      <w:pPr>
        <w:keepNext/>
        <w:keepLines/>
        <w:spacing w:before="300" w:after="100" w:line="280" w:lineRule="exact"/>
        <w:outlineLvl w:val="4"/>
        <w:rPr>
          <w:rFonts w:ascii="宋体" w:hAnsi="宋体" w:eastAsia="宋体" w:cs="宋体"/>
          <w:b/>
          <w:bCs/>
          <w:sz w:val="18"/>
          <w:szCs w:val="18"/>
        </w:rPr>
      </w:pPr>
      <w:bookmarkStart w:id="534" w:name="_Toc989423"/>
      <w:r>
        <w:rPr>
          <w:rFonts w:ascii="宋体" w:hAnsi="宋体" w:eastAsia="宋体" w:cs="宋体"/>
          <w:b/>
          <w:bCs/>
          <w:sz w:val="18"/>
          <w:szCs w:val="18"/>
        </w:rPr>
        <w:t>3） 按坏账计提方法分类披露</w:t>
      </w:r>
      <w:bookmarkEnd w:id="534"/>
    </w:p>
    <w:p w14:paraId="403843B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6A219D8F">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8BD672">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4AEA80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B70315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44D96F0">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6A677AE"/>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B4A03EF">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185CABB">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BF38C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6F22A1E">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346BC7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B89C37">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42EFBCA0">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A44E6D"/>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619241">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3347564">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887CD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2ABD65">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B08B6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6DFF136">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83590D1">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01607D">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1DF8EF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87BDD8F"/>
        </w:tc>
      </w:tr>
      <w:tr w14:paraId="4A719DBF">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224127B">
            <w:pPr>
              <w:spacing w:before="40" w:after="40" w:line="240" w:lineRule="exact"/>
              <w:rPr>
                <w:rFonts w:ascii="宋体" w:hAnsi="宋体" w:eastAsia="宋体" w:cs="宋体"/>
                <w:sz w:val="18"/>
                <w:szCs w:val="18"/>
              </w:rPr>
            </w:pPr>
            <w:r>
              <w:rPr>
                <w:rFonts w:ascii="宋体" w:hAnsi="宋体" w:eastAsia="宋体" w:cs="宋体"/>
                <w:sz w:val="18"/>
                <w:szCs w:val="18"/>
              </w:rPr>
              <w:t>按单项计提坏账准备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3CE5AFAE">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876" w:type="dxa"/>
            <w:tcBorders>
              <w:top w:val="single" w:color="auto" w:sz="2" w:space="0"/>
              <w:left w:val="single" w:color="auto" w:sz="2" w:space="0"/>
              <w:bottom w:val="single" w:color="auto" w:sz="2" w:space="0"/>
              <w:right w:val="single" w:color="auto" w:sz="2" w:space="0"/>
            </w:tcBorders>
            <w:vAlign w:val="center"/>
          </w:tcPr>
          <w:p w14:paraId="52918C7D">
            <w:pPr>
              <w:spacing w:line="240" w:lineRule="exact"/>
              <w:jc w:val="right"/>
              <w:rPr>
                <w:rFonts w:ascii="宋体" w:hAnsi="宋体" w:eastAsia="宋体" w:cs="宋体"/>
                <w:sz w:val="18"/>
                <w:szCs w:val="18"/>
              </w:rPr>
            </w:pPr>
            <w:r>
              <w:rPr>
                <w:rFonts w:ascii="宋体" w:hAnsi="宋体" w:eastAsia="宋体" w:cs="宋体"/>
                <w:sz w:val="18"/>
                <w:szCs w:val="18"/>
              </w:rPr>
              <w:t>99.87%</w:t>
            </w:r>
          </w:p>
        </w:tc>
        <w:tc>
          <w:tcPr>
            <w:tcW w:w="876" w:type="dxa"/>
            <w:tcBorders>
              <w:top w:val="single" w:color="auto" w:sz="2" w:space="0"/>
              <w:left w:val="single" w:color="auto" w:sz="2" w:space="0"/>
              <w:bottom w:val="single" w:color="auto" w:sz="2" w:space="0"/>
              <w:right w:val="single" w:color="auto" w:sz="2" w:space="0"/>
            </w:tcBorders>
            <w:vAlign w:val="center"/>
          </w:tcPr>
          <w:p w14:paraId="34C785EE">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876" w:type="dxa"/>
            <w:tcBorders>
              <w:top w:val="single" w:color="auto" w:sz="2" w:space="0"/>
              <w:left w:val="single" w:color="auto" w:sz="2" w:space="0"/>
              <w:bottom w:val="single" w:color="auto" w:sz="2" w:space="0"/>
              <w:right w:val="single" w:color="auto" w:sz="2" w:space="0"/>
            </w:tcBorders>
            <w:vAlign w:val="center"/>
          </w:tcPr>
          <w:p w14:paraId="6569D23A">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7B2E1F3">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1492E9D1">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876" w:type="dxa"/>
            <w:tcBorders>
              <w:top w:val="single" w:color="auto" w:sz="2" w:space="0"/>
              <w:left w:val="single" w:color="auto" w:sz="2" w:space="0"/>
              <w:bottom w:val="single" w:color="auto" w:sz="2" w:space="0"/>
              <w:right w:val="single" w:color="auto" w:sz="2" w:space="0"/>
            </w:tcBorders>
            <w:vAlign w:val="center"/>
          </w:tcPr>
          <w:p w14:paraId="6320B5CA">
            <w:pPr>
              <w:spacing w:line="240" w:lineRule="exact"/>
              <w:jc w:val="right"/>
              <w:rPr>
                <w:rFonts w:ascii="宋体" w:hAnsi="宋体" w:eastAsia="宋体" w:cs="宋体"/>
                <w:sz w:val="18"/>
                <w:szCs w:val="18"/>
              </w:rPr>
            </w:pPr>
            <w:r>
              <w:rPr>
                <w:rFonts w:ascii="宋体" w:hAnsi="宋体" w:eastAsia="宋体" w:cs="宋体"/>
                <w:sz w:val="18"/>
                <w:szCs w:val="18"/>
              </w:rPr>
              <w:t>99.91%</w:t>
            </w:r>
          </w:p>
        </w:tc>
        <w:tc>
          <w:tcPr>
            <w:tcW w:w="876" w:type="dxa"/>
            <w:tcBorders>
              <w:top w:val="single" w:color="auto" w:sz="2" w:space="0"/>
              <w:left w:val="single" w:color="auto" w:sz="2" w:space="0"/>
              <w:bottom w:val="single" w:color="auto" w:sz="2" w:space="0"/>
              <w:right w:val="single" w:color="auto" w:sz="2" w:space="0"/>
            </w:tcBorders>
            <w:vAlign w:val="center"/>
          </w:tcPr>
          <w:p w14:paraId="78EAEF6E">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876" w:type="dxa"/>
            <w:tcBorders>
              <w:top w:val="single" w:color="auto" w:sz="2" w:space="0"/>
              <w:left w:val="single" w:color="auto" w:sz="2" w:space="0"/>
              <w:bottom w:val="single" w:color="auto" w:sz="2" w:space="0"/>
              <w:right w:val="single" w:color="auto" w:sz="2" w:space="0"/>
            </w:tcBorders>
            <w:vAlign w:val="center"/>
          </w:tcPr>
          <w:p w14:paraId="67F0422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725A683">
            <w:pPr>
              <w:spacing w:line="240" w:lineRule="exact"/>
              <w:jc w:val="right"/>
              <w:rPr>
                <w:rFonts w:ascii="宋体" w:hAnsi="宋体" w:eastAsia="宋体" w:cs="宋体"/>
                <w:sz w:val="18"/>
                <w:szCs w:val="18"/>
              </w:rPr>
            </w:pPr>
            <w:r>
              <w:rPr>
                <w:rFonts w:ascii="宋体" w:hAnsi="宋体" w:eastAsia="宋体" w:cs="宋体"/>
                <w:sz w:val="18"/>
                <w:szCs w:val="18"/>
              </w:rPr>
              <w:t>0.00</w:t>
            </w:r>
          </w:p>
        </w:tc>
      </w:tr>
      <w:tr w14:paraId="1A4189F8">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3BD7E09">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98C3FD"/>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A3748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BBA8B6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E81D96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67D79F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6BBD74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F3DEE7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F2563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E2A05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2F4A47"/>
        </w:tc>
      </w:tr>
      <w:tr w14:paraId="62FD1FDE">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56B274">
            <w:pPr>
              <w:spacing w:before="40" w:after="40" w:line="240" w:lineRule="exact"/>
              <w:rPr>
                <w:rFonts w:ascii="宋体" w:hAnsi="宋体" w:eastAsia="宋体" w:cs="宋体"/>
                <w:sz w:val="18"/>
                <w:szCs w:val="18"/>
              </w:rPr>
            </w:pPr>
            <w:r>
              <w:rPr>
                <w:rFonts w:ascii="宋体" w:hAnsi="宋体" w:eastAsia="宋体" w:cs="宋体"/>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1C08F14C">
            <w:pPr>
              <w:spacing w:line="240" w:lineRule="exact"/>
              <w:jc w:val="right"/>
              <w:rPr>
                <w:rFonts w:ascii="宋体" w:hAnsi="宋体" w:eastAsia="宋体" w:cs="宋体"/>
                <w:sz w:val="18"/>
                <w:szCs w:val="18"/>
              </w:rPr>
            </w:pPr>
            <w:r>
              <w:rPr>
                <w:rFonts w:ascii="宋体" w:hAnsi="宋体" w:eastAsia="宋体" w:cs="宋体"/>
                <w:sz w:val="18"/>
                <w:szCs w:val="18"/>
              </w:rPr>
              <w:t>390,011.12</w:t>
            </w:r>
          </w:p>
        </w:tc>
        <w:tc>
          <w:tcPr>
            <w:tcW w:w="876" w:type="dxa"/>
            <w:tcBorders>
              <w:top w:val="single" w:color="auto" w:sz="2" w:space="0"/>
              <w:left w:val="single" w:color="auto" w:sz="2" w:space="0"/>
              <w:bottom w:val="single" w:color="auto" w:sz="2" w:space="0"/>
              <w:right w:val="single" w:color="auto" w:sz="2" w:space="0"/>
            </w:tcBorders>
            <w:vAlign w:val="center"/>
          </w:tcPr>
          <w:p w14:paraId="1E1DAC54">
            <w:pPr>
              <w:spacing w:line="240" w:lineRule="exact"/>
              <w:jc w:val="right"/>
              <w:rPr>
                <w:rFonts w:ascii="宋体" w:hAnsi="宋体" w:eastAsia="宋体" w:cs="宋体"/>
                <w:sz w:val="18"/>
                <w:szCs w:val="18"/>
              </w:rPr>
            </w:pPr>
            <w:r>
              <w:rPr>
                <w:rFonts w:ascii="宋体" w:hAnsi="宋体" w:eastAsia="宋体" w:cs="宋体"/>
                <w:sz w:val="18"/>
                <w:szCs w:val="18"/>
              </w:rPr>
              <w:t>0.13%</w:t>
            </w:r>
          </w:p>
        </w:tc>
        <w:tc>
          <w:tcPr>
            <w:tcW w:w="876" w:type="dxa"/>
            <w:tcBorders>
              <w:top w:val="single" w:color="auto" w:sz="2" w:space="0"/>
              <w:left w:val="single" w:color="auto" w:sz="2" w:space="0"/>
              <w:bottom w:val="single" w:color="auto" w:sz="2" w:space="0"/>
              <w:right w:val="single" w:color="auto" w:sz="2" w:space="0"/>
            </w:tcBorders>
            <w:vAlign w:val="center"/>
          </w:tcPr>
          <w:p w14:paraId="7368E36F">
            <w:pPr>
              <w:spacing w:line="240" w:lineRule="exact"/>
              <w:jc w:val="right"/>
              <w:rPr>
                <w:rFonts w:ascii="宋体" w:hAnsi="宋体" w:eastAsia="宋体" w:cs="宋体"/>
                <w:sz w:val="18"/>
                <w:szCs w:val="18"/>
              </w:rPr>
            </w:pPr>
            <w:r>
              <w:rPr>
                <w:rFonts w:ascii="宋体" w:hAnsi="宋体" w:eastAsia="宋体" w:cs="宋体"/>
                <w:sz w:val="18"/>
                <w:szCs w:val="18"/>
              </w:rPr>
              <w:t>28,473.42</w:t>
            </w:r>
          </w:p>
        </w:tc>
        <w:tc>
          <w:tcPr>
            <w:tcW w:w="876" w:type="dxa"/>
            <w:tcBorders>
              <w:top w:val="single" w:color="auto" w:sz="2" w:space="0"/>
              <w:left w:val="single" w:color="auto" w:sz="2" w:space="0"/>
              <w:bottom w:val="single" w:color="auto" w:sz="2" w:space="0"/>
              <w:right w:val="single" w:color="auto" w:sz="2" w:space="0"/>
            </w:tcBorders>
            <w:vAlign w:val="center"/>
          </w:tcPr>
          <w:p w14:paraId="19EA201F">
            <w:pPr>
              <w:spacing w:line="240" w:lineRule="exact"/>
              <w:jc w:val="right"/>
              <w:rPr>
                <w:rFonts w:ascii="宋体" w:hAnsi="宋体" w:eastAsia="宋体" w:cs="宋体"/>
                <w:sz w:val="18"/>
                <w:szCs w:val="18"/>
              </w:rPr>
            </w:pPr>
            <w:r>
              <w:rPr>
                <w:rFonts w:ascii="宋体" w:hAnsi="宋体" w:eastAsia="宋体" w:cs="宋体"/>
                <w:sz w:val="18"/>
                <w:szCs w:val="18"/>
              </w:rPr>
              <w:t>7.30%</w:t>
            </w:r>
          </w:p>
        </w:tc>
        <w:tc>
          <w:tcPr>
            <w:tcW w:w="876" w:type="dxa"/>
            <w:tcBorders>
              <w:top w:val="single" w:color="auto" w:sz="2" w:space="0"/>
              <w:left w:val="single" w:color="auto" w:sz="2" w:space="0"/>
              <w:bottom w:val="single" w:color="auto" w:sz="2" w:space="0"/>
              <w:right w:val="single" w:color="auto" w:sz="2" w:space="0"/>
            </w:tcBorders>
            <w:vAlign w:val="center"/>
          </w:tcPr>
          <w:p w14:paraId="45DF1669">
            <w:pPr>
              <w:spacing w:line="240" w:lineRule="exact"/>
              <w:jc w:val="right"/>
              <w:rPr>
                <w:rFonts w:ascii="宋体" w:hAnsi="宋体" w:eastAsia="宋体" w:cs="宋体"/>
                <w:sz w:val="18"/>
                <w:szCs w:val="18"/>
              </w:rPr>
            </w:pPr>
            <w:r>
              <w:rPr>
                <w:rFonts w:ascii="宋体" w:hAnsi="宋体" w:eastAsia="宋体" w:cs="宋体"/>
                <w:sz w:val="18"/>
                <w:szCs w:val="18"/>
              </w:rPr>
              <w:t>361,537.70</w:t>
            </w:r>
          </w:p>
        </w:tc>
        <w:tc>
          <w:tcPr>
            <w:tcW w:w="876" w:type="dxa"/>
            <w:tcBorders>
              <w:top w:val="single" w:color="auto" w:sz="2" w:space="0"/>
              <w:left w:val="single" w:color="auto" w:sz="2" w:space="0"/>
              <w:bottom w:val="single" w:color="auto" w:sz="2" w:space="0"/>
              <w:right w:val="single" w:color="auto" w:sz="2" w:space="0"/>
            </w:tcBorders>
            <w:vAlign w:val="center"/>
          </w:tcPr>
          <w:p w14:paraId="1A6B891F">
            <w:pPr>
              <w:spacing w:line="240" w:lineRule="exact"/>
              <w:jc w:val="right"/>
              <w:rPr>
                <w:rFonts w:ascii="宋体" w:hAnsi="宋体" w:eastAsia="宋体" w:cs="宋体"/>
                <w:sz w:val="18"/>
                <w:szCs w:val="18"/>
              </w:rPr>
            </w:pPr>
            <w:r>
              <w:rPr>
                <w:rFonts w:ascii="宋体" w:hAnsi="宋体" w:eastAsia="宋体" w:cs="宋体"/>
                <w:sz w:val="18"/>
                <w:szCs w:val="18"/>
              </w:rPr>
              <w:t>260,495.92</w:t>
            </w:r>
          </w:p>
        </w:tc>
        <w:tc>
          <w:tcPr>
            <w:tcW w:w="876" w:type="dxa"/>
            <w:tcBorders>
              <w:top w:val="single" w:color="auto" w:sz="2" w:space="0"/>
              <w:left w:val="single" w:color="auto" w:sz="2" w:space="0"/>
              <w:bottom w:val="single" w:color="auto" w:sz="2" w:space="0"/>
              <w:right w:val="single" w:color="auto" w:sz="2" w:space="0"/>
            </w:tcBorders>
            <w:vAlign w:val="center"/>
          </w:tcPr>
          <w:p w14:paraId="2A782EF9">
            <w:pPr>
              <w:spacing w:line="240" w:lineRule="exact"/>
              <w:jc w:val="right"/>
              <w:rPr>
                <w:rFonts w:ascii="宋体" w:hAnsi="宋体" w:eastAsia="宋体" w:cs="宋体"/>
                <w:sz w:val="18"/>
                <w:szCs w:val="18"/>
              </w:rPr>
            </w:pPr>
            <w:r>
              <w:rPr>
                <w:rFonts w:ascii="宋体" w:hAnsi="宋体" w:eastAsia="宋体" w:cs="宋体"/>
                <w:sz w:val="18"/>
                <w:szCs w:val="18"/>
              </w:rPr>
              <w:t>0.09%</w:t>
            </w:r>
          </w:p>
        </w:tc>
        <w:tc>
          <w:tcPr>
            <w:tcW w:w="876" w:type="dxa"/>
            <w:tcBorders>
              <w:top w:val="single" w:color="auto" w:sz="2" w:space="0"/>
              <w:left w:val="single" w:color="auto" w:sz="2" w:space="0"/>
              <w:bottom w:val="single" w:color="auto" w:sz="2" w:space="0"/>
              <w:right w:val="single" w:color="auto" w:sz="2" w:space="0"/>
            </w:tcBorders>
            <w:vAlign w:val="center"/>
          </w:tcPr>
          <w:p w14:paraId="5FAECF96">
            <w:pPr>
              <w:spacing w:line="240" w:lineRule="exact"/>
              <w:jc w:val="right"/>
              <w:rPr>
                <w:rFonts w:ascii="宋体" w:hAnsi="宋体" w:eastAsia="宋体" w:cs="宋体"/>
                <w:sz w:val="18"/>
                <w:szCs w:val="18"/>
              </w:rPr>
            </w:pPr>
            <w:r>
              <w:rPr>
                <w:rFonts w:ascii="宋体" w:hAnsi="宋体" w:eastAsia="宋体" w:cs="宋体"/>
                <w:sz w:val="18"/>
                <w:szCs w:val="18"/>
              </w:rPr>
              <w:t>15,024.80</w:t>
            </w:r>
          </w:p>
        </w:tc>
        <w:tc>
          <w:tcPr>
            <w:tcW w:w="876" w:type="dxa"/>
            <w:tcBorders>
              <w:top w:val="single" w:color="auto" w:sz="2" w:space="0"/>
              <w:left w:val="single" w:color="auto" w:sz="2" w:space="0"/>
              <w:bottom w:val="single" w:color="auto" w:sz="2" w:space="0"/>
              <w:right w:val="single" w:color="auto" w:sz="2" w:space="0"/>
            </w:tcBorders>
            <w:vAlign w:val="center"/>
          </w:tcPr>
          <w:p w14:paraId="505E921F">
            <w:pPr>
              <w:spacing w:line="240" w:lineRule="exact"/>
              <w:jc w:val="right"/>
              <w:rPr>
                <w:rFonts w:ascii="宋体" w:hAnsi="宋体" w:eastAsia="宋体" w:cs="宋体"/>
                <w:sz w:val="18"/>
                <w:szCs w:val="18"/>
              </w:rPr>
            </w:pPr>
            <w:r>
              <w:rPr>
                <w:rFonts w:ascii="宋体" w:hAnsi="宋体" w:eastAsia="宋体" w:cs="宋体"/>
                <w:sz w:val="18"/>
                <w:szCs w:val="18"/>
              </w:rPr>
              <w:t>5.77%</w:t>
            </w:r>
          </w:p>
        </w:tc>
        <w:tc>
          <w:tcPr>
            <w:tcW w:w="876" w:type="dxa"/>
            <w:tcBorders>
              <w:top w:val="single" w:color="auto" w:sz="2" w:space="0"/>
              <w:left w:val="single" w:color="auto" w:sz="2" w:space="0"/>
              <w:bottom w:val="single" w:color="auto" w:sz="2" w:space="0"/>
              <w:right w:val="single" w:color="auto" w:sz="2" w:space="0"/>
            </w:tcBorders>
            <w:vAlign w:val="center"/>
          </w:tcPr>
          <w:p w14:paraId="571886ED">
            <w:pPr>
              <w:spacing w:line="240" w:lineRule="exact"/>
              <w:jc w:val="right"/>
              <w:rPr>
                <w:rFonts w:ascii="宋体" w:hAnsi="宋体" w:eastAsia="宋体" w:cs="宋体"/>
                <w:sz w:val="18"/>
                <w:szCs w:val="18"/>
              </w:rPr>
            </w:pPr>
            <w:r>
              <w:rPr>
                <w:rFonts w:ascii="宋体" w:hAnsi="宋体" w:eastAsia="宋体" w:cs="宋体"/>
                <w:sz w:val="18"/>
                <w:szCs w:val="18"/>
              </w:rPr>
              <w:t>245,471.12</w:t>
            </w:r>
          </w:p>
        </w:tc>
      </w:tr>
      <w:tr w14:paraId="7AB22427">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BC6576">
            <w:pPr>
              <w:spacing w:before="40" w:after="40" w:line="240" w:lineRule="exact"/>
              <w:ind w:firstLine="180" w:firstLineChars="100"/>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8D233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A8D4D3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D865C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C5C76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77EBBA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3F14F8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B84DCC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316F6B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02BED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5F1B96"/>
        </w:tc>
      </w:tr>
      <w:tr w14:paraId="23538148">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F21E421">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7239987B">
            <w:pPr>
              <w:spacing w:line="240" w:lineRule="exact"/>
              <w:jc w:val="right"/>
              <w:rPr>
                <w:rFonts w:ascii="宋体" w:hAnsi="宋体" w:eastAsia="宋体" w:cs="宋体"/>
                <w:sz w:val="18"/>
                <w:szCs w:val="18"/>
              </w:rPr>
            </w:pPr>
            <w:r>
              <w:rPr>
                <w:rFonts w:ascii="宋体" w:hAnsi="宋体" w:eastAsia="宋体" w:cs="宋体"/>
                <w:sz w:val="18"/>
                <w:szCs w:val="18"/>
              </w:rPr>
              <w:t>302,666,096.11</w:t>
            </w:r>
          </w:p>
        </w:tc>
        <w:tc>
          <w:tcPr>
            <w:tcW w:w="876" w:type="dxa"/>
            <w:tcBorders>
              <w:top w:val="single" w:color="auto" w:sz="2" w:space="0"/>
              <w:left w:val="single" w:color="auto" w:sz="2" w:space="0"/>
              <w:bottom w:val="single" w:color="auto" w:sz="2" w:space="0"/>
              <w:right w:val="single" w:color="auto" w:sz="2" w:space="0"/>
            </w:tcBorders>
            <w:vAlign w:val="center"/>
          </w:tcPr>
          <w:p w14:paraId="269BA65D">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C4A050B">
            <w:pPr>
              <w:spacing w:line="240" w:lineRule="exact"/>
              <w:jc w:val="right"/>
              <w:rPr>
                <w:rFonts w:ascii="宋体" w:hAnsi="宋体" w:eastAsia="宋体" w:cs="宋体"/>
                <w:sz w:val="18"/>
                <w:szCs w:val="18"/>
              </w:rPr>
            </w:pPr>
            <w:r>
              <w:rPr>
                <w:rFonts w:ascii="宋体" w:hAnsi="宋体" w:eastAsia="宋体" w:cs="宋体"/>
                <w:sz w:val="18"/>
                <w:szCs w:val="18"/>
              </w:rPr>
              <w:t>302,304,558.41</w:t>
            </w:r>
          </w:p>
        </w:tc>
        <w:tc>
          <w:tcPr>
            <w:tcW w:w="876" w:type="dxa"/>
            <w:tcBorders>
              <w:top w:val="single" w:color="auto" w:sz="2" w:space="0"/>
              <w:left w:val="single" w:color="auto" w:sz="2" w:space="0"/>
              <w:bottom w:val="single" w:color="auto" w:sz="2" w:space="0"/>
              <w:right w:val="single" w:color="auto" w:sz="2" w:space="0"/>
            </w:tcBorders>
            <w:vAlign w:val="center"/>
          </w:tcPr>
          <w:p w14:paraId="7EB046DE">
            <w:pPr>
              <w:spacing w:line="240" w:lineRule="exact"/>
              <w:jc w:val="right"/>
              <w:rPr>
                <w:rFonts w:ascii="宋体" w:hAnsi="宋体" w:eastAsia="宋体" w:cs="宋体"/>
                <w:sz w:val="18"/>
                <w:szCs w:val="18"/>
              </w:rPr>
            </w:pPr>
            <w:r>
              <w:rPr>
                <w:rFonts w:ascii="宋体" w:hAnsi="宋体" w:eastAsia="宋体" w:cs="宋体"/>
                <w:sz w:val="18"/>
                <w:szCs w:val="18"/>
              </w:rPr>
              <w:t>99.87%</w:t>
            </w:r>
          </w:p>
        </w:tc>
        <w:tc>
          <w:tcPr>
            <w:tcW w:w="876" w:type="dxa"/>
            <w:tcBorders>
              <w:top w:val="single" w:color="auto" w:sz="2" w:space="0"/>
              <w:left w:val="single" w:color="auto" w:sz="2" w:space="0"/>
              <w:bottom w:val="single" w:color="auto" w:sz="2" w:space="0"/>
              <w:right w:val="single" w:color="auto" w:sz="2" w:space="0"/>
            </w:tcBorders>
            <w:vAlign w:val="center"/>
          </w:tcPr>
          <w:p w14:paraId="4B9BA49D">
            <w:pPr>
              <w:spacing w:line="240" w:lineRule="exact"/>
              <w:jc w:val="right"/>
              <w:rPr>
                <w:rFonts w:ascii="宋体" w:hAnsi="宋体" w:eastAsia="宋体" w:cs="宋体"/>
                <w:sz w:val="18"/>
                <w:szCs w:val="18"/>
              </w:rPr>
            </w:pPr>
            <w:r>
              <w:rPr>
                <w:rFonts w:ascii="宋体" w:hAnsi="宋体" w:eastAsia="宋体" w:cs="宋体"/>
                <w:sz w:val="18"/>
                <w:szCs w:val="18"/>
              </w:rPr>
              <w:t>361,537.70</w:t>
            </w:r>
          </w:p>
        </w:tc>
        <w:tc>
          <w:tcPr>
            <w:tcW w:w="876" w:type="dxa"/>
            <w:tcBorders>
              <w:top w:val="single" w:color="auto" w:sz="2" w:space="0"/>
              <w:left w:val="single" w:color="auto" w:sz="2" w:space="0"/>
              <w:bottom w:val="single" w:color="auto" w:sz="2" w:space="0"/>
              <w:right w:val="single" w:color="auto" w:sz="2" w:space="0"/>
            </w:tcBorders>
            <w:vAlign w:val="center"/>
          </w:tcPr>
          <w:p w14:paraId="2D06FF84">
            <w:pPr>
              <w:spacing w:line="240" w:lineRule="exact"/>
              <w:jc w:val="right"/>
              <w:rPr>
                <w:rFonts w:ascii="宋体" w:hAnsi="宋体" w:eastAsia="宋体" w:cs="宋体"/>
                <w:sz w:val="18"/>
                <w:szCs w:val="18"/>
              </w:rPr>
            </w:pPr>
            <w:r>
              <w:rPr>
                <w:rFonts w:ascii="宋体" w:hAnsi="宋体" w:eastAsia="宋体" w:cs="宋体"/>
                <w:sz w:val="18"/>
                <w:szCs w:val="18"/>
              </w:rPr>
              <w:t>302,536,580.91</w:t>
            </w:r>
          </w:p>
        </w:tc>
        <w:tc>
          <w:tcPr>
            <w:tcW w:w="876" w:type="dxa"/>
            <w:tcBorders>
              <w:top w:val="single" w:color="auto" w:sz="2" w:space="0"/>
              <w:left w:val="single" w:color="auto" w:sz="2" w:space="0"/>
              <w:bottom w:val="single" w:color="auto" w:sz="2" w:space="0"/>
              <w:right w:val="single" w:color="auto" w:sz="2" w:space="0"/>
            </w:tcBorders>
            <w:vAlign w:val="center"/>
          </w:tcPr>
          <w:p w14:paraId="008534B0">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1142ED3A">
            <w:pPr>
              <w:spacing w:line="240" w:lineRule="exact"/>
              <w:jc w:val="right"/>
              <w:rPr>
                <w:rFonts w:ascii="宋体" w:hAnsi="宋体" w:eastAsia="宋体" w:cs="宋体"/>
                <w:sz w:val="18"/>
                <w:szCs w:val="18"/>
              </w:rPr>
            </w:pPr>
            <w:r>
              <w:rPr>
                <w:rFonts w:ascii="宋体" w:hAnsi="宋体" w:eastAsia="宋体" w:cs="宋体"/>
                <w:sz w:val="18"/>
                <w:szCs w:val="18"/>
              </w:rPr>
              <w:t>302,291,109.79</w:t>
            </w:r>
          </w:p>
        </w:tc>
        <w:tc>
          <w:tcPr>
            <w:tcW w:w="876" w:type="dxa"/>
            <w:tcBorders>
              <w:top w:val="single" w:color="auto" w:sz="2" w:space="0"/>
              <w:left w:val="single" w:color="auto" w:sz="2" w:space="0"/>
              <w:bottom w:val="single" w:color="auto" w:sz="2" w:space="0"/>
              <w:right w:val="single" w:color="auto" w:sz="2" w:space="0"/>
            </w:tcBorders>
            <w:vAlign w:val="center"/>
          </w:tcPr>
          <w:p w14:paraId="4F9380C5">
            <w:pPr>
              <w:spacing w:line="240" w:lineRule="exact"/>
              <w:jc w:val="right"/>
              <w:rPr>
                <w:rFonts w:ascii="宋体" w:hAnsi="宋体" w:eastAsia="宋体" w:cs="宋体"/>
                <w:sz w:val="18"/>
                <w:szCs w:val="18"/>
              </w:rPr>
            </w:pPr>
            <w:r>
              <w:rPr>
                <w:rFonts w:ascii="宋体" w:hAnsi="宋体" w:eastAsia="宋体" w:cs="宋体"/>
                <w:sz w:val="18"/>
                <w:szCs w:val="18"/>
              </w:rPr>
              <w:t>99.92%</w:t>
            </w:r>
          </w:p>
        </w:tc>
        <w:tc>
          <w:tcPr>
            <w:tcW w:w="876" w:type="dxa"/>
            <w:tcBorders>
              <w:top w:val="single" w:color="auto" w:sz="2" w:space="0"/>
              <w:left w:val="single" w:color="auto" w:sz="2" w:space="0"/>
              <w:bottom w:val="single" w:color="auto" w:sz="2" w:space="0"/>
              <w:right w:val="single" w:color="auto" w:sz="2" w:space="0"/>
            </w:tcBorders>
            <w:vAlign w:val="center"/>
          </w:tcPr>
          <w:p w14:paraId="68BFDB78">
            <w:pPr>
              <w:spacing w:line="240" w:lineRule="exact"/>
              <w:jc w:val="right"/>
              <w:rPr>
                <w:rFonts w:ascii="宋体" w:hAnsi="宋体" w:eastAsia="宋体" w:cs="宋体"/>
                <w:sz w:val="18"/>
                <w:szCs w:val="18"/>
              </w:rPr>
            </w:pPr>
            <w:r>
              <w:rPr>
                <w:rFonts w:ascii="宋体" w:hAnsi="宋体" w:eastAsia="宋体" w:cs="宋体"/>
                <w:sz w:val="18"/>
                <w:szCs w:val="18"/>
              </w:rPr>
              <w:t>245,471.12</w:t>
            </w:r>
          </w:p>
        </w:tc>
      </w:tr>
    </w:tbl>
    <w:p w14:paraId="55937634">
      <w:pPr>
        <w:spacing w:line="240" w:lineRule="exact"/>
        <w:rPr>
          <w:rFonts w:ascii="宋体" w:hAnsi="宋体" w:eastAsia="宋体" w:cs="宋体"/>
          <w:sz w:val="18"/>
          <w:szCs w:val="18"/>
        </w:rPr>
      </w:pPr>
      <w:r>
        <w:rPr>
          <w:rFonts w:ascii="宋体" w:hAnsi="宋体" w:eastAsia="宋体" w:cs="宋体"/>
          <w:sz w:val="18"/>
          <w:szCs w:val="18"/>
        </w:rPr>
        <w:t>按单项计提坏账准备类别名称：单项计提</w:t>
      </w:r>
    </w:p>
    <w:p w14:paraId="152A9A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C72028E">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8687D6">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A15DB6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38E12C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23866A87">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D8BAE8"/>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1872E67">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0BC9E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4DB4BA">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1B3B01">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8B383E2">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D74BDF">
            <w:pPr>
              <w:spacing w:before="40" w:after="40" w:line="240" w:lineRule="exact"/>
              <w:jc w:val="center"/>
              <w:rPr>
                <w:rFonts w:ascii="宋体" w:hAnsi="宋体" w:eastAsia="宋体" w:cs="宋体"/>
                <w:sz w:val="18"/>
                <w:szCs w:val="18"/>
              </w:rPr>
            </w:pPr>
            <w:r>
              <w:rPr>
                <w:rFonts w:ascii="宋体" w:hAnsi="宋体" w:eastAsia="宋体" w:cs="宋体"/>
                <w:sz w:val="18"/>
                <w:szCs w:val="18"/>
              </w:rPr>
              <w:t>计提理由</w:t>
            </w:r>
          </w:p>
        </w:tc>
      </w:tr>
      <w:tr w14:paraId="1F6C7BC5">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6B17F94">
            <w:pPr>
              <w:spacing w:line="240" w:lineRule="exact"/>
              <w:rPr>
                <w:rFonts w:ascii="宋体" w:hAnsi="宋体" w:eastAsia="宋体" w:cs="宋体"/>
                <w:sz w:val="18"/>
                <w:szCs w:val="18"/>
              </w:rPr>
            </w:pPr>
            <w:r>
              <w:rPr>
                <w:rFonts w:ascii="宋体" w:hAnsi="宋体" w:eastAsia="宋体" w:cs="宋体"/>
                <w:sz w:val="18"/>
                <w:szCs w:val="18"/>
              </w:rPr>
              <w:t>成都仕远置商贸有限责任公司</w:t>
            </w:r>
          </w:p>
        </w:tc>
        <w:tc>
          <w:tcPr>
            <w:tcW w:w="1377" w:type="dxa"/>
            <w:tcBorders>
              <w:top w:val="single" w:color="auto" w:sz="2" w:space="0"/>
              <w:left w:val="single" w:color="auto" w:sz="2" w:space="0"/>
              <w:bottom w:val="single" w:color="auto" w:sz="2" w:space="0"/>
              <w:right w:val="single" w:color="auto" w:sz="2" w:space="0"/>
            </w:tcBorders>
            <w:vAlign w:val="center"/>
          </w:tcPr>
          <w:p w14:paraId="127835FF">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28BC3A66">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58192ED3">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59263156">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377" w:type="dxa"/>
            <w:tcBorders>
              <w:top w:val="single" w:color="auto" w:sz="2" w:space="0"/>
              <w:left w:val="single" w:color="auto" w:sz="2" w:space="0"/>
              <w:bottom w:val="single" w:color="auto" w:sz="2" w:space="0"/>
              <w:right w:val="single" w:color="auto" w:sz="2" w:space="0"/>
            </w:tcBorders>
            <w:vAlign w:val="center"/>
          </w:tcPr>
          <w:p w14:paraId="293FA488">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0997CBA7">
            <w:pPr>
              <w:spacing w:line="240" w:lineRule="exact"/>
              <w:rPr>
                <w:rFonts w:ascii="宋体" w:hAnsi="宋体" w:eastAsia="宋体" w:cs="宋体"/>
                <w:sz w:val="18"/>
                <w:szCs w:val="18"/>
              </w:rPr>
            </w:pPr>
            <w:r>
              <w:rPr>
                <w:rFonts w:ascii="宋体" w:hAnsi="宋体" w:eastAsia="宋体" w:cs="宋体"/>
                <w:sz w:val="18"/>
                <w:szCs w:val="18"/>
              </w:rPr>
              <w:t>回收可能性</w:t>
            </w:r>
          </w:p>
        </w:tc>
      </w:tr>
      <w:tr w14:paraId="250A979F">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FD4ED97">
            <w:pPr>
              <w:spacing w:line="240" w:lineRule="exact"/>
              <w:rPr>
                <w:rFonts w:ascii="宋体" w:hAnsi="宋体" w:eastAsia="宋体" w:cs="宋体"/>
                <w:sz w:val="18"/>
                <w:szCs w:val="18"/>
              </w:rPr>
            </w:pPr>
            <w:r>
              <w:rPr>
                <w:rFonts w:ascii="宋体" w:hAnsi="宋体" w:eastAsia="宋体" w:cs="宋体"/>
                <w:sz w:val="18"/>
                <w:szCs w:val="18"/>
              </w:rPr>
              <w:t>四川永成实业发展有限公司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46AB7619">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3ADE786C">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03BE8AD3">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3FE06DFC">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377" w:type="dxa"/>
            <w:tcBorders>
              <w:top w:val="single" w:color="auto" w:sz="2" w:space="0"/>
              <w:left w:val="single" w:color="auto" w:sz="2" w:space="0"/>
              <w:bottom w:val="single" w:color="auto" w:sz="2" w:space="0"/>
              <w:right w:val="single" w:color="auto" w:sz="2" w:space="0"/>
            </w:tcBorders>
            <w:vAlign w:val="center"/>
          </w:tcPr>
          <w:p w14:paraId="1FE83244">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29DD2CC0">
            <w:pPr>
              <w:spacing w:line="240" w:lineRule="exact"/>
              <w:rPr>
                <w:rFonts w:ascii="宋体" w:hAnsi="宋体" w:eastAsia="宋体" w:cs="宋体"/>
                <w:sz w:val="18"/>
                <w:szCs w:val="18"/>
              </w:rPr>
            </w:pPr>
            <w:r>
              <w:rPr>
                <w:rFonts w:ascii="宋体" w:hAnsi="宋体" w:eastAsia="宋体" w:cs="宋体"/>
                <w:sz w:val="18"/>
                <w:szCs w:val="18"/>
              </w:rPr>
              <w:t>回收可能性</w:t>
            </w:r>
          </w:p>
        </w:tc>
      </w:tr>
      <w:tr w14:paraId="0C2E9AAE">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2676862">
            <w:pPr>
              <w:spacing w:line="240" w:lineRule="exact"/>
              <w:rPr>
                <w:rFonts w:ascii="宋体" w:hAnsi="宋体" w:eastAsia="宋体" w:cs="宋体"/>
                <w:sz w:val="18"/>
                <w:szCs w:val="18"/>
              </w:rPr>
            </w:pPr>
            <w:r>
              <w:rPr>
                <w:rFonts w:ascii="宋体" w:hAnsi="宋体" w:eastAsia="宋体" w:cs="宋体"/>
                <w:sz w:val="18"/>
                <w:szCs w:val="18"/>
              </w:rPr>
              <w:t>苏州华信善达力创投资企业（有限合伙）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741C4539">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7B98A2CD">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29AA7F7F">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0CE9E9B5">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377" w:type="dxa"/>
            <w:tcBorders>
              <w:top w:val="single" w:color="auto" w:sz="2" w:space="0"/>
              <w:left w:val="single" w:color="auto" w:sz="2" w:space="0"/>
              <w:bottom w:val="single" w:color="auto" w:sz="2" w:space="0"/>
              <w:right w:val="single" w:color="auto" w:sz="2" w:space="0"/>
            </w:tcBorders>
            <w:vAlign w:val="center"/>
          </w:tcPr>
          <w:p w14:paraId="04B76B92">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0BA676F7">
            <w:pPr>
              <w:spacing w:line="240" w:lineRule="exact"/>
              <w:rPr>
                <w:rFonts w:ascii="宋体" w:hAnsi="宋体" w:eastAsia="宋体" w:cs="宋体"/>
                <w:sz w:val="18"/>
                <w:szCs w:val="18"/>
              </w:rPr>
            </w:pPr>
            <w:r>
              <w:rPr>
                <w:rFonts w:ascii="宋体" w:hAnsi="宋体" w:eastAsia="宋体" w:cs="宋体"/>
                <w:sz w:val="18"/>
                <w:szCs w:val="18"/>
              </w:rPr>
              <w:t>回收可能性</w:t>
            </w:r>
          </w:p>
        </w:tc>
      </w:tr>
      <w:tr w14:paraId="2138C9B4">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2F0BA7B">
            <w:pPr>
              <w:spacing w:line="240" w:lineRule="exact"/>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182F0682">
            <w:pPr>
              <w:spacing w:line="240" w:lineRule="exact"/>
              <w:jc w:val="right"/>
              <w:rPr>
                <w:rFonts w:ascii="宋体" w:hAnsi="宋体" w:eastAsia="宋体" w:cs="宋体"/>
                <w:sz w:val="18"/>
                <w:szCs w:val="18"/>
              </w:rPr>
            </w:pPr>
            <w:r>
              <w:rPr>
                <w:rFonts w:ascii="宋体" w:hAnsi="宋体" w:eastAsia="宋体" w:cs="宋体"/>
                <w:sz w:val="18"/>
                <w:szCs w:val="18"/>
              </w:rPr>
              <w:t>550,084.99</w:t>
            </w:r>
          </w:p>
        </w:tc>
        <w:tc>
          <w:tcPr>
            <w:tcW w:w="1377" w:type="dxa"/>
            <w:tcBorders>
              <w:top w:val="single" w:color="auto" w:sz="2" w:space="0"/>
              <w:left w:val="single" w:color="auto" w:sz="2" w:space="0"/>
              <w:bottom w:val="single" w:color="auto" w:sz="2" w:space="0"/>
              <w:right w:val="single" w:color="auto" w:sz="2" w:space="0"/>
            </w:tcBorders>
            <w:vAlign w:val="center"/>
          </w:tcPr>
          <w:p w14:paraId="5F196C96">
            <w:pPr>
              <w:spacing w:line="240" w:lineRule="exact"/>
              <w:jc w:val="right"/>
              <w:rPr>
                <w:rFonts w:ascii="宋体" w:hAnsi="宋体" w:eastAsia="宋体" w:cs="宋体"/>
                <w:sz w:val="18"/>
                <w:szCs w:val="18"/>
              </w:rPr>
            </w:pPr>
            <w:r>
              <w:rPr>
                <w:rFonts w:ascii="宋体" w:hAnsi="宋体" w:eastAsia="宋体" w:cs="宋体"/>
                <w:sz w:val="18"/>
                <w:szCs w:val="18"/>
              </w:rPr>
              <w:t>550,084.99</w:t>
            </w:r>
          </w:p>
        </w:tc>
        <w:tc>
          <w:tcPr>
            <w:tcW w:w="1377" w:type="dxa"/>
            <w:tcBorders>
              <w:top w:val="single" w:color="auto" w:sz="2" w:space="0"/>
              <w:left w:val="single" w:color="auto" w:sz="2" w:space="0"/>
              <w:bottom w:val="single" w:color="auto" w:sz="2" w:space="0"/>
              <w:right w:val="single" w:color="auto" w:sz="2" w:space="0"/>
            </w:tcBorders>
            <w:vAlign w:val="center"/>
          </w:tcPr>
          <w:p w14:paraId="6D679BA5">
            <w:pPr>
              <w:spacing w:line="240" w:lineRule="exact"/>
              <w:jc w:val="right"/>
              <w:rPr>
                <w:rFonts w:ascii="宋体" w:hAnsi="宋体" w:eastAsia="宋体" w:cs="宋体"/>
                <w:sz w:val="18"/>
                <w:szCs w:val="18"/>
              </w:rPr>
            </w:pPr>
            <w:r>
              <w:rPr>
                <w:rFonts w:ascii="宋体" w:hAnsi="宋体" w:eastAsia="宋体" w:cs="宋体"/>
                <w:sz w:val="18"/>
                <w:szCs w:val="18"/>
              </w:rPr>
              <w:t>550,084.99</w:t>
            </w:r>
          </w:p>
        </w:tc>
        <w:tc>
          <w:tcPr>
            <w:tcW w:w="1377" w:type="dxa"/>
            <w:tcBorders>
              <w:top w:val="single" w:color="auto" w:sz="2" w:space="0"/>
              <w:left w:val="single" w:color="auto" w:sz="2" w:space="0"/>
              <w:bottom w:val="single" w:color="auto" w:sz="2" w:space="0"/>
              <w:right w:val="single" w:color="auto" w:sz="2" w:space="0"/>
            </w:tcBorders>
            <w:vAlign w:val="center"/>
          </w:tcPr>
          <w:p w14:paraId="3ACAEB06">
            <w:pPr>
              <w:spacing w:line="240" w:lineRule="exact"/>
              <w:jc w:val="right"/>
              <w:rPr>
                <w:rFonts w:ascii="宋体" w:hAnsi="宋体" w:eastAsia="宋体" w:cs="宋体"/>
                <w:sz w:val="18"/>
                <w:szCs w:val="18"/>
              </w:rPr>
            </w:pPr>
            <w:r>
              <w:rPr>
                <w:rFonts w:ascii="宋体" w:hAnsi="宋体" w:eastAsia="宋体" w:cs="宋体"/>
                <w:sz w:val="18"/>
                <w:szCs w:val="18"/>
              </w:rPr>
              <w:t>550,084.99</w:t>
            </w:r>
          </w:p>
        </w:tc>
        <w:tc>
          <w:tcPr>
            <w:tcW w:w="1377" w:type="dxa"/>
            <w:tcBorders>
              <w:top w:val="single" w:color="auto" w:sz="2" w:space="0"/>
              <w:left w:val="single" w:color="auto" w:sz="2" w:space="0"/>
              <w:bottom w:val="single" w:color="auto" w:sz="2" w:space="0"/>
              <w:right w:val="single" w:color="auto" w:sz="2" w:space="0"/>
            </w:tcBorders>
            <w:vAlign w:val="center"/>
          </w:tcPr>
          <w:p w14:paraId="15A7162E">
            <w:pPr>
              <w:spacing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460AA3C0">
            <w:pPr>
              <w:spacing w:line="240" w:lineRule="exact"/>
              <w:rPr>
                <w:rFonts w:ascii="宋体" w:hAnsi="宋体" w:eastAsia="宋体" w:cs="宋体"/>
                <w:sz w:val="18"/>
                <w:szCs w:val="18"/>
              </w:rPr>
            </w:pPr>
            <w:r>
              <w:rPr>
                <w:rFonts w:ascii="宋体" w:hAnsi="宋体" w:eastAsia="宋体" w:cs="宋体"/>
                <w:sz w:val="18"/>
                <w:szCs w:val="18"/>
              </w:rPr>
              <w:t>回收可能性</w:t>
            </w:r>
          </w:p>
        </w:tc>
      </w:tr>
      <w:tr w14:paraId="297A8FF2">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9EC6C6">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83C5F3D">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1377" w:type="dxa"/>
            <w:tcBorders>
              <w:top w:val="single" w:color="auto" w:sz="2" w:space="0"/>
              <w:left w:val="single" w:color="auto" w:sz="2" w:space="0"/>
              <w:bottom w:val="single" w:color="auto" w:sz="2" w:space="0"/>
              <w:right w:val="single" w:color="auto" w:sz="2" w:space="0"/>
            </w:tcBorders>
            <w:vAlign w:val="center"/>
          </w:tcPr>
          <w:p w14:paraId="1F1E81AD">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1377" w:type="dxa"/>
            <w:tcBorders>
              <w:top w:val="single" w:color="auto" w:sz="2" w:space="0"/>
              <w:left w:val="single" w:color="auto" w:sz="2" w:space="0"/>
              <w:bottom w:val="single" w:color="auto" w:sz="2" w:space="0"/>
              <w:right w:val="single" w:color="auto" w:sz="2" w:space="0"/>
            </w:tcBorders>
            <w:vAlign w:val="center"/>
          </w:tcPr>
          <w:p w14:paraId="70618D81">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1377" w:type="dxa"/>
            <w:tcBorders>
              <w:top w:val="single" w:color="auto" w:sz="2" w:space="0"/>
              <w:left w:val="single" w:color="auto" w:sz="2" w:space="0"/>
              <w:bottom w:val="single" w:color="auto" w:sz="2" w:space="0"/>
              <w:right w:val="single" w:color="auto" w:sz="2" w:space="0"/>
            </w:tcBorders>
            <w:vAlign w:val="center"/>
          </w:tcPr>
          <w:p w14:paraId="697E8EE3">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73C9293"/>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9CFF1C3"/>
        </w:tc>
      </w:tr>
    </w:tbl>
    <w:p w14:paraId="5DF1030A">
      <w:pPr>
        <w:spacing w:line="240" w:lineRule="exact"/>
        <w:rPr>
          <w:rFonts w:ascii="宋体" w:hAnsi="宋体" w:eastAsia="宋体" w:cs="宋体"/>
          <w:sz w:val="18"/>
          <w:szCs w:val="18"/>
        </w:rPr>
      </w:pPr>
      <w:r>
        <w:rPr>
          <w:rFonts w:ascii="宋体" w:hAnsi="宋体" w:eastAsia="宋体" w:cs="宋体"/>
          <w:sz w:val="18"/>
          <w:szCs w:val="18"/>
        </w:rPr>
        <w:t>按组合计提坏账准备类别名称：账龄组合</w:t>
      </w:r>
    </w:p>
    <w:p w14:paraId="020E857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386C5BD">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2227F6C">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07F024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F478404">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5CAA1D"/>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F6C02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23652B0">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90EFE89">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375EDC12">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5A07AC7">
            <w:pPr>
              <w:spacing w:line="240" w:lineRule="exac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1892D85F">
            <w:pPr>
              <w:spacing w:line="240" w:lineRule="exact"/>
              <w:jc w:val="right"/>
              <w:rPr>
                <w:rFonts w:ascii="宋体" w:hAnsi="宋体" w:eastAsia="宋体" w:cs="宋体"/>
                <w:sz w:val="18"/>
                <w:szCs w:val="18"/>
              </w:rPr>
            </w:pPr>
            <w:r>
              <w:rPr>
                <w:rFonts w:ascii="宋体" w:hAnsi="宋体" w:eastAsia="宋体" w:cs="宋体"/>
                <w:sz w:val="18"/>
                <w:szCs w:val="18"/>
              </w:rPr>
              <w:t>170,915.72</w:t>
            </w:r>
          </w:p>
        </w:tc>
        <w:tc>
          <w:tcPr>
            <w:tcW w:w="2410" w:type="dxa"/>
            <w:tcBorders>
              <w:top w:val="single" w:color="auto" w:sz="2" w:space="0"/>
              <w:left w:val="single" w:color="auto" w:sz="2" w:space="0"/>
              <w:bottom w:val="single" w:color="auto" w:sz="2" w:space="0"/>
              <w:right w:val="single" w:color="auto" w:sz="2" w:space="0"/>
            </w:tcBorders>
            <w:vAlign w:val="center"/>
          </w:tcPr>
          <w:p w14:paraId="54837134">
            <w:pPr>
              <w:spacing w:line="240" w:lineRule="exact"/>
              <w:jc w:val="right"/>
              <w:rPr>
                <w:rFonts w:ascii="宋体" w:hAnsi="宋体" w:eastAsia="宋体" w:cs="宋体"/>
                <w:sz w:val="18"/>
                <w:szCs w:val="18"/>
              </w:rPr>
            </w:pPr>
            <w:r>
              <w:rPr>
                <w:rFonts w:ascii="宋体" w:hAnsi="宋体" w:eastAsia="宋体" w:cs="宋体"/>
                <w:sz w:val="18"/>
                <w:szCs w:val="18"/>
              </w:rPr>
              <w:t>8,545.79</w:t>
            </w:r>
          </w:p>
        </w:tc>
        <w:tc>
          <w:tcPr>
            <w:tcW w:w="2410" w:type="dxa"/>
            <w:tcBorders>
              <w:top w:val="single" w:color="auto" w:sz="2" w:space="0"/>
              <w:left w:val="single" w:color="auto" w:sz="2" w:space="0"/>
              <w:bottom w:val="single" w:color="auto" w:sz="2" w:space="0"/>
              <w:right w:val="single" w:color="auto" w:sz="2" w:space="0"/>
            </w:tcBorders>
            <w:vAlign w:val="center"/>
          </w:tcPr>
          <w:p w14:paraId="519AB6AD">
            <w:pPr>
              <w:spacing w:line="240" w:lineRule="exact"/>
              <w:jc w:val="right"/>
              <w:rPr>
                <w:rFonts w:ascii="宋体" w:hAnsi="宋体" w:eastAsia="宋体" w:cs="宋体"/>
                <w:sz w:val="18"/>
                <w:szCs w:val="18"/>
              </w:rPr>
            </w:pPr>
            <w:r>
              <w:rPr>
                <w:rFonts w:ascii="宋体" w:hAnsi="宋体" w:eastAsia="宋体" w:cs="宋体"/>
                <w:sz w:val="18"/>
                <w:szCs w:val="18"/>
              </w:rPr>
              <w:t>5.00%</w:t>
            </w:r>
          </w:p>
        </w:tc>
      </w:tr>
      <w:tr w14:paraId="69D6DDB3">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D2D747B">
            <w:pPr>
              <w:spacing w:line="240" w:lineRule="exac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63DA79A2">
            <w:pPr>
              <w:spacing w:line="240" w:lineRule="exact"/>
              <w:jc w:val="right"/>
              <w:rPr>
                <w:rFonts w:ascii="宋体" w:hAnsi="宋体" w:eastAsia="宋体" w:cs="宋体"/>
                <w:sz w:val="18"/>
                <w:szCs w:val="18"/>
              </w:rPr>
            </w:pPr>
            <w:r>
              <w:rPr>
                <w:rFonts w:ascii="宋体" w:hAnsi="宋体" w:eastAsia="宋体" w:cs="宋体"/>
                <w:sz w:val="18"/>
                <w:szCs w:val="18"/>
              </w:rPr>
              <w:t>199,095.40</w:t>
            </w:r>
          </w:p>
        </w:tc>
        <w:tc>
          <w:tcPr>
            <w:tcW w:w="2410" w:type="dxa"/>
            <w:tcBorders>
              <w:top w:val="single" w:color="auto" w:sz="2" w:space="0"/>
              <w:left w:val="single" w:color="auto" w:sz="2" w:space="0"/>
              <w:bottom w:val="single" w:color="auto" w:sz="2" w:space="0"/>
              <w:right w:val="single" w:color="auto" w:sz="2" w:space="0"/>
            </w:tcBorders>
            <w:vAlign w:val="center"/>
          </w:tcPr>
          <w:p w14:paraId="4F792BB8">
            <w:pPr>
              <w:spacing w:line="240" w:lineRule="exact"/>
              <w:jc w:val="right"/>
              <w:rPr>
                <w:rFonts w:ascii="宋体" w:hAnsi="宋体" w:eastAsia="宋体" w:cs="宋体"/>
                <w:sz w:val="18"/>
                <w:szCs w:val="18"/>
              </w:rPr>
            </w:pPr>
            <w:r>
              <w:rPr>
                <w:rFonts w:ascii="宋体" w:hAnsi="宋体" w:eastAsia="宋体" w:cs="宋体"/>
                <w:sz w:val="18"/>
                <w:szCs w:val="18"/>
              </w:rPr>
              <w:t>15,927.63</w:t>
            </w:r>
          </w:p>
        </w:tc>
        <w:tc>
          <w:tcPr>
            <w:tcW w:w="2410" w:type="dxa"/>
            <w:tcBorders>
              <w:top w:val="single" w:color="auto" w:sz="2" w:space="0"/>
              <w:left w:val="single" w:color="auto" w:sz="2" w:space="0"/>
              <w:bottom w:val="single" w:color="auto" w:sz="2" w:space="0"/>
              <w:right w:val="single" w:color="auto" w:sz="2" w:space="0"/>
            </w:tcBorders>
            <w:vAlign w:val="center"/>
          </w:tcPr>
          <w:p w14:paraId="768F12F3">
            <w:pPr>
              <w:spacing w:line="240" w:lineRule="exact"/>
              <w:jc w:val="right"/>
              <w:rPr>
                <w:rFonts w:ascii="宋体" w:hAnsi="宋体" w:eastAsia="宋体" w:cs="宋体"/>
                <w:sz w:val="18"/>
                <w:szCs w:val="18"/>
              </w:rPr>
            </w:pPr>
            <w:r>
              <w:rPr>
                <w:rFonts w:ascii="宋体" w:hAnsi="宋体" w:eastAsia="宋体" w:cs="宋体"/>
                <w:sz w:val="18"/>
                <w:szCs w:val="18"/>
              </w:rPr>
              <w:t>8.00%</w:t>
            </w:r>
          </w:p>
        </w:tc>
      </w:tr>
      <w:tr w14:paraId="0541B658">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3040BBE">
            <w:pPr>
              <w:spacing w:line="240" w:lineRule="exac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7D43718E">
            <w:pPr>
              <w:spacing w:line="240" w:lineRule="exact"/>
              <w:jc w:val="right"/>
              <w:rPr>
                <w:rFonts w:ascii="宋体" w:hAnsi="宋体" w:eastAsia="宋体" w:cs="宋体"/>
                <w:sz w:val="18"/>
                <w:szCs w:val="18"/>
              </w:rPr>
            </w:pPr>
            <w:r>
              <w:rPr>
                <w:rFonts w:ascii="宋体" w:hAnsi="宋体" w:eastAsia="宋体" w:cs="宋体"/>
                <w:sz w:val="18"/>
                <w:szCs w:val="18"/>
              </w:rPr>
              <w:t>20,000.00</w:t>
            </w:r>
          </w:p>
        </w:tc>
        <w:tc>
          <w:tcPr>
            <w:tcW w:w="2410" w:type="dxa"/>
            <w:tcBorders>
              <w:top w:val="single" w:color="auto" w:sz="2" w:space="0"/>
              <w:left w:val="single" w:color="auto" w:sz="2" w:space="0"/>
              <w:bottom w:val="single" w:color="auto" w:sz="2" w:space="0"/>
              <w:right w:val="single" w:color="auto" w:sz="2" w:space="0"/>
            </w:tcBorders>
            <w:vAlign w:val="center"/>
          </w:tcPr>
          <w:p w14:paraId="1F684668">
            <w:pPr>
              <w:spacing w:line="240" w:lineRule="exact"/>
              <w:jc w:val="right"/>
              <w:rPr>
                <w:rFonts w:ascii="宋体" w:hAnsi="宋体" w:eastAsia="宋体" w:cs="宋体"/>
                <w:sz w:val="18"/>
                <w:szCs w:val="18"/>
              </w:rPr>
            </w:pPr>
            <w:r>
              <w:rPr>
                <w:rFonts w:ascii="宋体" w:hAnsi="宋体" w:eastAsia="宋体" w:cs="宋体"/>
                <w:sz w:val="18"/>
                <w:szCs w:val="18"/>
              </w:rPr>
              <w:t>4,000.00</w:t>
            </w:r>
          </w:p>
        </w:tc>
        <w:tc>
          <w:tcPr>
            <w:tcW w:w="2410" w:type="dxa"/>
            <w:tcBorders>
              <w:top w:val="single" w:color="auto" w:sz="2" w:space="0"/>
              <w:left w:val="single" w:color="auto" w:sz="2" w:space="0"/>
              <w:bottom w:val="single" w:color="auto" w:sz="2" w:space="0"/>
              <w:right w:val="single" w:color="auto" w:sz="2" w:space="0"/>
            </w:tcBorders>
            <w:vAlign w:val="center"/>
          </w:tcPr>
          <w:p w14:paraId="7E61B3F5">
            <w:pPr>
              <w:spacing w:line="240" w:lineRule="exact"/>
              <w:jc w:val="right"/>
              <w:rPr>
                <w:rFonts w:ascii="宋体" w:hAnsi="宋体" w:eastAsia="宋体" w:cs="宋体"/>
                <w:sz w:val="18"/>
                <w:szCs w:val="18"/>
              </w:rPr>
            </w:pPr>
            <w:r>
              <w:rPr>
                <w:rFonts w:ascii="宋体" w:hAnsi="宋体" w:eastAsia="宋体" w:cs="宋体"/>
                <w:sz w:val="18"/>
                <w:szCs w:val="18"/>
              </w:rPr>
              <w:t>20.00%</w:t>
            </w:r>
          </w:p>
        </w:tc>
      </w:tr>
      <w:tr w14:paraId="1B3E35A3">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4FCF6A8">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378F56B6">
            <w:pPr>
              <w:spacing w:line="240" w:lineRule="exact"/>
              <w:jc w:val="right"/>
              <w:rPr>
                <w:rFonts w:ascii="宋体" w:hAnsi="宋体" w:eastAsia="宋体" w:cs="宋体"/>
                <w:sz w:val="18"/>
                <w:szCs w:val="18"/>
              </w:rPr>
            </w:pPr>
            <w:r>
              <w:rPr>
                <w:rFonts w:ascii="宋体" w:hAnsi="宋体" w:eastAsia="宋体" w:cs="宋体"/>
                <w:sz w:val="18"/>
                <w:szCs w:val="18"/>
              </w:rPr>
              <w:t>390,011.12</w:t>
            </w:r>
          </w:p>
        </w:tc>
        <w:tc>
          <w:tcPr>
            <w:tcW w:w="2410" w:type="dxa"/>
            <w:tcBorders>
              <w:top w:val="single" w:color="auto" w:sz="2" w:space="0"/>
              <w:left w:val="single" w:color="auto" w:sz="2" w:space="0"/>
              <w:bottom w:val="single" w:color="auto" w:sz="2" w:space="0"/>
              <w:right w:val="single" w:color="auto" w:sz="2" w:space="0"/>
            </w:tcBorders>
            <w:vAlign w:val="center"/>
          </w:tcPr>
          <w:p w14:paraId="10FE4921">
            <w:pPr>
              <w:spacing w:line="240" w:lineRule="exact"/>
              <w:jc w:val="right"/>
              <w:rPr>
                <w:rFonts w:ascii="宋体" w:hAnsi="宋体" w:eastAsia="宋体" w:cs="宋体"/>
                <w:sz w:val="18"/>
                <w:szCs w:val="18"/>
              </w:rPr>
            </w:pPr>
            <w:r>
              <w:rPr>
                <w:rFonts w:ascii="宋体" w:hAnsi="宋体" w:eastAsia="宋体" w:cs="宋体"/>
                <w:sz w:val="18"/>
                <w:szCs w:val="18"/>
              </w:rPr>
              <w:t>28,473.42</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4835A2"/>
        </w:tc>
      </w:tr>
    </w:tbl>
    <w:p w14:paraId="5642B623">
      <w:pPr>
        <w:spacing w:before="100" w:after="100" w:line="240" w:lineRule="exact"/>
      </w:pPr>
      <w:r>
        <w:rPr>
          <w:rFonts w:ascii="宋体" w:hAnsi="宋体" w:eastAsia="宋体" w:cs="宋体"/>
          <w:sz w:val="18"/>
          <w:szCs w:val="18"/>
        </w:rPr>
        <w:t>确定该组合依据的说明：</w:t>
      </w:r>
    </w:p>
    <w:p w14:paraId="585234D4">
      <w:pPr>
        <w:spacing w:before="100" w:after="100" w:line="240" w:lineRule="exact"/>
        <w:rPr>
          <w:rFonts w:ascii="宋体" w:hAnsi="宋体" w:eastAsia="宋体" w:cs="宋体"/>
          <w:sz w:val="18"/>
          <w:szCs w:val="18"/>
        </w:rPr>
      </w:pPr>
      <w:r>
        <w:rPr>
          <w:rFonts w:ascii="宋体" w:hAnsi="宋体" w:eastAsia="宋体" w:cs="宋体"/>
          <w:sz w:val="18"/>
          <w:szCs w:val="18"/>
        </w:rPr>
        <w:t>按预期信用损失一般模型计提坏账准备：</w:t>
      </w:r>
    </w:p>
    <w:p w14:paraId="64C19A3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1684007">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46B4E1">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9607B6">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B2A138">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DF9B7D">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5CE273">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3652F651">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6D15E6"/>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EDEBBA">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7909DF">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7C9EE8">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5E8FD86"/>
        </w:tc>
      </w:tr>
      <w:tr w14:paraId="576FA3B7">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C045D6">
            <w:pPr>
              <w:spacing w:before="40" w:after="40" w:line="240" w:lineRule="exact"/>
              <w:rPr>
                <w:rFonts w:ascii="宋体" w:hAnsi="宋体" w:eastAsia="宋体" w:cs="宋体"/>
                <w:sz w:val="18"/>
                <w:szCs w:val="18"/>
              </w:rPr>
            </w:pPr>
            <w:r>
              <w:rPr>
                <w:rFonts w:ascii="宋体" w:hAnsi="宋体" w:eastAsia="宋体" w:cs="宋体"/>
                <w:sz w:val="18"/>
                <w:szCs w:val="18"/>
              </w:rPr>
              <w:t>2024年1月1日余额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1643F65D">
            <w:pPr>
              <w:spacing w:line="240" w:lineRule="exact"/>
              <w:jc w:val="right"/>
              <w:rPr>
                <w:rFonts w:ascii="宋体" w:hAnsi="宋体" w:eastAsia="宋体" w:cs="宋体"/>
                <w:sz w:val="18"/>
                <w:szCs w:val="18"/>
              </w:rPr>
            </w:pPr>
            <w:r>
              <w:rPr>
                <w:rFonts w:ascii="宋体" w:hAnsi="宋体" w:eastAsia="宋体" w:cs="宋体"/>
                <w:sz w:val="18"/>
                <w:szCs w:val="18"/>
              </w:rPr>
              <w:t>15,024.80</w:t>
            </w:r>
          </w:p>
        </w:tc>
        <w:tc>
          <w:tcPr>
            <w:tcW w:w="1928" w:type="dxa"/>
            <w:tcBorders>
              <w:top w:val="single" w:color="auto" w:sz="2" w:space="0"/>
              <w:left w:val="single" w:color="auto" w:sz="2" w:space="0"/>
              <w:bottom w:val="single" w:color="auto" w:sz="2" w:space="0"/>
              <w:right w:val="single" w:color="auto" w:sz="2" w:space="0"/>
            </w:tcBorders>
            <w:vAlign w:val="center"/>
          </w:tcPr>
          <w:p w14:paraId="484F1C89">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E0689F1">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1928" w:type="dxa"/>
            <w:tcBorders>
              <w:top w:val="single" w:color="auto" w:sz="2" w:space="0"/>
              <w:left w:val="single" w:color="auto" w:sz="2" w:space="0"/>
              <w:bottom w:val="single" w:color="auto" w:sz="2" w:space="0"/>
              <w:right w:val="single" w:color="auto" w:sz="2" w:space="0"/>
            </w:tcBorders>
            <w:vAlign w:val="center"/>
          </w:tcPr>
          <w:p w14:paraId="7BE691AD">
            <w:pPr>
              <w:spacing w:line="240" w:lineRule="exact"/>
              <w:jc w:val="right"/>
              <w:rPr>
                <w:rFonts w:ascii="宋体" w:hAnsi="宋体" w:eastAsia="宋体" w:cs="宋体"/>
                <w:sz w:val="18"/>
                <w:szCs w:val="18"/>
              </w:rPr>
            </w:pPr>
            <w:r>
              <w:rPr>
                <w:rFonts w:ascii="宋体" w:hAnsi="宋体" w:eastAsia="宋体" w:cs="宋体"/>
                <w:sz w:val="18"/>
                <w:szCs w:val="18"/>
              </w:rPr>
              <w:t>302,291,109.79</w:t>
            </w:r>
          </w:p>
        </w:tc>
      </w:tr>
      <w:tr w14:paraId="53B7D796">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E885B5">
            <w:pPr>
              <w:spacing w:before="40" w:after="40" w:line="240" w:lineRule="exac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5E75FA"/>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E0D028"/>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9E94A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EB9A9E7"/>
        </w:tc>
      </w:tr>
      <w:tr w14:paraId="58576C88">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D67912">
            <w:pPr>
              <w:spacing w:before="40" w:after="40" w:line="240" w:lineRule="exact"/>
              <w:rPr>
                <w:rFonts w:ascii="宋体" w:hAnsi="宋体" w:eastAsia="宋体" w:cs="宋体"/>
                <w:sz w:val="18"/>
                <w:szCs w:val="18"/>
              </w:rPr>
            </w:pPr>
            <w:r>
              <w:rPr>
                <w:rFonts w:ascii="宋体" w:hAnsi="宋体" w:eastAsia="宋体" w:cs="宋体"/>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14EF90BE">
            <w:pPr>
              <w:spacing w:line="240" w:lineRule="exact"/>
              <w:jc w:val="right"/>
              <w:rPr>
                <w:rFonts w:ascii="宋体" w:hAnsi="宋体" w:eastAsia="宋体" w:cs="宋体"/>
                <w:sz w:val="18"/>
                <w:szCs w:val="18"/>
              </w:rPr>
            </w:pPr>
            <w:r>
              <w:rPr>
                <w:rFonts w:ascii="宋体" w:hAnsi="宋体" w:eastAsia="宋体" w:cs="宋体"/>
                <w:sz w:val="18"/>
                <w:szCs w:val="18"/>
              </w:rPr>
              <w:t>13,448.62</w:t>
            </w:r>
          </w:p>
        </w:tc>
        <w:tc>
          <w:tcPr>
            <w:tcW w:w="1928" w:type="dxa"/>
            <w:tcBorders>
              <w:top w:val="single" w:color="auto" w:sz="2" w:space="0"/>
              <w:left w:val="single" w:color="auto" w:sz="2" w:space="0"/>
              <w:bottom w:val="single" w:color="auto" w:sz="2" w:space="0"/>
              <w:right w:val="single" w:color="auto" w:sz="2" w:space="0"/>
            </w:tcBorders>
            <w:vAlign w:val="center"/>
          </w:tcPr>
          <w:p w14:paraId="45907D66">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3278A9E">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EFDC410">
            <w:pPr>
              <w:spacing w:line="240" w:lineRule="exact"/>
              <w:jc w:val="right"/>
              <w:rPr>
                <w:rFonts w:ascii="宋体" w:hAnsi="宋体" w:eastAsia="宋体" w:cs="宋体"/>
                <w:sz w:val="18"/>
                <w:szCs w:val="18"/>
              </w:rPr>
            </w:pPr>
            <w:r>
              <w:rPr>
                <w:rFonts w:ascii="宋体" w:hAnsi="宋体" w:eastAsia="宋体" w:cs="宋体"/>
                <w:sz w:val="18"/>
                <w:szCs w:val="18"/>
              </w:rPr>
              <w:t>13,448.62</w:t>
            </w:r>
          </w:p>
        </w:tc>
      </w:tr>
      <w:tr w14:paraId="5764B4E1">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EB8BA1">
            <w:pPr>
              <w:spacing w:before="40" w:after="40" w:line="240" w:lineRule="exact"/>
              <w:rPr>
                <w:rFonts w:ascii="宋体" w:hAnsi="宋体" w:eastAsia="宋体" w:cs="宋体"/>
                <w:sz w:val="18"/>
                <w:szCs w:val="18"/>
              </w:rPr>
            </w:pPr>
            <w:r>
              <w:rPr>
                <w:rFonts w:ascii="宋体" w:hAnsi="宋体" w:eastAsia="宋体" w:cs="宋体"/>
                <w:sz w:val="18"/>
                <w:szCs w:val="18"/>
              </w:rPr>
              <w:t>2024年6月30日余额</w:t>
            </w:r>
          </w:p>
        </w:tc>
        <w:tc>
          <w:tcPr>
            <w:tcW w:w="1928" w:type="dxa"/>
            <w:tcBorders>
              <w:top w:val="single" w:color="auto" w:sz="2" w:space="0"/>
              <w:left w:val="single" w:color="auto" w:sz="2" w:space="0"/>
              <w:bottom w:val="single" w:color="auto" w:sz="2" w:space="0"/>
              <w:right w:val="single" w:color="auto" w:sz="2" w:space="0"/>
            </w:tcBorders>
            <w:vAlign w:val="center"/>
          </w:tcPr>
          <w:p w14:paraId="63585A61">
            <w:pPr>
              <w:spacing w:line="240" w:lineRule="exact"/>
              <w:jc w:val="right"/>
              <w:rPr>
                <w:rFonts w:ascii="宋体" w:hAnsi="宋体" w:eastAsia="宋体" w:cs="宋体"/>
                <w:sz w:val="18"/>
                <w:szCs w:val="18"/>
              </w:rPr>
            </w:pPr>
            <w:r>
              <w:rPr>
                <w:rFonts w:ascii="宋体" w:hAnsi="宋体" w:eastAsia="宋体" w:cs="宋体"/>
                <w:sz w:val="18"/>
                <w:szCs w:val="18"/>
              </w:rPr>
              <w:t>28,473.42</w:t>
            </w:r>
          </w:p>
        </w:tc>
        <w:tc>
          <w:tcPr>
            <w:tcW w:w="1928" w:type="dxa"/>
            <w:tcBorders>
              <w:top w:val="single" w:color="auto" w:sz="2" w:space="0"/>
              <w:left w:val="single" w:color="auto" w:sz="2" w:space="0"/>
              <w:bottom w:val="single" w:color="auto" w:sz="2" w:space="0"/>
              <w:right w:val="single" w:color="auto" w:sz="2" w:space="0"/>
            </w:tcBorders>
            <w:vAlign w:val="center"/>
          </w:tcPr>
          <w:p w14:paraId="4F903299">
            <w:pPr>
              <w:spacing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9F1FEFB">
            <w:pPr>
              <w:spacing w:line="240" w:lineRule="exact"/>
              <w:jc w:val="right"/>
              <w:rPr>
                <w:rFonts w:ascii="宋体" w:hAnsi="宋体" w:eastAsia="宋体" w:cs="宋体"/>
                <w:sz w:val="18"/>
                <w:szCs w:val="18"/>
              </w:rPr>
            </w:pPr>
            <w:r>
              <w:rPr>
                <w:rFonts w:ascii="宋体" w:hAnsi="宋体" w:eastAsia="宋体" w:cs="宋体"/>
                <w:sz w:val="18"/>
                <w:szCs w:val="18"/>
              </w:rPr>
              <w:t>302,276,084.99</w:t>
            </w:r>
          </w:p>
        </w:tc>
        <w:tc>
          <w:tcPr>
            <w:tcW w:w="1928" w:type="dxa"/>
            <w:tcBorders>
              <w:top w:val="single" w:color="auto" w:sz="2" w:space="0"/>
              <w:left w:val="single" w:color="auto" w:sz="2" w:space="0"/>
              <w:bottom w:val="single" w:color="auto" w:sz="2" w:space="0"/>
              <w:right w:val="single" w:color="auto" w:sz="2" w:space="0"/>
            </w:tcBorders>
            <w:vAlign w:val="center"/>
          </w:tcPr>
          <w:p w14:paraId="03CFD681">
            <w:pPr>
              <w:spacing w:line="240" w:lineRule="exact"/>
              <w:jc w:val="right"/>
              <w:rPr>
                <w:rFonts w:ascii="宋体" w:hAnsi="宋体" w:eastAsia="宋体" w:cs="宋体"/>
                <w:sz w:val="18"/>
                <w:szCs w:val="18"/>
              </w:rPr>
            </w:pPr>
            <w:r>
              <w:rPr>
                <w:rFonts w:ascii="宋体" w:hAnsi="宋体" w:eastAsia="宋体" w:cs="宋体"/>
                <w:sz w:val="18"/>
                <w:szCs w:val="18"/>
              </w:rPr>
              <w:t>302,304,558.41</w:t>
            </w:r>
          </w:p>
        </w:tc>
      </w:tr>
    </w:tbl>
    <w:p w14:paraId="2A3521A9">
      <w:pPr>
        <w:spacing w:before="100" w:after="100" w:line="240" w:lineRule="exact"/>
      </w:pPr>
      <w:r>
        <w:rPr>
          <w:rFonts w:ascii="宋体" w:hAnsi="宋体" w:eastAsia="宋体" w:cs="宋体"/>
          <w:sz w:val="18"/>
          <w:szCs w:val="18"/>
        </w:rPr>
        <w:t>各阶段划分依据和坏账准备计提比例</w:t>
      </w:r>
    </w:p>
    <w:p w14:paraId="5359140E">
      <w:pPr>
        <w:spacing w:before="100" w:after="100" w:line="240" w:lineRule="exac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1B6337C0">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85E9259">
      <w:pPr>
        <w:keepNext/>
        <w:keepLines/>
        <w:spacing w:before="300" w:after="100" w:line="280" w:lineRule="exact"/>
        <w:outlineLvl w:val="4"/>
        <w:rPr>
          <w:rFonts w:ascii="宋体" w:hAnsi="宋体" w:eastAsia="宋体" w:cs="宋体"/>
          <w:b/>
          <w:bCs/>
          <w:sz w:val="18"/>
          <w:szCs w:val="18"/>
        </w:rPr>
      </w:pPr>
      <w:bookmarkStart w:id="535" w:name="_Toc989424"/>
      <w:r>
        <w:rPr>
          <w:rFonts w:ascii="宋体" w:hAnsi="宋体" w:eastAsia="宋体" w:cs="宋体"/>
          <w:b/>
          <w:bCs/>
          <w:sz w:val="18"/>
          <w:szCs w:val="18"/>
        </w:rPr>
        <w:t>4） 本期计提、收回或转回的坏账准备情况</w:t>
      </w:r>
      <w:bookmarkEnd w:id="535"/>
    </w:p>
    <w:p w14:paraId="6F2132C0">
      <w:pPr>
        <w:spacing w:after="100" w:line="240" w:lineRule="exact"/>
        <w:rPr>
          <w:rFonts w:ascii="宋体" w:hAnsi="宋体" w:eastAsia="宋体" w:cs="宋体"/>
          <w:sz w:val="18"/>
          <w:szCs w:val="18"/>
        </w:rPr>
      </w:pPr>
      <w:r>
        <w:rPr>
          <w:rFonts w:ascii="宋体" w:hAnsi="宋体" w:eastAsia="宋体" w:cs="宋体"/>
          <w:sz w:val="18"/>
          <w:szCs w:val="18"/>
        </w:rPr>
        <w:t>本期计提坏账准备情况：</w:t>
      </w:r>
    </w:p>
    <w:p w14:paraId="67A4E875">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BCBFE9F">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76C252">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099A4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26FA0F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F7F903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9B6F357">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F3EA89"/>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795C43"/>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D57606">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1D6512">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7BB59C7">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6FF2E5">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C61F99"/>
        </w:tc>
      </w:tr>
      <w:tr w14:paraId="3EBAF89E">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AA24ABD">
            <w:pPr>
              <w:spacing w:line="240" w:lineRule="exact"/>
              <w:rPr>
                <w:rFonts w:ascii="宋体" w:hAnsi="宋体" w:eastAsia="宋体" w:cs="宋体"/>
                <w:sz w:val="18"/>
                <w:szCs w:val="18"/>
              </w:rPr>
            </w:pPr>
            <w:r>
              <w:rPr>
                <w:rFonts w:ascii="宋体" w:hAnsi="宋体" w:eastAsia="宋体" w:cs="宋体"/>
                <w:sz w:val="18"/>
                <w:szCs w:val="18"/>
              </w:rPr>
              <w:t>其他应收款坏账准备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2F1A1159">
            <w:pPr>
              <w:spacing w:line="240" w:lineRule="exact"/>
              <w:jc w:val="right"/>
              <w:rPr>
                <w:rFonts w:ascii="宋体" w:hAnsi="宋体" w:eastAsia="宋体" w:cs="宋体"/>
                <w:sz w:val="18"/>
                <w:szCs w:val="18"/>
              </w:rPr>
            </w:pPr>
            <w:r>
              <w:rPr>
                <w:rFonts w:ascii="宋体" w:hAnsi="宋体" w:eastAsia="宋体" w:cs="宋体"/>
                <w:sz w:val="18"/>
                <w:szCs w:val="18"/>
              </w:rPr>
              <w:t>302,291,109.79</w:t>
            </w:r>
          </w:p>
        </w:tc>
        <w:tc>
          <w:tcPr>
            <w:tcW w:w="1377" w:type="dxa"/>
            <w:tcBorders>
              <w:top w:val="single" w:color="auto" w:sz="2" w:space="0"/>
              <w:left w:val="single" w:color="auto" w:sz="2" w:space="0"/>
              <w:bottom w:val="single" w:color="auto" w:sz="2" w:space="0"/>
              <w:right w:val="single" w:color="auto" w:sz="2" w:space="0"/>
            </w:tcBorders>
            <w:vAlign w:val="center"/>
          </w:tcPr>
          <w:p w14:paraId="16185143">
            <w:pPr>
              <w:spacing w:line="240" w:lineRule="exact"/>
              <w:jc w:val="right"/>
              <w:rPr>
                <w:rFonts w:ascii="宋体" w:hAnsi="宋体" w:eastAsia="宋体" w:cs="宋体"/>
                <w:sz w:val="18"/>
                <w:szCs w:val="18"/>
              </w:rPr>
            </w:pPr>
            <w:r>
              <w:rPr>
                <w:rFonts w:ascii="宋体" w:hAnsi="宋体" w:eastAsia="宋体" w:cs="宋体"/>
                <w:sz w:val="18"/>
                <w:szCs w:val="18"/>
              </w:rPr>
              <w:t>13,448.62</w:t>
            </w:r>
          </w:p>
        </w:tc>
        <w:tc>
          <w:tcPr>
            <w:tcW w:w="1377" w:type="dxa"/>
            <w:tcBorders>
              <w:top w:val="single" w:color="auto" w:sz="2" w:space="0"/>
              <w:left w:val="single" w:color="auto" w:sz="2" w:space="0"/>
              <w:bottom w:val="single" w:color="auto" w:sz="2" w:space="0"/>
              <w:right w:val="single" w:color="auto" w:sz="2" w:space="0"/>
            </w:tcBorders>
            <w:vAlign w:val="center"/>
          </w:tcPr>
          <w:p w14:paraId="3DF22738">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D76BCF">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4F9D39">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4F4FF3">
            <w:pPr>
              <w:spacing w:line="240" w:lineRule="exact"/>
              <w:jc w:val="right"/>
              <w:rPr>
                <w:rFonts w:ascii="宋体" w:hAnsi="宋体" w:eastAsia="宋体" w:cs="宋体"/>
                <w:sz w:val="18"/>
                <w:szCs w:val="18"/>
              </w:rPr>
            </w:pPr>
            <w:r>
              <w:rPr>
                <w:rFonts w:ascii="宋体" w:hAnsi="宋体" w:eastAsia="宋体" w:cs="宋体"/>
                <w:sz w:val="18"/>
                <w:szCs w:val="18"/>
              </w:rPr>
              <w:t>302,304,558.41</w:t>
            </w:r>
          </w:p>
        </w:tc>
      </w:tr>
      <w:tr w14:paraId="18238232">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E088FC">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1F3FF3E">
            <w:pPr>
              <w:spacing w:line="240" w:lineRule="exact"/>
              <w:jc w:val="right"/>
              <w:rPr>
                <w:rFonts w:ascii="宋体" w:hAnsi="宋体" w:eastAsia="宋体" w:cs="宋体"/>
                <w:sz w:val="18"/>
                <w:szCs w:val="18"/>
              </w:rPr>
            </w:pPr>
            <w:r>
              <w:rPr>
                <w:rFonts w:ascii="宋体" w:hAnsi="宋体" w:eastAsia="宋体" w:cs="宋体"/>
                <w:sz w:val="18"/>
                <w:szCs w:val="18"/>
              </w:rPr>
              <w:t>302,291,109.79</w:t>
            </w:r>
          </w:p>
        </w:tc>
        <w:tc>
          <w:tcPr>
            <w:tcW w:w="1377" w:type="dxa"/>
            <w:tcBorders>
              <w:top w:val="single" w:color="auto" w:sz="2" w:space="0"/>
              <w:left w:val="single" w:color="auto" w:sz="2" w:space="0"/>
              <w:bottom w:val="single" w:color="auto" w:sz="2" w:space="0"/>
              <w:right w:val="single" w:color="auto" w:sz="2" w:space="0"/>
            </w:tcBorders>
            <w:vAlign w:val="center"/>
          </w:tcPr>
          <w:p w14:paraId="7893C33D">
            <w:pPr>
              <w:spacing w:line="240" w:lineRule="exact"/>
              <w:jc w:val="right"/>
              <w:rPr>
                <w:rFonts w:ascii="宋体" w:hAnsi="宋体" w:eastAsia="宋体" w:cs="宋体"/>
                <w:sz w:val="18"/>
                <w:szCs w:val="18"/>
              </w:rPr>
            </w:pPr>
            <w:r>
              <w:rPr>
                <w:rFonts w:ascii="宋体" w:hAnsi="宋体" w:eastAsia="宋体" w:cs="宋体"/>
                <w:sz w:val="18"/>
                <w:szCs w:val="18"/>
              </w:rPr>
              <w:t>13,448.62</w:t>
            </w:r>
          </w:p>
        </w:tc>
        <w:tc>
          <w:tcPr>
            <w:tcW w:w="1377" w:type="dxa"/>
            <w:tcBorders>
              <w:top w:val="single" w:color="auto" w:sz="2" w:space="0"/>
              <w:left w:val="single" w:color="auto" w:sz="2" w:space="0"/>
              <w:bottom w:val="single" w:color="auto" w:sz="2" w:space="0"/>
              <w:right w:val="single" w:color="auto" w:sz="2" w:space="0"/>
            </w:tcBorders>
            <w:vAlign w:val="center"/>
          </w:tcPr>
          <w:p w14:paraId="57B5F392">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A4DFDFB">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156D23">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A08A15E">
            <w:pPr>
              <w:spacing w:line="240" w:lineRule="exact"/>
              <w:jc w:val="right"/>
              <w:rPr>
                <w:rFonts w:ascii="宋体" w:hAnsi="宋体" w:eastAsia="宋体" w:cs="宋体"/>
                <w:sz w:val="18"/>
                <w:szCs w:val="18"/>
              </w:rPr>
            </w:pPr>
            <w:r>
              <w:rPr>
                <w:rFonts w:ascii="宋体" w:hAnsi="宋体" w:eastAsia="宋体" w:cs="宋体"/>
                <w:sz w:val="18"/>
                <w:szCs w:val="18"/>
              </w:rPr>
              <w:t>302,304,558.41</w:t>
            </w:r>
          </w:p>
        </w:tc>
      </w:tr>
    </w:tbl>
    <w:p w14:paraId="1AB5F794">
      <w:pPr>
        <w:spacing w:before="100" w:after="40" w:line="240" w:lineRule="exact"/>
        <w:rPr>
          <w:rFonts w:ascii="宋体" w:hAnsi="宋体" w:eastAsia="宋体" w:cs="宋体"/>
          <w:sz w:val="18"/>
          <w:szCs w:val="18"/>
        </w:rPr>
      </w:pPr>
      <w:r>
        <w:rPr>
          <w:rFonts w:ascii="宋体" w:hAnsi="宋体" w:eastAsia="宋体" w:cs="宋体"/>
          <w:sz w:val="18"/>
          <w:szCs w:val="18"/>
        </w:rPr>
        <w:t>其中本期坏账准备转回或收回金额重要的：</w:t>
      </w:r>
    </w:p>
    <w:p w14:paraId="51E7ADE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5BACEC0">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0829AD">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339DC1">
            <w:pPr>
              <w:spacing w:before="40" w:after="40" w:line="240" w:lineRule="exact"/>
              <w:jc w:val="center"/>
              <w:rPr>
                <w:rFonts w:ascii="宋体" w:hAnsi="宋体" w:eastAsia="宋体" w:cs="宋体"/>
                <w:sz w:val="18"/>
                <w:szCs w:val="18"/>
              </w:rPr>
            </w:pPr>
            <w:r>
              <w:rPr>
                <w:rFonts w:ascii="宋体" w:hAnsi="宋体" w:eastAsia="宋体" w:cs="宋体"/>
                <w:sz w:val="18"/>
                <w:szCs w:val="18"/>
              </w:rPr>
              <w:t>转回或收回金额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37A8AB">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4E5A66">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EED052">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25BD0F94">
      <w:pPr>
        <w:keepNext/>
        <w:keepLines/>
        <w:spacing w:before="300" w:after="100" w:line="280" w:lineRule="exact"/>
        <w:outlineLvl w:val="4"/>
        <w:rPr>
          <w:rFonts w:ascii="宋体" w:hAnsi="宋体" w:eastAsia="宋体" w:cs="宋体"/>
          <w:b/>
          <w:bCs/>
          <w:sz w:val="18"/>
          <w:szCs w:val="18"/>
        </w:rPr>
      </w:pPr>
      <w:bookmarkStart w:id="536" w:name="_Toc989425"/>
      <w:r>
        <w:rPr>
          <w:rFonts w:ascii="宋体" w:hAnsi="宋体" w:eastAsia="宋体" w:cs="宋体"/>
          <w:b/>
          <w:bCs/>
          <w:sz w:val="18"/>
          <w:szCs w:val="18"/>
        </w:rPr>
        <w:t>5） 本期实际核销的其他应收款情况</w:t>
      </w:r>
      <w:bookmarkEnd w:id="536"/>
    </w:p>
    <w:p w14:paraId="610B590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F645DCA">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B6397E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6C7F08F">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086EDEEF">
      <w:pPr>
        <w:spacing w:before="100" w:after="40" w:line="240" w:lineRule="exact"/>
        <w:rPr>
          <w:rFonts w:ascii="宋体" w:hAnsi="宋体" w:eastAsia="宋体" w:cs="宋体"/>
          <w:sz w:val="18"/>
          <w:szCs w:val="18"/>
        </w:rPr>
      </w:pPr>
      <w:r>
        <w:rPr>
          <w:rFonts w:ascii="宋体" w:hAnsi="宋体" w:eastAsia="宋体" w:cs="宋体"/>
          <w:sz w:val="18"/>
          <w:szCs w:val="18"/>
        </w:rPr>
        <w:t>其中重要的其他应收款核销情况：</w:t>
      </w:r>
    </w:p>
    <w:p w14:paraId="206B346B">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58C9958">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BC6AC2F">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FC87393">
            <w:pPr>
              <w:spacing w:before="40" w:after="40" w:line="240" w:lineRule="exact"/>
              <w:jc w:val="center"/>
              <w:rPr>
                <w:rFonts w:ascii="宋体" w:hAnsi="宋体" w:eastAsia="宋体" w:cs="宋体"/>
                <w:sz w:val="18"/>
                <w:szCs w:val="18"/>
              </w:rPr>
            </w:pPr>
            <w:r>
              <w:rPr>
                <w:rFonts w:ascii="宋体" w:hAnsi="宋体" w:eastAsia="宋体" w:cs="宋体"/>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06827A">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CC86560">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E5F2AA">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9B0E9E">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3C878874">
      <w:pPr>
        <w:spacing w:before="100" w:after="100" w:line="240" w:lineRule="exact"/>
      </w:pPr>
      <w:r>
        <w:rPr>
          <w:rFonts w:ascii="宋体" w:hAnsi="宋体" w:eastAsia="宋体" w:cs="宋体"/>
          <w:sz w:val="18"/>
          <w:szCs w:val="18"/>
        </w:rPr>
        <w:t>其他应收款核销说明：</w:t>
      </w:r>
    </w:p>
    <w:p w14:paraId="368AAB40">
      <w:pPr>
        <w:keepNext/>
        <w:keepLines/>
        <w:spacing w:before="300" w:after="100" w:line="280" w:lineRule="exact"/>
        <w:outlineLvl w:val="4"/>
        <w:rPr>
          <w:rFonts w:ascii="宋体" w:hAnsi="宋体" w:eastAsia="宋体" w:cs="宋体"/>
          <w:b/>
          <w:bCs/>
          <w:sz w:val="18"/>
          <w:szCs w:val="18"/>
        </w:rPr>
      </w:pPr>
      <w:bookmarkStart w:id="537" w:name="_Toc989426"/>
      <w:r>
        <w:rPr>
          <w:rFonts w:ascii="宋体" w:hAnsi="宋体" w:eastAsia="宋体" w:cs="宋体"/>
          <w:b/>
          <w:bCs/>
          <w:sz w:val="18"/>
          <w:szCs w:val="18"/>
        </w:rPr>
        <w:t>6） 按欠款方归集的期末余额前五名的其他应收款情况</w:t>
      </w:r>
      <w:bookmarkEnd w:id="537"/>
    </w:p>
    <w:p w14:paraId="00D8795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6C658E7D">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BB2BB59">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C9EB2C">
            <w:pPr>
              <w:spacing w:before="40" w:after="40" w:line="240" w:lineRule="exact"/>
              <w:jc w:val="center"/>
              <w:rPr>
                <w:rFonts w:ascii="宋体" w:hAnsi="宋体" w:eastAsia="宋体" w:cs="宋体"/>
                <w:sz w:val="18"/>
                <w:szCs w:val="18"/>
              </w:rPr>
            </w:pPr>
            <w:r>
              <w:rPr>
                <w:rFonts w:ascii="宋体" w:hAnsi="宋体" w:eastAsia="宋体" w:cs="宋体"/>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4FD1E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34AE69">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13D92C">
            <w:pPr>
              <w:spacing w:before="40" w:after="40" w:line="240" w:lineRule="exact"/>
              <w:jc w:val="center"/>
              <w:rPr>
                <w:rFonts w:ascii="宋体" w:hAnsi="宋体" w:eastAsia="宋体" w:cs="宋体"/>
                <w:sz w:val="18"/>
                <w:szCs w:val="18"/>
              </w:rPr>
            </w:pPr>
            <w:r>
              <w:rPr>
                <w:rFonts w:ascii="宋体" w:hAnsi="宋体" w:eastAsia="宋体" w:cs="宋体"/>
                <w:sz w:val="18"/>
                <w:szCs w:val="18"/>
              </w:rPr>
              <w:t>占其他应收款期末余额合计数的比例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07F3D7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坏账准备期末余额</w:t>
            </w:r>
          </w:p>
        </w:tc>
      </w:tr>
      <w:tr w14:paraId="28D72266">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F183B36">
            <w:pPr>
              <w:spacing w:line="240" w:lineRule="exact"/>
              <w:rPr>
                <w:rFonts w:ascii="宋体" w:hAnsi="宋体" w:eastAsia="宋体" w:cs="宋体"/>
                <w:sz w:val="18"/>
                <w:szCs w:val="18"/>
              </w:rPr>
            </w:pPr>
            <w:r>
              <w:rPr>
                <w:rFonts w:ascii="宋体" w:hAnsi="宋体" w:eastAsia="宋体" w:cs="宋体"/>
                <w:sz w:val="18"/>
                <w:szCs w:val="18"/>
              </w:rPr>
              <w:t> 成都仕远置商贸有限公司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FA44C60">
            <w:pPr>
              <w:spacing w:line="240" w:lineRule="exact"/>
              <w:rPr>
                <w:rFonts w:ascii="宋体" w:hAnsi="宋体" w:eastAsia="宋体" w:cs="宋体"/>
                <w:sz w:val="18"/>
                <w:szCs w:val="18"/>
              </w:rPr>
            </w:pPr>
            <w:r>
              <w:rPr>
                <w:rFonts w:ascii="宋体" w:hAnsi="宋体" w:eastAsia="宋体" w:cs="宋体"/>
                <w:sz w:val="18"/>
                <w:szCs w:val="18"/>
              </w:rPr>
              <w:t> 与借款及票据有关的款项</w:t>
            </w:r>
          </w:p>
        </w:tc>
        <w:tc>
          <w:tcPr>
            <w:tcW w:w="1606" w:type="dxa"/>
            <w:tcBorders>
              <w:top w:val="single" w:color="auto" w:sz="2" w:space="0"/>
              <w:left w:val="single" w:color="auto" w:sz="2" w:space="0"/>
              <w:bottom w:val="single" w:color="auto" w:sz="2" w:space="0"/>
              <w:right w:val="single" w:color="auto" w:sz="2" w:space="0"/>
            </w:tcBorders>
            <w:vAlign w:val="center"/>
          </w:tcPr>
          <w:p w14:paraId="4D12DCD6">
            <w:pPr>
              <w:spacing w:line="240" w:lineRule="exact"/>
              <w:jc w:val="right"/>
              <w:rPr>
                <w:rFonts w:ascii="宋体" w:hAnsi="宋体" w:eastAsia="宋体" w:cs="宋体"/>
                <w:sz w:val="18"/>
                <w:szCs w:val="18"/>
              </w:rPr>
            </w:pPr>
            <w:r>
              <w:rPr>
                <w:rFonts w:ascii="宋体" w:hAnsi="宋体" w:eastAsia="宋体" w:cs="宋体"/>
                <w:sz w:val="18"/>
                <w:szCs w:val="18"/>
              </w:rPr>
              <w:t>259,200,000.00</w:t>
            </w:r>
          </w:p>
        </w:tc>
        <w:tc>
          <w:tcPr>
            <w:tcW w:w="1606" w:type="dxa"/>
            <w:tcBorders>
              <w:top w:val="single" w:color="auto" w:sz="2" w:space="0"/>
              <w:left w:val="single" w:color="auto" w:sz="2" w:space="0"/>
              <w:bottom w:val="single" w:color="auto" w:sz="2" w:space="0"/>
              <w:right w:val="single" w:color="auto" w:sz="2" w:space="0"/>
            </w:tcBorders>
            <w:vAlign w:val="center"/>
          </w:tcPr>
          <w:p w14:paraId="67AECF0A">
            <w:pPr>
              <w:spacing w:line="240" w:lineRule="exact"/>
              <w:rPr>
                <w:rFonts w:ascii="宋体" w:hAnsi="宋体" w:eastAsia="宋体" w:cs="宋体"/>
                <w:sz w:val="18"/>
                <w:szCs w:val="18"/>
              </w:rPr>
            </w:pPr>
            <w:r>
              <w:rPr>
                <w:rFonts w:ascii="宋体" w:hAnsi="宋体" w:eastAsia="宋体" w:cs="宋体"/>
                <w:sz w:val="18"/>
                <w:szCs w:val="18"/>
              </w:rPr>
              <w:t> 5年以上</w:t>
            </w:r>
          </w:p>
        </w:tc>
        <w:tc>
          <w:tcPr>
            <w:tcW w:w="1606" w:type="dxa"/>
            <w:tcBorders>
              <w:top w:val="single" w:color="auto" w:sz="2" w:space="0"/>
              <w:left w:val="single" w:color="auto" w:sz="2" w:space="0"/>
              <w:bottom w:val="single" w:color="auto" w:sz="2" w:space="0"/>
              <w:right w:val="single" w:color="auto" w:sz="2" w:space="0"/>
            </w:tcBorders>
            <w:vAlign w:val="center"/>
          </w:tcPr>
          <w:p w14:paraId="38498F8B">
            <w:pPr>
              <w:spacing w:line="240" w:lineRule="exact"/>
              <w:jc w:val="right"/>
              <w:rPr>
                <w:rFonts w:ascii="宋体" w:hAnsi="宋体" w:eastAsia="宋体" w:cs="宋体"/>
                <w:sz w:val="18"/>
                <w:szCs w:val="18"/>
              </w:rPr>
            </w:pPr>
            <w:r>
              <w:rPr>
                <w:rFonts w:ascii="宋体" w:hAnsi="宋体" w:eastAsia="宋体" w:cs="宋体"/>
                <w:sz w:val="18"/>
                <w:szCs w:val="18"/>
              </w:rPr>
              <w:t>85.64%</w:t>
            </w:r>
          </w:p>
        </w:tc>
        <w:tc>
          <w:tcPr>
            <w:tcW w:w="1606" w:type="dxa"/>
            <w:tcBorders>
              <w:top w:val="single" w:color="auto" w:sz="2" w:space="0"/>
              <w:left w:val="single" w:color="auto" w:sz="2" w:space="0"/>
              <w:bottom w:val="single" w:color="auto" w:sz="2" w:space="0"/>
              <w:right w:val="single" w:color="auto" w:sz="2" w:space="0"/>
            </w:tcBorders>
            <w:vAlign w:val="center"/>
          </w:tcPr>
          <w:p w14:paraId="7914AA53">
            <w:pPr>
              <w:spacing w:line="240" w:lineRule="exact"/>
              <w:jc w:val="right"/>
              <w:rPr>
                <w:rFonts w:ascii="宋体" w:hAnsi="宋体" w:eastAsia="宋体" w:cs="宋体"/>
                <w:sz w:val="18"/>
                <w:szCs w:val="18"/>
              </w:rPr>
            </w:pPr>
            <w:r>
              <w:rPr>
                <w:rFonts w:ascii="宋体" w:hAnsi="宋体" w:eastAsia="宋体" w:cs="宋体"/>
                <w:sz w:val="18"/>
                <w:szCs w:val="18"/>
              </w:rPr>
              <w:t>259,200,000.00</w:t>
            </w:r>
          </w:p>
        </w:tc>
      </w:tr>
      <w:tr w14:paraId="5EC0038F">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04F5A6D">
            <w:pPr>
              <w:spacing w:line="240" w:lineRule="exact"/>
              <w:rPr>
                <w:rFonts w:ascii="宋体" w:hAnsi="宋体" w:eastAsia="宋体" w:cs="宋体"/>
                <w:sz w:val="18"/>
                <w:szCs w:val="18"/>
              </w:rPr>
            </w:pPr>
            <w:r>
              <w:rPr>
                <w:rFonts w:ascii="宋体" w:hAnsi="宋体" w:eastAsia="宋体" w:cs="宋体"/>
                <w:sz w:val="18"/>
                <w:szCs w:val="18"/>
              </w:rPr>
              <w:t> 四川永成实业发展有限公司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F4CEA5A">
            <w:pPr>
              <w:spacing w:line="240" w:lineRule="exact"/>
              <w:rPr>
                <w:rFonts w:ascii="宋体" w:hAnsi="宋体" w:eastAsia="宋体" w:cs="宋体"/>
                <w:sz w:val="18"/>
                <w:szCs w:val="18"/>
              </w:rPr>
            </w:pPr>
            <w:r>
              <w:rPr>
                <w:rFonts w:ascii="宋体" w:hAnsi="宋体" w:eastAsia="宋体" w:cs="宋体"/>
                <w:sz w:val="18"/>
                <w:szCs w:val="18"/>
              </w:rPr>
              <w:t> 与借款及票据有关的款项</w:t>
            </w:r>
          </w:p>
        </w:tc>
        <w:tc>
          <w:tcPr>
            <w:tcW w:w="1606" w:type="dxa"/>
            <w:tcBorders>
              <w:top w:val="single" w:color="auto" w:sz="2" w:space="0"/>
              <w:left w:val="single" w:color="auto" w:sz="2" w:space="0"/>
              <w:bottom w:val="single" w:color="auto" w:sz="2" w:space="0"/>
              <w:right w:val="single" w:color="auto" w:sz="2" w:space="0"/>
            </w:tcBorders>
            <w:vAlign w:val="center"/>
          </w:tcPr>
          <w:p w14:paraId="24C767F9">
            <w:pPr>
              <w:spacing w:line="240" w:lineRule="exact"/>
              <w:jc w:val="right"/>
              <w:rPr>
                <w:rFonts w:ascii="宋体" w:hAnsi="宋体" w:eastAsia="宋体" w:cs="宋体"/>
                <w:sz w:val="18"/>
                <w:szCs w:val="18"/>
              </w:rPr>
            </w:pPr>
            <w:r>
              <w:rPr>
                <w:rFonts w:ascii="宋体" w:hAnsi="宋体" w:eastAsia="宋体" w:cs="宋体"/>
                <w:sz w:val="18"/>
                <w:szCs w:val="18"/>
              </w:rPr>
              <w:t>35,000,000.00</w:t>
            </w:r>
          </w:p>
        </w:tc>
        <w:tc>
          <w:tcPr>
            <w:tcW w:w="1606" w:type="dxa"/>
            <w:tcBorders>
              <w:top w:val="single" w:color="auto" w:sz="2" w:space="0"/>
              <w:left w:val="single" w:color="auto" w:sz="2" w:space="0"/>
              <w:bottom w:val="single" w:color="auto" w:sz="2" w:space="0"/>
              <w:right w:val="single" w:color="auto" w:sz="2" w:space="0"/>
            </w:tcBorders>
            <w:vAlign w:val="center"/>
          </w:tcPr>
          <w:p w14:paraId="10EC76CE">
            <w:pPr>
              <w:spacing w:line="240" w:lineRule="exact"/>
              <w:rPr>
                <w:rFonts w:ascii="宋体" w:hAnsi="宋体" w:eastAsia="宋体" w:cs="宋体"/>
                <w:sz w:val="18"/>
                <w:szCs w:val="18"/>
              </w:rPr>
            </w:pPr>
            <w:r>
              <w:rPr>
                <w:rFonts w:ascii="宋体" w:hAnsi="宋体" w:eastAsia="宋体" w:cs="宋体"/>
                <w:sz w:val="18"/>
                <w:szCs w:val="18"/>
              </w:rPr>
              <w:t> 5年以上</w:t>
            </w:r>
          </w:p>
        </w:tc>
        <w:tc>
          <w:tcPr>
            <w:tcW w:w="1606" w:type="dxa"/>
            <w:tcBorders>
              <w:top w:val="single" w:color="auto" w:sz="2" w:space="0"/>
              <w:left w:val="single" w:color="auto" w:sz="2" w:space="0"/>
              <w:bottom w:val="single" w:color="auto" w:sz="2" w:space="0"/>
              <w:right w:val="single" w:color="auto" w:sz="2" w:space="0"/>
            </w:tcBorders>
            <w:vAlign w:val="center"/>
          </w:tcPr>
          <w:p w14:paraId="5A966AEA">
            <w:pPr>
              <w:spacing w:line="240" w:lineRule="exact"/>
              <w:jc w:val="right"/>
              <w:rPr>
                <w:rFonts w:ascii="宋体" w:hAnsi="宋体" w:eastAsia="宋体" w:cs="宋体"/>
                <w:sz w:val="18"/>
                <w:szCs w:val="18"/>
              </w:rPr>
            </w:pPr>
            <w:r>
              <w:rPr>
                <w:rFonts w:ascii="宋体" w:hAnsi="宋体" w:eastAsia="宋体" w:cs="宋体"/>
                <w:sz w:val="18"/>
                <w:szCs w:val="18"/>
              </w:rPr>
              <w:t>11.56%</w:t>
            </w:r>
          </w:p>
        </w:tc>
        <w:tc>
          <w:tcPr>
            <w:tcW w:w="1606" w:type="dxa"/>
            <w:tcBorders>
              <w:top w:val="single" w:color="auto" w:sz="2" w:space="0"/>
              <w:left w:val="single" w:color="auto" w:sz="2" w:space="0"/>
              <w:bottom w:val="single" w:color="auto" w:sz="2" w:space="0"/>
              <w:right w:val="single" w:color="auto" w:sz="2" w:space="0"/>
            </w:tcBorders>
            <w:vAlign w:val="center"/>
          </w:tcPr>
          <w:p w14:paraId="5790880B">
            <w:pPr>
              <w:spacing w:line="240" w:lineRule="exact"/>
              <w:jc w:val="right"/>
              <w:rPr>
                <w:rFonts w:ascii="宋体" w:hAnsi="宋体" w:eastAsia="宋体" w:cs="宋体"/>
                <w:sz w:val="18"/>
                <w:szCs w:val="18"/>
              </w:rPr>
            </w:pPr>
            <w:r>
              <w:rPr>
                <w:rFonts w:ascii="宋体" w:hAnsi="宋体" w:eastAsia="宋体" w:cs="宋体"/>
                <w:sz w:val="18"/>
                <w:szCs w:val="18"/>
              </w:rPr>
              <w:t>35,000,000.00</w:t>
            </w:r>
          </w:p>
        </w:tc>
      </w:tr>
      <w:tr w14:paraId="7AC033CD">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7555E91">
            <w:pPr>
              <w:spacing w:line="240" w:lineRule="exact"/>
              <w:rPr>
                <w:rFonts w:ascii="宋体" w:hAnsi="宋体" w:eastAsia="宋体" w:cs="宋体"/>
                <w:sz w:val="18"/>
                <w:szCs w:val="18"/>
              </w:rPr>
            </w:pPr>
            <w:r>
              <w:rPr>
                <w:rFonts w:ascii="宋体" w:hAnsi="宋体" w:eastAsia="宋体" w:cs="宋体"/>
                <w:sz w:val="18"/>
                <w:szCs w:val="18"/>
              </w:rPr>
              <w:t> 苏州华信善达力创投资企业（有限合伙）</w:t>
            </w:r>
          </w:p>
        </w:tc>
        <w:tc>
          <w:tcPr>
            <w:tcW w:w="1606" w:type="dxa"/>
            <w:tcBorders>
              <w:top w:val="single" w:color="auto" w:sz="2" w:space="0"/>
              <w:left w:val="single" w:color="auto" w:sz="2" w:space="0"/>
              <w:bottom w:val="single" w:color="auto" w:sz="2" w:space="0"/>
              <w:right w:val="single" w:color="auto" w:sz="2" w:space="0"/>
            </w:tcBorders>
            <w:vAlign w:val="center"/>
          </w:tcPr>
          <w:p w14:paraId="71199D71">
            <w:pPr>
              <w:spacing w:line="240" w:lineRule="exact"/>
              <w:rPr>
                <w:rFonts w:ascii="宋体" w:hAnsi="宋体" w:eastAsia="宋体" w:cs="宋体"/>
                <w:sz w:val="18"/>
                <w:szCs w:val="18"/>
              </w:rPr>
            </w:pPr>
            <w:r>
              <w:rPr>
                <w:rFonts w:ascii="宋体" w:hAnsi="宋体" w:eastAsia="宋体" w:cs="宋体"/>
                <w:sz w:val="18"/>
                <w:szCs w:val="18"/>
              </w:rPr>
              <w:t> 其他</w:t>
            </w:r>
          </w:p>
        </w:tc>
        <w:tc>
          <w:tcPr>
            <w:tcW w:w="1606" w:type="dxa"/>
            <w:tcBorders>
              <w:top w:val="single" w:color="auto" w:sz="2" w:space="0"/>
              <w:left w:val="single" w:color="auto" w:sz="2" w:space="0"/>
              <w:bottom w:val="single" w:color="auto" w:sz="2" w:space="0"/>
              <w:right w:val="single" w:color="auto" w:sz="2" w:space="0"/>
            </w:tcBorders>
            <w:vAlign w:val="center"/>
          </w:tcPr>
          <w:p w14:paraId="7EB9DDCD">
            <w:pPr>
              <w:spacing w:line="240" w:lineRule="exact"/>
              <w:jc w:val="right"/>
              <w:rPr>
                <w:rFonts w:ascii="宋体" w:hAnsi="宋体" w:eastAsia="宋体" w:cs="宋体"/>
                <w:sz w:val="18"/>
                <w:szCs w:val="18"/>
              </w:rPr>
            </w:pPr>
            <w:r>
              <w:rPr>
                <w:rFonts w:ascii="宋体" w:hAnsi="宋体" w:eastAsia="宋体" w:cs="宋体"/>
                <w:sz w:val="18"/>
                <w:szCs w:val="18"/>
              </w:rPr>
              <w:t>7,526,000.00</w:t>
            </w:r>
          </w:p>
        </w:tc>
        <w:tc>
          <w:tcPr>
            <w:tcW w:w="1606" w:type="dxa"/>
            <w:tcBorders>
              <w:top w:val="single" w:color="auto" w:sz="2" w:space="0"/>
              <w:left w:val="single" w:color="auto" w:sz="2" w:space="0"/>
              <w:bottom w:val="single" w:color="auto" w:sz="2" w:space="0"/>
              <w:right w:val="single" w:color="auto" w:sz="2" w:space="0"/>
            </w:tcBorders>
            <w:vAlign w:val="center"/>
          </w:tcPr>
          <w:p w14:paraId="3B7EF516">
            <w:pPr>
              <w:spacing w:line="240" w:lineRule="exact"/>
              <w:rPr>
                <w:rFonts w:ascii="宋体" w:hAnsi="宋体" w:eastAsia="宋体" w:cs="宋体"/>
                <w:sz w:val="18"/>
                <w:szCs w:val="18"/>
              </w:rPr>
            </w:pPr>
            <w:r>
              <w:rPr>
                <w:rFonts w:ascii="宋体" w:hAnsi="宋体" w:eastAsia="宋体" w:cs="宋体"/>
                <w:sz w:val="18"/>
                <w:szCs w:val="18"/>
              </w:rPr>
              <w:t> 1-2年</w:t>
            </w:r>
          </w:p>
        </w:tc>
        <w:tc>
          <w:tcPr>
            <w:tcW w:w="1606" w:type="dxa"/>
            <w:tcBorders>
              <w:top w:val="single" w:color="auto" w:sz="2" w:space="0"/>
              <w:left w:val="single" w:color="auto" w:sz="2" w:space="0"/>
              <w:bottom w:val="single" w:color="auto" w:sz="2" w:space="0"/>
              <w:right w:val="single" w:color="auto" w:sz="2" w:space="0"/>
            </w:tcBorders>
            <w:vAlign w:val="center"/>
          </w:tcPr>
          <w:p w14:paraId="108D3153">
            <w:pPr>
              <w:spacing w:line="240" w:lineRule="exact"/>
              <w:jc w:val="right"/>
              <w:rPr>
                <w:rFonts w:ascii="宋体" w:hAnsi="宋体" w:eastAsia="宋体" w:cs="宋体"/>
                <w:sz w:val="18"/>
                <w:szCs w:val="18"/>
              </w:rPr>
            </w:pPr>
            <w:r>
              <w:rPr>
                <w:rFonts w:ascii="宋体" w:hAnsi="宋体" w:eastAsia="宋体" w:cs="宋体"/>
                <w:sz w:val="18"/>
                <w:szCs w:val="18"/>
              </w:rPr>
              <w:t>2.49%</w:t>
            </w:r>
          </w:p>
        </w:tc>
        <w:tc>
          <w:tcPr>
            <w:tcW w:w="1606" w:type="dxa"/>
            <w:tcBorders>
              <w:top w:val="single" w:color="auto" w:sz="2" w:space="0"/>
              <w:left w:val="single" w:color="auto" w:sz="2" w:space="0"/>
              <w:bottom w:val="single" w:color="auto" w:sz="2" w:space="0"/>
              <w:right w:val="single" w:color="auto" w:sz="2" w:space="0"/>
            </w:tcBorders>
            <w:vAlign w:val="center"/>
          </w:tcPr>
          <w:p w14:paraId="13A9F8F3">
            <w:pPr>
              <w:spacing w:line="240" w:lineRule="exact"/>
              <w:jc w:val="right"/>
              <w:rPr>
                <w:rFonts w:ascii="宋体" w:hAnsi="宋体" w:eastAsia="宋体" w:cs="宋体"/>
                <w:sz w:val="18"/>
                <w:szCs w:val="18"/>
              </w:rPr>
            </w:pPr>
            <w:r>
              <w:rPr>
                <w:rFonts w:ascii="宋体" w:hAnsi="宋体" w:eastAsia="宋体" w:cs="宋体"/>
                <w:sz w:val="18"/>
                <w:szCs w:val="18"/>
              </w:rPr>
              <w:t>7,526,000.00</w:t>
            </w:r>
          </w:p>
        </w:tc>
      </w:tr>
      <w:tr w14:paraId="6633953C">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A904226">
            <w:pPr>
              <w:spacing w:line="240" w:lineRule="exact"/>
              <w:rPr>
                <w:rFonts w:ascii="宋体" w:hAnsi="宋体" w:eastAsia="宋体" w:cs="宋体"/>
                <w:sz w:val="18"/>
                <w:szCs w:val="18"/>
              </w:rPr>
            </w:pPr>
            <w:r>
              <w:rPr>
                <w:rFonts w:ascii="宋体" w:hAnsi="宋体" w:eastAsia="宋体" w:cs="宋体"/>
                <w:sz w:val="18"/>
                <w:szCs w:val="18"/>
              </w:rPr>
              <w:t> 陈红兵</w:t>
            </w:r>
          </w:p>
        </w:tc>
        <w:tc>
          <w:tcPr>
            <w:tcW w:w="1606" w:type="dxa"/>
            <w:tcBorders>
              <w:top w:val="single" w:color="auto" w:sz="2" w:space="0"/>
              <w:left w:val="single" w:color="auto" w:sz="2" w:space="0"/>
              <w:bottom w:val="single" w:color="auto" w:sz="2" w:space="0"/>
              <w:right w:val="single" w:color="auto" w:sz="2" w:space="0"/>
            </w:tcBorders>
            <w:vAlign w:val="center"/>
          </w:tcPr>
          <w:p w14:paraId="4B467D40">
            <w:pPr>
              <w:spacing w:line="240" w:lineRule="exact"/>
              <w:rPr>
                <w:rFonts w:ascii="宋体" w:hAnsi="宋体" w:eastAsia="宋体" w:cs="宋体"/>
                <w:sz w:val="18"/>
                <w:szCs w:val="18"/>
              </w:rPr>
            </w:pPr>
            <w:r>
              <w:rPr>
                <w:rFonts w:ascii="宋体" w:hAnsi="宋体" w:eastAsia="宋体" w:cs="宋体"/>
                <w:sz w:val="18"/>
                <w:szCs w:val="18"/>
              </w:rPr>
              <w:t> 其他</w:t>
            </w:r>
          </w:p>
        </w:tc>
        <w:tc>
          <w:tcPr>
            <w:tcW w:w="1606" w:type="dxa"/>
            <w:tcBorders>
              <w:top w:val="single" w:color="auto" w:sz="2" w:space="0"/>
              <w:left w:val="single" w:color="auto" w:sz="2" w:space="0"/>
              <w:bottom w:val="single" w:color="auto" w:sz="2" w:space="0"/>
              <w:right w:val="single" w:color="auto" w:sz="2" w:space="0"/>
            </w:tcBorders>
            <w:vAlign w:val="center"/>
          </w:tcPr>
          <w:p w14:paraId="6A3FEB18">
            <w:pPr>
              <w:spacing w:line="240" w:lineRule="exact"/>
              <w:jc w:val="right"/>
              <w:rPr>
                <w:rFonts w:ascii="宋体" w:hAnsi="宋体" w:eastAsia="宋体" w:cs="宋体"/>
                <w:sz w:val="18"/>
                <w:szCs w:val="18"/>
              </w:rPr>
            </w:pPr>
            <w:r>
              <w:rPr>
                <w:rFonts w:ascii="宋体" w:hAnsi="宋体" w:eastAsia="宋体" w:cs="宋体"/>
                <w:sz w:val="18"/>
                <w:szCs w:val="18"/>
              </w:rPr>
              <w:t>207,902.94</w:t>
            </w:r>
          </w:p>
        </w:tc>
        <w:tc>
          <w:tcPr>
            <w:tcW w:w="1606" w:type="dxa"/>
            <w:tcBorders>
              <w:top w:val="single" w:color="auto" w:sz="2" w:space="0"/>
              <w:left w:val="single" w:color="auto" w:sz="2" w:space="0"/>
              <w:bottom w:val="single" w:color="auto" w:sz="2" w:space="0"/>
              <w:right w:val="single" w:color="auto" w:sz="2" w:space="0"/>
            </w:tcBorders>
            <w:vAlign w:val="center"/>
          </w:tcPr>
          <w:p w14:paraId="312AF8AC">
            <w:pPr>
              <w:spacing w:line="240" w:lineRule="exact"/>
              <w:rPr>
                <w:rFonts w:ascii="宋体" w:hAnsi="宋体" w:eastAsia="宋体" w:cs="宋体"/>
                <w:sz w:val="18"/>
                <w:szCs w:val="18"/>
              </w:rPr>
            </w:pPr>
            <w:r>
              <w:rPr>
                <w:rFonts w:ascii="宋体" w:hAnsi="宋体" w:eastAsia="宋体" w:cs="宋体"/>
                <w:sz w:val="18"/>
                <w:szCs w:val="18"/>
              </w:rPr>
              <w:t> 5年以上</w:t>
            </w:r>
          </w:p>
        </w:tc>
        <w:tc>
          <w:tcPr>
            <w:tcW w:w="1606" w:type="dxa"/>
            <w:tcBorders>
              <w:top w:val="single" w:color="auto" w:sz="2" w:space="0"/>
              <w:left w:val="single" w:color="auto" w:sz="2" w:space="0"/>
              <w:bottom w:val="single" w:color="auto" w:sz="2" w:space="0"/>
              <w:right w:val="single" w:color="auto" w:sz="2" w:space="0"/>
            </w:tcBorders>
            <w:vAlign w:val="center"/>
          </w:tcPr>
          <w:p w14:paraId="5892A91D">
            <w:pPr>
              <w:spacing w:line="240" w:lineRule="exact"/>
              <w:jc w:val="right"/>
              <w:rPr>
                <w:rFonts w:ascii="宋体" w:hAnsi="宋体" w:eastAsia="宋体" w:cs="宋体"/>
                <w:sz w:val="18"/>
                <w:szCs w:val="18"/>
              </w:rPr>
            </w:pPr>
            <w:r>
              <w:rPr>
                <w:rFonts w:ascii="宋体" w:hAnsi="宋体" w:eastAsia="宋体" w:cs="宋体"/>
                <w:sz w:val="18"/>
                <w:szCs w:val="18"/>
              </w:rPr>
              <w:t>0.07%</w:t>
            </w:r>
          </w:p>
        </w:tc>
        <w:tc>
          <w:tcPr>
            <w:tcW w:w="1606" w:type="dxa"/>
            <w:tcBorders>
              <w:top w:val="single" w:color="auto" w:sz="2" w:space="0"/>
              <w:left w:val="single" w:color="auto" w:sz="2" w:space="0"/>
              <w:bottom w:val="single" w:color="auto" w:sz="2" w:space="0"/>
              <w:right w:val="single" w:color="auto" w:sz="2" w:space="0"/>
            </w:tcBorders>
            <w:vAlign w:val="center"/>
          </w:tcPr>
          <w:p w14:paraId="0D6E9415">
            <w:pPr>
              <w:spacing w:line="240" w:lineRule="exact"/>
              <w:jc w:val="right"/>
              <w:rPr>
                <w:rFonts w:ascii="宋体" w:hAnsi="宋体" w:eastAsia="宋体" w:cs="宋体"/>
                <w:sz w:val="18"/>
                <w:szCs w:val="18"/>
              </w:rPr>
            </w:pPr>
            <w:r>
              <w:rPr>
                <w:rFonts w:ascii="宋体" w:hAnsi="宋体" w:eastAsia="宋体" w:cs="宋体"/>
                <w:sz w:val="18"/>
                <w:szCs w:val="18"/>
              </w:rPr>
              <w:t>207,902.94</w:t>
            </w:r>
          </w:p>
        </w:tc>
      </w:tr>
      <w:tr w14:paraId="40B978B2">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3F1140F">
            <w:pPr>
              <w:spacing w:line="240" w:lineRule="exact"/>
              <w:rPr>
                <w:rFonts w:ascii="宋体" w:hAnsi="宋体" w:eastAsia="宋体" w:cs="宋体"/>
                <w:sz w:val="18"/>
                <w:szCs w:val="18"/>
              </w:rPr>
            </w:pPr>
            <w:r>
              <w:rPr>
                <w:rFonts w:ascii="宋体" w:hAnsi="宋体" w:eastAsia="宋体" w:cs="宋体"/>
                <w:sz w:val="18"/>
                <w:szCs w:val="18"/>
              </w:rPr>
              <w:t> 成都汉裕物业管理发展有限公司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29B678E">
            <w:pPr>
              <w:spacing w:line="240" w:lineRule="exact"/>
              <w:rPr>
                <w:rFonts w:ascii="宋体" w:hAnsi="宋体" w:eastAsia="宋体" w:cs="宋体"/>
                <w:sz w:val="18"/>
                <w:szCs w:val="18"/>
              </w:rPr>
            </w:pPr>
            <w:r>
              <w:rPr>
                <w:rFonts w:ascii="宋体" w:hAnsi="宋体" w:eastAsia="宋体" w:cs="宋体"/>
                <w:sz w:val="18"/>
                <w:szCs w:val="18"/>
              </w:rPr>
              <w:t> 其他</w:t>
            </w:r>
          </w:p>
        </w:tc>
        <w:tc>
          <w:tcPr>
            <w:tcW w:w="1606" w:type="dxa"/>
            <w:tcBorders>
              <w:top w:val="single" w:color="auto" w:sz="2" w:space="0"/>
              <w:left w:val="single" w:color="auto" w:sz="2" w:space="0"/>
              <w:bottom w:val="single" w:color="auto" w:sz="2" w:space="0"/>
              <w:right w:val="single" w:color="auto" w:sz="2" w:space="0"/>
            </w:tcBorders>
            <w:vAlign w:val="center"/>
          </w:tcPr>
          <w:p w14:paraId="0EE07FD7">
            <w:pPr>
              <w:spacing w:line="240" w:lineRule="exact"/>
              <w:jc w:val="right"/>
              <w:rPr>
                <w:rFonts w:ascii="宋体" w:hAnsi="宋体" w:eastAsia="宋体" w:cs="宋体"/>
                <w:sz w:val="18"/>
                <w:szCs w:val="18"/>
              </w:rPr>
            </w:pPr>
            <w:r>
              <w:rPr>
                <w:rFonts w:ascii="宋体" w:hAnsi="宋体" w:eastAsia="宋体" w:cs="宋体"/>
                <w:sz w:val="18"/>
                <w:szCs w:val="18"/>
              </w:rPr>
              <w:t>194,195.40</w:t>
            </w:r>
          </w:p>
        </w:tc>
        <w:tc>
          <w:tcPr>
            <w:tcW w:w="1606" w:type="dxa"/>
            <w:tcBorders>
              <w:top w:val="single" w:color="auto" w:sz="2" w:space="0"/>
              <w:left w:val="single" w:color="auto" w:sz="2" w:space="0"/>
              <w:bottom w:val="single" w:color="auto" w:sz="2" w:space="0"/>
              <w:right w:val="single" w:color="auto" w:sz="2" w:space="0"/>
            </w:tcBorders>
            <w:vAlign w:val="center"/>
          </w:tcPr>
          <w:p w14:paraId="559518FF">
            <w:pPr>
              <w:spacing w:line="240" w:lineRule="exact"/>
              <w:rPr>
                <w:rFonts w:ascii="宋体" w:hAnsi="宋体" w:eastAsia="宋体" w:cs="宋体"/>
                <w:sz w:val="18"/>
                <w:szCs w:val="18"/>
              </w:rPr>
            </w:pPr>
            <w:r>
              <w:rPr>
                <w:rFonts w:ascii="宋体" w:hAnsi="宋体" w:eastAsia="宋体" w:cs="宋体"/>
                <w:sz w:val="18"/>
                <w:szCs w:val="18"/>
              </w:rPr>
              <w:t> 1-2年</w:t>
            </w:r>
          </w:p>
        </w:tc>
        <w:tc>
          <w:tcPr>
            <w:tcW w:w="1606" w:type="dxa"/>
            <w:tcBorders>
              <w:top w:val="single" w:color="auto" w:sz="2" w:space="0"/>
              <w:left w:val="single" w:color="auto" w:sz="2" w:space="0"/>
              <w:bottom w:val="single" w:color="auto" w:sz="2" w:space="0"/>
              <w:right w:val="single" w:color="auto" w:sz="2" w:space="0"/>
            </w:tcBorders>
            <w:vAlign w:val="center"/>
          </w:tcPr>
          <w:p w14:paraId="53ECC9D3">
            <w:pPr>
              <w:spacing w:line="240" w:lineRule="exact"/>
              <w:jc w:val="right"/>
              <w:rPr>
                <w:rFonts w:ascii="宋体" w:hAnsi="宋体" w:eastAsia="宋体" w:cs="宋体"/>
                <w:sz w:val="18"/>
                <w:szCs w:val="18"/>
              </w:rPr>
            </w:pPr>
            <w:r>
              <w:rPr>
                <w:rFonts w:ascii="宋体" w:hAnsi="宋体" w:eastAsia="宋体" w:cs="宋体"/>
                <w:sz w:val="18"/>
                <w:szCs w:val="18"/>
              </w:rPr>
              <w:t>0.06%</w:t>
            </w:r>
          </w:p>
        </w:tc>
        <w:tc>
          <w:tcPr>
            <w:tcW w:w="1606" w:type="dxa"/>
            <w:tcBorders>
              <w:top w:val="single" w:color="auto" w:sz="2" w:space="0"/>
              <w:left w:val="single" w:color="auto" w:sz="2" w:space="0"/>
              <w:bottom w:val="single" w:color="auto" w:sz="2" w:space="0"/>
              <w:right w:val="single" w:color="auto" w:sz="2" w:space="0"/>
            </w:tcBorders>
            <w:vAlign w:val="center"/>
          </w:tcPr>
          <w:p w14:paraId="3E077FAA">
            <w:pPr>
              <w:spacing w:line="240" w:lineRule="exact"/>
              <w:jc w:val="right"/>
              <w:rPr>
                <w:rFonts w:ascii="宋体" w:hAnsi="宋体" w:eastAsia="宋体" w:cs="宋体"/>
                <w:sz w:val="18"/>
                <w:szCs w:val="18"/>
              </w:rPr>
            </w:pPr>
            <w:r>
              <w:rPr>
                <w:rFonts w:hint="eastAsia" w:ascii="宋体" w:hAnsi="宋体" w:eastAsia="宋体" w:cs="宋体"/>
                <w:sz w:val="18"/>
                <w:szCs w:val="18"/>
              </w:rPr>
              <w:t>15</w:t>
            </w:r>
            <w:r>
              <w:rPr>
                <w:rFonts w:hint="eastAsia" w:ascii="宋体" w:hAnsi="宋体" w:eastAsia="宋体" w:cs="宋体"/>
                <w:sz w:val="18"/>
                <w:szCs w:val="18"/>
                <w:lang w:val="en-US" w:eastAsia="zh-CN"/>
              </w:rPr>
              <w:t>,</w:t>
            </w:r>
            <w:r>
              <w:rPr>
                <w:rFonts w:hint="eastAsia" w:ascii="宋体" w:hAnsi="宋体" w:eastAsia="宋体" w:cs="宋体"/>
                <w:sz w:val="18"/>
                <w:szCs w:val="18"/>
              </w:rPr>
              <w:t>535.63</w:t>
            </w:r>
          </w:p>
        </w:tc>
      </w:tr>
      <w:tr w14:paraId="67F708CD">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5819A2">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DC34F2"/>
        </w:tc>
        <w:tc>
          <w:tcPr>
            <w:tcW w:w="1606" w:type="dxa"/>
            <w:tcBorders>
              <w:top w:val="single" w:color="auto" w:sz="2" w:space="0"/>
              <w:left w:val="single" w:color="auto" w:sz="2" w:space="0"/>
              <w:bottom w:val="single" w:color="auto" w:sz="2" w:space="0"/>
              <w:right w:val="single" w:color="auto" w:sz="2" w:space="0"/>
            </w:tcBorders>
            <w:vAlign w:val="center"/>
          </w:tcPr>
          <w:p w14:paraId="46E7DA44">
            <w:pPr>
              <w:spacing w:line="240" w:lineRule="exact"/>
              <w:jc w:val="right"/>
              <w:rPr>
                <w:rFonts w:ascii="宋体" w:hAnsi="宋体" w:eastAsia="宋体" w:cs="宋体"/>
                <w:sz w:val="18"/>
                <w:szCs w:val="18"/>
              </w:rPr>
            </w:pPr>
            <w:r>
              <w:rPr>
                <w:rFonts w:ascii="宋体" w:hAnsi="宋体" w:eastAsia="宋体" w:cs="宋体"/>
                <w:sz w:val="18"/>
                <w:szCs w:val="18"/>
              </w:rPr>
              <w:t>302,128,098.34</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AD3EF1"/>
        </w:tc>
        <w:tc>
          <w:tcPr>
            <w:tcW w:w="1606" w:type="dxa"/>
            <w:tcBorders>
              <w:top w:val="single" w:color="auto" w:sz="2" w:space="0"/>
              <w:left w:val="single" w:color="auto" w:sz="2" w:space="0"/>
              <w:bottom w:val="single" w:color="auto" w:sz="2" w:space="0"/>
              <w:right w:val="single" w:color="auto" w:sz="2" w:space="0"/>
            </w:tcBorders>
            <w:vAlign w:val="center"/>
          </w:tcPr>
          <w:p w14:paraId="5C546E07">
            <w:pPr>
              <w:spacing w:line="240" w:lineRule="exact"/>
              <w:jc w:val="right"/>
              <w:rPr>
                <w:rFonts w:ascii="宋体" w:hAnsi="宋体" w:eastAsia="宋体" w:cs="宋体"/>
                <w:sz w:val="18"/>
                <w:szCs w:val="18"/>
              </w:rPr>
            </w:pPr>
            <w:r>
              <w:rPr>
                <w:rFonts w:ascii="宋体" w:hAnsi="宋体" w:eastAsia="宋体" w:cs="宋体"/>
                <w:sz w:val="18"/>
                <w:szCs w:val="18"/>
              </w:rPr>
              <w:t>99.82%</w:t>
            </w:r>
          </w:p>
        </w:tc>
        <w:tc>
          <w:tcPr>
            <w:tcW w:w="1606" w:type="dxa"/>
            <w:tcBorders>
              <w:top w:val="single" w:color="auto" w:sz="2" w:space="0"/>
              <w:left w:val="single" w:color="auto" w:sz="2" w:space="0"/>
              <w:bottom w:val="single" w:color="auto" w:sz="2" w:space="0"/>
              <w:right w:val="single" w:color="auto" w:sz="2" w:space="0"/>
            </w:tcBorders>
            <w:vAlign w:val="center"/>
          </w:tcPr>
          <w:p w14:paraId="2E0DF183">
            <w:pPr>
              <w:spacing w:line="240" w:lineRule="exact"/>
              <w:jc w:val="right"/>
              <w:rPr>
                <w:rFonts w:ascii="宋体" w:hAnsi="宋体" w:eastAsia="宋体" w:cs="宋体"/>
                <w:sz w:val="18"/>
                <w:szCs w:val="18"/>
              </w:rPr>
            </w:pPr>
            <w:r>
              <w:rPr>
                <w:rFonts w:hint="eastAsia" w:ascii="宋体" w:hAnsi="宋体" w:eastAsia="宋体" w:cs="宋体"/>
                <w:sz w:val="18"/>
                <w:szCs w:val="18"/>
              </w:rPr>
              <w:t>301</w:t>
            </w:r>
            <w:r>
              <w:rPr>
                <w:rFonts w:hint="eastAsia" w:ascii="宋体" w:hAnsi="宋体" w:eastAsia="宋体" w:cs="宋体"/>
                <w:sz w:val="18"/>
                <w:szCs w:val="18"/>
                <w:lang w:val="en-US" w:eastAsia="zh-CN"/>
              </w:rPr>
              <w:t>,</w:t>
            </w:r>
            <w:r>
              <w:rPr>
                <w:rFonts w:hint="eastAsia" w:ascii="宋体" w:hAnsi="宋体" w:eastAsia="宋体" w:cs="宋体"/>
                <w:sz w:val="18"/>
                <w:szCs w:val="18"/>
              </w:rPr>
              <w:t>949</w:t>
            </w:r>
            <w:r>
              <w:rPr>
                <w:rFonts w:hint="eastAsia" w:ascii="宋体" w:hAnsi="宋体" w:eastAsia="宋体" w:cs="宋体"/>
                <w:sz w:val="18"/>
                <w:szCs w:val="18"/>
                <w:lang w:val="en-US" w:eastAsia="zh-CN"/>
              </w:rPr>
              <w:t>,</w:t>
            </w:r>
            <w:r>
              <w:rPr>
                <w:rFonts w:hint="eastAsia" w:ascii="宋体" w:hAnsi="宋体" w:eastAsia="宋体" w:cs="宋体"/>
                <w:sz w:val="18"/>
                <w:szCs w:val="18"/>
              </w:rPr>
              <w:t>438.57</w:t>
            </w:r>
          </w:p>
        </w:tc>
      </w:tr>
    </w:tbl>
    <w:p w14:paraId="0B1994FD">
      <w:pPr>
        <w:keepNext/>
        <w:keepLines/>
        <w:spacing w:before="300" w:after="300" w:line="280" w:lineRule="exact"/>
        <w:outlineLvl w:val="4"/>
        <w:rPr>
          <w:rFonts w:ascii="宋体" w:hAnsi="宋体" w:eastAsia="宋体" w:cs="宋体"/>
          <w:b/>
          <w:bCs/>
          <w:sz w:val="18"/>
          <w:szCs w:val="18"/>
        </w:rPr>
      </w:pPr>
      <w:bookmarkStart w:id="538" w:name="_Toc989427"/>
      <w:r>
        <w:rPr>
          <w:rFonts w:ascii="宋体" w:hAnsi="宋体" w:eastAsia="宋体" w:cs="宋体"/>
          <w:b/>
          <w:bCs/>
          <w:sz w:val="18"/>
          <w:szCs w:val="18"/>
        </w:rPr>
        <w:t>7） 因资金集中管理而列报于其他应收款</w:t>
      </w:r>
      <w:bookmarkEnd w:id="538"/>
    </w:p>
    <w:p w14:paraId="6F7572B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570" w:type="dxa"/>
        <w:tblInd w:w="93" w:type="dxa"/>
        <w:tblLayout w:type="fixed"/>
        <w:tblCellMar>
          <w:top w:w="0" w:type="dxa"/>
          <w:left w:w="108" w:type="dxa"/>
          <w:bottom w:w="0" w:type="dxa"/>
          <w:right w:w="108" w:type="dxa"/>
        </w:tblCellMar>
      </w:tblPr>
      <w:tblGrid>
        <w:gridCol w:w="4877"/>
        <w:gridCol w:w="4693"/>
      </w:tblGrid>
      <w:tr w14:paraId="5F3AD9C6">
        <w:trPr>
          <w:trHeight w:val="254" w:hRule="atLeast"/>
        </w:trPr>
        <w:tc>
          <w:tcPr>
            <w:tcW w:w="4877" w:type="dxa"/>
            <w:tcBorders>
              <w:top w:val="single" w:color="000000" w:sz="4" w:space="0"/>
              <w:left w:val="single" w:color="000000" w:sz="4" w:space="0"/>
              <w:bottom w:val="single" w:color="000000" w:sz="4" w:space="0"/>
              <w:right w:val="single" w:color="000000" w:sz="4" w:space="0"/>
            </w:tcBorders>
            <w:shd w:val="clear" w:color="auto" w:fill="D3D3D3"/>
            <w:vAlign w:val="center"/>
          </w:tcPr>
          <w:p w14:paraId="6EA54DED">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因资金集中管理而列报于其他应收款的金额</w:t>
            </w:r>
          </w:p>
        </w:tc>
        <w:tc>
          <w:tcPr>
            <w:tcW w:w="4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5B8A9">
            <w:pPr>
              <w:jc w:val="right"/>
              <w:rPr>
                <w:rFonts w:ascii="宋体" w:hAnsi="宋体" w:eastAsia="宋体" w:cs="宋体"/>
                <w:color w:val="000000"/>
                <w:sz w:val="18"/>
                <w:szCs w:val="18"/>
              </w:rPr>
            </w:pPr>
          </w:p>
        </w:tc>
      </w:tr>
      <w:tr w14:paraId="235CE3DE">
        <w:trPr>
          <w:trHeight w:val="270" w:hRule="atLeast"/>
        </w:trPr>
        <w:tc>
          <w:tcPr>
            <w:tcW w:w="4877" w:type="dxa"/>
            <w:tcBorders>
              <w:top w:val="single" w:color="000000" w:sz="4" w:space="0"/>
              <w:left w:val="single" w:color="000000" w:sz="4" w:space="0"/>
              <w:bottom w:val="single" w:color="000000" w:sz="4" w:space="0"/>
              <w:right w:val="single" w:color="000000" w:sz="4" w:space="0"/>
            </w:tcBorders>
            <w:shd w:val="clear" w:color="auto" w:fill="D3D3D3"/>
            <w:vAlign w:val="center"/>
          </w:tcPr>
          <w:p w14:paraId="116A5D2A">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情况说明</w:t>
            </w:r>
          </w:p>
        </w:tc>
        <w:tc>
          <w:tcPr>
            <w:tcW w:w="4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EB49">
            <w:pPr>
              <w:rPr>
                <w:rFonts w:ascii="宋体" w:hAnsi="宋体" w:eastAsia="宋体" w:cs="宋体"/>
                <w:color w:val="000000"/>
                <w:sz w:val="18"/>
                <w:szCs w:val="18"/>
              </w:rPr>
            </w:pPr>
          </w:p>
        </w:tc>
      </w:tr>
    </w:tbl>
    <w:p w14:paraId="0B302B58">
      <w:pPr>
        <w:spacing w:before="100" w:after="100" w:line="240" w:lineRule="exact"/>
      </w:pPr>
      <w:r>
        <w:rPr>
          <w:rFonts w:ascii="宋体" w:hAnsi="宋体" w:eastAsia="宋体" w:cs="宋体"/>
          <w:sz w:val="18"/>
          <w:szCs w:val="18"/>
        </w:rPr>
        <w:t>其他说明：</w:t>
      </w:r>
    </w:p>
    <w:p w14:paraId="1A05B93F">
      <w:pPr>
        <w:pStyle w:val="3"/>
        <w:spacing w:after="100" w:line="280" w:lineRule="exact"/>
        <w:jc w:val="left"/>
        <w:rPr>
          <w:rFonts w:ascii="宋体" w:hAnsi="宋体" w:cs="宋体"/>
          <w:b/>
          <w:bCs/>
        </w:rPr>
      </w:pPr>
      <w:bookmarkStart w:id="539" w:name="_Toc989428"/>
      <w:r>
        <w:rPr>
          <w:rFonts w:ascii="宋体" w:hAnsi="宋体" w:cs="宋体"/>
          <w:b/>
          <w:bCs/>
        </w:rPr>
        <w:t>3、长期股权投资</w:t>
      </w:r>
      <w:bookmarkEnd w:id="539"/>
    </w:p>
    <w:p w14:paraId="68A065A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05E8702">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68813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03335F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7AA03B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48370C0">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6E510A"/>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27A30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FA63ECD">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7C4109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BD740D">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1A18F3">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63BF06E">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66F3A528">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1891F7D">
            <w:pPr>
              <w:spacing w:before="40" w:after="40" w:line="240" w:lineRule="exact"/>
              <w:rPr>
                <w:rFonts w:ascii="宋体" w:hAnsi="宋体" w:eastAsia="宋体" w:cs="宋体"/>
                <w:sz w:val="18"/>
                <w:szCs w:val="18"/>
              </w:rPr>
            </w:pPr>
            <w:r>
              <w:rPr>
                <w:rFonts w:ascii="宋体" w:hAnsi="宋体" w:eastAsia="宋体" w:cs="宋体"/>
                <w:sz w:val="18"/>
                <w:szCs w:val="18"/>
              </w:rPr>
              <w:t>对子公司投资</w:t>
            </w:r>
          </w:p>
        </w:tc>
        <w:tc>
          <w:tcPr>
            <w:tcW w:w="1377" w:type="dxa"/>
            <w:tcBorders>
              <w:top w:val="single" w:color="auto" w:sz="2" w:space="0"/>
              <w:left w:val="single" w:color="auto" w:sz="2" w:space="0"/>
              <w:bottom w:val="single" w:color="auto" w:sz="2" w:space="0"/>
              <w:right w:val="single" w:color="auto" w:sz="2" w:space="0"/>
            </w:tcBorders>
            <w:vAlign w:val="center"/>
          </w:tcPr>
          <w:p w14:paraId="5489B88E">
            <w:pPr>
              <w:spacing w:line="240" w:lineRule="exact"/>
              <w:jc w:val="right"/>
              <w:rPr>
                <w:rFonts w:ascii="宋体" w:hAnsi="宋体" w:eastAsia="宋体" w:cs="宋体"/>
                <w:sz w:val="18"/>
                <w:szCs w:val="18"/>
              </w:rPr>
            </w:pPr>
            <w:r>
              <w:rPr>
                <w:rFonts w:ascii="宋体" w:hAnsi="宋体" w:eastAsia="宋体" w:cs="宋体"/>
                <w:sz w:val="18"/>
                <w:szCs w:val="18"/>
              </w:rPr>
              <w:t>221,258,847.50</w:t>
            </w:r>
          </w:p>
        </w:tc>
        <w:tc>
          <w:tcPr>
            <w:tcW w:w="1377" w:type="dxa"/>
            <w:tcBorders>
              <w:top w:val="single" w:color="auto" w:sz="2" w:space="0"/>
              <w:left w:val="single" w:color="auto" w:sz="2" w:space="0"/>
              <w:bottom w:val="single" w:color="auto" w:sz="2" w:space="0"/>
              <w:right w:val="single" w:color="auto" w:sz="2" w:space="0"/>
            </w:tcBorders>
            <w:vAlign w:val="center"/>
          </w:tcPr>
          <w:p w14:paraId="4279F7A0">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C1D9F5F">
            <w:pPr>
              <w:spacing w:line="240" w:lineRule="exact"/>
              <w:jc w:val="right"/>
              <w:rPr>
                <w:rFonts w:ascii="宋体" w:hAnsi="宋体" w:eastAsia="宋体" w:cs="宋体"/>
                <w:sz w:val="18"/>
                <w:szCs w:val="18"/>
              </w:rPr>
            </w:pPr>
            <w:r>
              <w:rPr>
                <w:rFonts w:ascii="宋体" w:hAnsi="宋体" w:eastAsia="宋体" w:cs="宋体"/>
                <w:sz w:val="18"/>
                <w:szCs w:val="18"/>
              </w:rPr>
              <w:t>221,258,847.50</w:t>
            </w:r>
          </w:p>
        </w:tc>
        <w:tc>
          <w:tcPr>
            <w:tcW w:w="1377" w:type="dxa"/>
            <w:tcBorders>
              <w:top w:val="single" w:color="auto" w:sz="2" w:space="0"/>
              <w:left w:val="single" w:color="auto" w:sz="2" w:space="0"/>
              <w:bottom w:val="single" w:color="auto" w:sz="2" w:space="0"/>
              <w:right w:val="single" w:color="auto" w:sz="2" w:space="0"/>
            </w:tcBorders>
            <w:vAlign w:val="center"/>
          </w:tcPr>
          <w:p w14:paraId="7777EF14">
            <w:pPr>
              <w:spacing w:line="240" w:lineRule="exact"/>
              <w:jc w:val="right"/>
              <w:rPr>
                <w:rFonts w:ascii="宋体" w:hAnsi="宋体" w:eastAsia="宋体" w:cs="宋体"/>
                <w:sz w:val="18"/>
                <w:szCs w:val="18"/>
              </w:rPr>
            </w:pPr>
            <w:r>
              <w:rPr>
                <w:rFonts w:ascii="宋体" w:hAnsi="宋体" w:eastAsia="宋体" w:cs="宋体"/>
                <w:sz w:val="18"/>
                <w:szCs w:val="18"/>
              </w:rPr>
              <w:t>221,258,847.50</w:t>
            </w:r>
          </w:p>
        </w:tc>
        <w:tc>
          <w:tcPr>
            <w:tcW w:w="1377" w:type="dxa"/>
            <w:tcBorders>
              <w:top w:val="single" w:color="auto" w:sz="2" w:space="0"/>
              <w:left w:val="single" w:color="auto" w:sz="2" w:space="0"/>
              <w:bottom w:val="single" w:color="auto" w:sz="2" w:space="0"/>
              <w:right w:val="single" w:color="auto" w:sz="2" w:space="0"/>
            </w:tcBorders>
            <w:vAlign w:val="center"/>
          </w:tcPr>
          <w:p w14:paraId="4F1BBDDD">
            <w:pPr>
              <w:spacing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4F9AD4">
            <w:pPr>
              <w:spacing w:line="240" w:lineRule="exact"/>
              <w:jc w:val="right"/>
              <w:rPr>
                <w:rFonts w:ascii="宋体" w:hAnsi="宋体" w:eastAsia="宋体" w:cs="宋体"/>
                <w:sz w:val="18"/>
                <w:szCs w:val="18"/>
              </w:rPr>
            </w:pPr>
            <w:r>
              <w:rPr>
                <w:rFonts w:ascii="宋体" w:hAnsi="宋体" w:eastAsia="宋体" w:cs="宋体"/>
                <w:sz w:val="18"/>
                <w:szCs w:val="18"/>
              </w:rPr>
              <w:t>221,258,847.50</w:t>
            </w:r>
          </w:p>
        </w:tc>
      </w:tr>
      <w:tr w14:paraId="710B4336">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C13F056">
            <w:pPr>
              <w:spacing w:before="40" w:after="40" w:line="240" w:lineRule="exact"/>
              <w:rPr>
                <w:rFonts w:ascii="宋体" w:hAnsi="宋体" w:eastAsia="宋体" w:cs="宋体"/>
                <w:sz w:val="18"/>
                <w:szCs w:val="18"/>
              </w:rPr>
            </w:pPr>
            <w:r>
              <w:rPr>
                <w:rFonts w:ascii="宋体" w:hAnsi="宋体" w:eastAsia="宋体" w:cs="宋体"/>
                <w:sz w:val="18"/>
                <w:szCs w:val="18"/>
              </w:rPr>
              <w:t>对联营、合营企业投资</w:t>
            </w:r>
          </w:p>
        </w:tc>
        <w:tc>
          <w:tcPr>
            <w:tcW w:w="1377" w:type="dxa"/>
            <w:tcBorders>
              <w:top w:val="single" w:color="auto" w:sz="2" w:space="0"/>
              <w:left w:val="single" w:color="auto" w:sz="2" w:space="0"/>
              <w:bottom w:val="single" w:color="auto" w:sz="2" w:space="0"/>
              <w:right w:val="single" w:color="auto" w:sz="2" w:space="0"/>
            </w:tcBorders>
            <w:vAlign w:val="center"/>
          </w:tcPr>
          <w:p w14:paraId="13F7CFF0">
            <w:pPr>
              <w:spacing w:line="240" w:lineRule="exact"/>
              <w:jc w:val="right"/>
              <w:rPr>
                <w:rFonts w:ascii="宋体" w:hAnsi="宋体" w:eastAsia="宋体" w:cs="宋体"/>
                <w:sz w:val="18"/>
                <w:szCs w:val="18"/>
              </w:rPr>
            </w:pPr>
            <w:r>
              <w:rPr>
                <w:rFonts w:ascii="宋体" w:hAnsi="宋体" w:eastAsia="宋体" w:cs="宋体"/>
                <w:sz w:val="18"/>
                <w:szCs w:val="18"/>
              </w:rPr>
              <w:t>442,625,095.09</w:t>
            </w:r>
          </w:p>
        </w:tc>
        <w:tc>
          <w:tcPr>
            <w:tcW w:w="1377" w:type="dxa"/>
            <w:tcBorders>
              <w:top w:val="single" w:color="auto" w:sz="2" w:space="0"/>
              <w:left w:val="single" w:color="auto" w:sz="2" w:space="0"/>
              <w:bottom w:val="single" w:color="auto" w:sz="2" w:space="0"/>
              <w:right w:val="single" w:color="auto" w:sz="2" w:space="0"/>
            </w:tcBorders>
            <w:vAlign w:val="center"/>
          </w:tcPr>
          <w:p w14:paraId="24F0E29C">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1377" w:type="dxa"/>
            <w:tcBorders>
              <w:top w:val="single" w:color="auto" w:sz="2" w:space="0"/>
              <w:left w:val="single" w:color="auto" w:sz="2" w:space="0"/>
              <w:bottom w:val="single" w:color="auto" w:sz="2" w:space="0"/>
              <w:right w:val="single" w:color="auto" w:sz="2" w:space="0"/>
            </w:tcBorders>
            <w:vAlign w:val="center"/>
          </w:tcPr>
          <w:p w14:paraId="48324BE5">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1377" w:type="dxa"/>
            <w:tcBorders>
              <w:top w:val="single" w:color="auto" w:sz="2" w:space="0"/>
              <w:left w:val="single" w:color="auto" w:sz="2" w:space="0"/>
              <w:bottom w:val="single" w:color="auto" w:sz="2" w:space="0"/>
              <w:right w:val="single" w:color="auto" w:sz="2" w:space="0"/>
            </w:tcBorders>
            <w:vAlign w:val="center"/>
          </w:tcPr>
          <w:p w14:paraId="4C966622">
            <w:pPr>
              <w:spacing w:line="240" w:lineRule="exact"/>
              <w:jc w:val="right"/>
              <w:rPr>
                <w:rFonts w:ascii="宋体" w:hAnsi="宋体" w:eastAsia="宋体" w:cs="宋体"/>
                <w:sz w:val="18"/>
                <w:szCs w:val="18"/>
              </w:rPr>
            </w:pPr>
            <w:r>
              <w:rPr>
                <w:rFonts w:ascii="宋体" w:hAnsi="宋体" w:eastAsia="宋体" w:cs="宋体"/>
                <w:sz w:val="18"/>
                <w:szCs w:val="18"/>
              </w:rPr>
              <w:t>445,870,945.76</w:t>
            </w:r>
          </w:p>
        </w:tc>
        <w:tc>
          <w:tcPr>
            <w:tcW w:w="1377" w:type="dxa"/>
            <w:tcBorders>
              <w:top w:val="single" w:color="auto" w:sz="2" w:space="0"/>
              <w:left w:val="single" w:color="auto" w:sz="2" w:space="0"/>
              <w:bottom w:val="single" w:color="auto" w:sz="2" w:space="0"/>
              <w:right w:val="single" w:color="auto" w:sz="2" w:space="0"/>
            </w:tcBorders>
            <w:vAlign w:val="center"/>
          </w:tcPr>
          <w:p w14:paraId="40D90D4E">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1377" w:type="dxa"/>
            <w:tcBorders>
              <w:top w:val="single" w:color="auto" w:sz="2" w:space="0"/>
              <w:left w:val="single" w:color="auto" w:sz="2" w:space="0"/>
              <w:bottom w:val="single" w:color="auto" w:sz="2" w:space="0"/>
              <w:right w:val="single" w:color="auto" w:sz="2" w:space="0"/>
            </w:tcBorders>
            <w:vAlign w:val="center"/>
          </w:tcPr>
          <w:p w14:paraId="61E032D7">
            <w:pPr>
              <w:spacing w:line="240" w:lineRule="exact"/>
              <w:jc w:val="right"/>
              <w:rPr>
                <w:rFonts w:ascii="宋体" w:hAnsi="宋体" w:eastAsia="宋体" w:cs="宋体"/>
                <w:sz w:val="18"/>
                <w:szCs w:val="18"/>
              </w:rPr>
            </w:pPr>
            <w:r>
              <w:rPr>
                <w:rFonts w:ascii="宋体" w:hAnsi="宋体" w:eastAsia="宋体" w:cs="宋体"/>
                <w:sz w:val="18"/>
                <w:szCs w:val="18"/>
              </w:rPr>
              <w:t>189,821,527.71</w:t>
            </w:r>
          </w:p>
        </w:tc>
      </w:tr>
      <w:tr w14:paraId="5C197A50">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1E580A">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1F24675A">
            <w:pPr>
              <w:spacing w:line="240" w:lineRule="exact"/>
              <w:jc w:val="right"/>
              <w:rPr>
                <w:rFonts w:ascii="宋体" w:hAnsi="宋体" w:eastAsia="宋体" w:cs="宋体"/>
                <w:sz w:val="18"/>
                <w:szCs w:val="18"/>
              </w:rPr>
            </w:pPr>
            <w:r>
              <w:rPr>
                <w:rFonts w:ascii="宋体" w:hAnsi="宋体" w:eastAsia="宋体" w:cs="宋体"/>
                <w:sz w:val="18"/>
                <w:szCs w:val="18"/>
              </w:rPr>
              <w:t>663,883,942.59</w:t>
            </w:r>
          </w:p>
        </w:tc>
        <w:tc>
          <w:tcPr>
            <w:tcW w:w="1377" w:type="dxa"/>
            <w:tcBorders>
              <w:top w:val="single" w:color="auto" w:sz="2" w:space="0"/>
              <w:left w:val="single" w:color="auto" w:sz="2" w:space="0"/>
              <w:bottom w:val="single" w:color="auto" w:sz="2" w:space="0"/>
              <w:right w:val="single" w:color="auto" w:sz="2" w:space="0"/>
            </w:tcBorders>
            <w:vAlign w:val="center"/>
          </w:tcPr>
          <w:p w14:paraId="529DBADD">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1377" w:type="dxa"/>
            <w:tcBorders>
              <w:top w:val="single" w:color="auto" w:sz="2" w:space="0"/>
              <w:left w:val="single" w:color="auto" w:sz="2" w:space="0"/>
              <w:bottom w:val="single" w:color="auto" w:sz="2" w:space="0"/>
              <w:right w:val="single" w:color="auto" w:sz="2" w:space="0"/>
            </w:tcBorders>
            <w:vAlign w:val="center"/>
          </w:tcPr>
          <w:p w14:paraId="0816A1F5">
            <w:pPr>
              <w:spacing w:line="240" w:lineRule="exact"/>
              <w:jc w:val="right"/>
              <w:rPr>
                <w:rFonts w:ascii="宋体" w:hAnsi="宋体" w:eastAsia="宋体" w:cs="宋体"/>
                <w:sz w:val="18"/>
                <w:szCs w:val="18"/>
              </w:rPr>
            </w:pPr>
            <w:r>
              <w:rPr>
                <w:rFonts w:ascii="宋体" w:hAnsi="宋体" w:eastAsia="宋体" w:cs="宋体"/>
                <w:sz w:val="18"/>
                <w:szCs w:val="18"/>
              </w:rPr>
              <w:t>407,834,524.54</w:t>
            </w:r>
          </w:p>
        </w:tc>
        <w:tc>
          <w:tcPr>
            <w:tcW w:w="1377" w:type="dxa"/>
            <w:tcBorders>
              <w:top w:val="single" w:color="auto" w:sz="2" w:space="0"/>
              <w:left w:val="single" w:color="auto" w:sz="2" w:space="0"/>
              <w:bottom w:val="single" w:color="auto" w:sz="2" w:space="0"/>
              <w:right w:val="single" w:color="auto" w:sz="2" w:space="0"/>
            </w:tcBorders>
            <w:vAlign w:val="center"/>
          </w:tcPr>
          <w:p w14:paraId="674FD62B">
            <w:pPr>
              <w:spacing w:line="240" w:lineRule="exact"/>
              <w:jc w:val="right"/>
              <w:rPr>
                <w:rFonts w:ascii="宋体" w:hAnsi="宋体" w:eastAsia="宋体" w:cs="宋体"/>
                <w:sz w:val="18"/>
                <w:szCs w:val="18"/>
              </w:rPr>
            </w:pPr>
            <w:r>
              <w:rPr>
                <w:rFonts w:ascii="宋体" w:hAnsi="宋体" w:eastAsia="宋体" w:cs="宋体"/>
                <w:sz w:val="18"/>
                <w:szCs w:val="18"/>
              </w:rPr>
              <w:t>667,129,793.26</w:t>
            </w:r>
          </w:p>
        </w:tc>
        <w:tc>
          <w:tcPr>
            <w:tcW w:w="1377" w:type="dxa"/>
            <w:tcBorders>
              <w:top w:val="single" w:color="auto" w:sz="2" w:space="0"/>
              <w:left w:val="single" w:color="auto" w:sz="2" w:space="0"/>
              <w:bottom w:val="single" w:color="auto" w:sz="2" w:space="0"/>
              <w:right w:val="single" w:color="auto" w:sz="2" w:space="0"/>
            </w:tcBorders>
            <w:vAlign w:val="center"/>
          </w:tcPr>
          <w:p w14:paraId="7CD8293A">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1377" w:type="dxa"/>
            <w:tcBorders>
              <w:top w:val="single" w:color="auto" w:sz="2" w:space="0"/>
              <w:left w:val="single" w:color="auto" w:sz="2" w:space="0"/>
              <w:bottom w:val="single" w:color="auto" w:sz="2" w:space="0"/>
              <w:right w:val="single" w:color="auto" w:sz="2" w:space="0"/>
            </w:tcBorders>
            <w:vAlign w:val="center"/>
          </w:tcPr>
          <w:p w14:paraId="0BB28EB5">
            <w:pPr>
              <w:spacing w:line="240" w:lineRule="exact"/>
              <w:jc w:val="right"/>
              <w:rPr>
                <w:rFonts w:ascii="宋体" w:hAnsi="宋体" w:eastAsia="宋体" w:cs="宋体"/>
                <w:sz w:val="18"/>
                <w:szCs w:val="18"/>
              </w:rPr>
            </w:pPr>
            <w:r>
              <w:rPr>
                <w:rFonts w:ascii="宋体" w:hAnsi="宋体" w:eastAsia="宋体" w:cs="宋体"/>
                <w:sz w:val="18"/>
                <w:szCs w:val="18"/>
              </w:rPr>
              <w:t>411,080,375.21</w:t>
            </w:r>
          </w:p>
        </w:tc>
      </w:tr>
    </w:tbl>
    <w:p w14:paraId="5876309E">
      <w:pPr>
        <w:keepNext/>
        <w:keepLines/>
        <w:spacing w:before="300" w:after="100" w:line="280" w:lineRule="exact"/>
        <w:outlineLvl w:val="3"/>
        <w:rPr>
          <w:rFonts w:ascii="宋体" w:hAnsi="宋体" w:eastAsia="宋体" w:cs="宋体"/>
          <w:b/>
          <w:bCs/>
          <w:szCs w:val="21"/>
        </w:rPr>
      </w:pPr>
      <w:bookmarkStart w:id="540" w:name="_Toc989429"/>
      <w:r>
        <w:rPr>
          <w:rFonts w:ascii="宋体" w:hAnsi="宋体" w:eastAsia="宋体" w:cs="宋体"/>
          <w:b/>
          <w:bCs/>
          <w:szCs w:val="21"/>
        </w:rPr>
        <w:t>（1） 对子公司投资</w:t>
      </w:r>
      <w:bookmarkEnd w:id="540"/>
    </w:p>
    <w:p w14:paraId="49340A4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482DB23F">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7ACFFB">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89C4F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期初余额（账面价值）</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574B5E">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减值准备期初余额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DF3421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本期增减变动</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3B709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期末余额（账面价值）</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5BB4A3">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减值准备期末余额</w:t>
            </w:r>
          </w:p>
        </w:tc>
      </w:tr>
      <w:tr w14:paraId="1805EA62">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1BFD58"/>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8D2E65E"/>
        </w:tc>
        <w:tc>
          <w:tcPr>
            <w:tcW w:w="1071" w:type="dxa"/>
            <w:vMerge w:val="continue"/>
            <w:tcBorders>
              <w:top w:val="single" w:color="auto" w:sz="2" w:space="0"/>
              <w:left w:val="single" w:color="auto" w:sz="2" w:space="0"/>
              <w:bottom w:val="single" w:color="auto" w:sz="2" w:space="0"/>
              <w:right w:val="single" w:color="auto" w:sz="2" w:space="0"/>
            </w:tcBorders>
            <w:vAlign w:val="center"/>
          </w:tcPr>
          <w:p w14:paraId="4DDC965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2805A8E">
            <w:pPr>
              <w:spacing w:before="40" w:after="40" w:line="240" w:lineRule="exact"/>
              <w:jc w:val="center"/>
              <w:rPr>
                <w:rFonts w:ascii="宋体" w:hAnsi="宋体" w:eastAsia="宋体" w:cs="宋体"/>
                <w:sz w:val="18"/>
                <w:szCs w:val="18"/>
              </w:rPr>
            </w:pPr>
            <w:r>
              <w:rPr>
                <w:rFonts w:ascii="宋体" w:hAnsi="宋体" w:eastAsia="宋体" w:cs="宋体"/>
                <w:sz w:val="18"/>
                <w:szCs w:val="18"/>
              </w:rPr>
              <w:t>追加投资</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11EAFFC">
            <w:pPr>
              <w:spacing w:before="40" w:after="40" w:line="240" w:lineRule="exact"/>
              <w:jc w:val="center"/>
              <w:rPr>
                <w:rFonts w:ascii="宋体" w:hAnsi="宋体" w:eastAsia="宋体" w:cs="宋体"/>
                <w:sz w:val="18"/>
                <w:szCs w:val="18"/>
              </w:rPr>
            </w:pPr>
            <w:r>
              <w:rPr>
                <w:rFonts w:ascii="宋体" w:hAnsi="宋体" w:eastAsia="宋体" w:cs="宋体"/>
                <w:sz w:val="18"/>
                <w:szCs w:val="18"/>
              </w:rPr>
              <w:t>减少投资</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522B72">
            <w:pPr>
              <w:spacing w:before="40" w:after="40" w:line="240" w:lineRule="exact"/>
              <w:jc w:val="center"/>
              <w:rPr>
                <w:rFonts w:ascii="宋体" w:hAnsi="宋体" w:eastAsia="宋体" w:cs="宋体"/>
                <w:sz w:val="18"/>
                <w:szCs w:val="18"/>
              </w:rPr>
            </w:pPr>
            <w:r>
              <w:rPr>
                <w:rFonts w:ascii="宋体" w:hAnsi="宋体" w:eastAsia="宋体" w:cs="宋体"/>
                <w:sz w:val="18"/>
                <w:szCs w:val="18"/>
              </w:rPr>
              <w:t>计提减值准备</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859602C">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7CB54D3"/>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E81E39E"/>
        </w:tc>
      </w:tr>
      <w:tr w14:paraId="7349DC0A">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5FD7E1B">
            <w:pPr>
              <w:spacing w:line="240" w:lineRule="exact"/>
              <w:rPr>
                <w:rFonts w:ascii="宋体" w:hAnsi="宋体" w:eastAsia="宋体" w:cs="宋体"/>
                <w:sz w:val="18"/>
                <w:szCs w:val="18"/>
              </w:rPr>
            </w:pPr>
            <w:r>
              <w:rPr>
                <w:rFonts w:ascii="宋体" w:hAnsi="宋体" w:eastAsia="宋体" w:cs="宋体"/>
                <w:sz w:val="18"/>
                <w:szCs w:val="18"/>
              </w:rPr>
              <w:t>西藏拉萨啤酒有限公司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58DB96BE">
            <w:pPr>
              <w:spacing w:line="240" w:lineRule="exact"/>
              <w:jc w:val="right"/>
              <w:rPr>
                <w:rFonts w:ascii="宋体" w:hAnsi="宋体" w:eastAsia="宋体" w:cs="宋体"/>
                <w:sz w:val="18"/>
                <w:szCs w:val="18"/>
              </w:rPr>
            </w:pPr>
            <w:r>
              <w:rPr>
                <w:rFonts w:ascii="宋体" w:hAnsi="宋体" w:eastAsia="宋体" w:cs="宋体"/>
                <w:sz w:val="18"/>
                <w:szCs w:val="18"/>
              </w:rPr>
              <w:t>190,008,847.50</w:t>
            </w:r>
          </w:p>
        </w:tc>
        <w:tc>
          <w:tcPr>
            <w:tcW w:w="1071" w:type="dxa"/>
            <w:tcBorders>
              <w:top w:val="single" w:color="auto" w:sz="2" w:space="0"/>
              <w:left w:val="single" w:color="auto" w:sz="2" w:space="0"/>
              <w:bottom w:val="single" w:color="auto" w:sz="2" w:space="0"/>
              <w:right w:val="single" w:color="auto" w:sz="2" w:space="0"/>
            </w:tcBorders>
            <w:vAlign w:val="center"/>
          </w:tcPr>
          <w:p w14:paraId="7B32D50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2478B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A37DD6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C36430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B5AE9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CF6E0C5">
            <w:pPr>
              <w:spacing w:line="240" w:lineRule="exact"/>
              <w:jc w:val="right"/>
              <w:rPr>
                <w:rFonts w:ascii="宋体" w:hAnsi="宋体" w:eastAsia="宋体" w:cs="宋体"/>
                <w:sz w:val="18"/>
                <w:szCs w:val="18"/>
              </w:rPr>
            </w:pPr>
            <w:r>
              <w:rPr>
                <w:rFonts w:ascii="宋体" w:hAnsi="宋体" w:eastAsia="宋体" w:cs="宋体"/>
                <w:sz w:val="18"/>
                <w:szCs w:val="18"/>
              </w:rPr>
              <w:t>190,008,847.50</w:t>
            </w:r>
          </w:p>
        </w:tc>
        <w:tc>
          <w:tcPr>
            <w:tcW w:w="1071" w:type="dxa"/>
            <w:tcBorders>
              <w:top w:val="single" w:color="auto" w:sz="2" w:space="0"/>
              <w:left w:val="single" w:color="auto" w:sz="2" w:space="0"/>
              <w:bottom w:val="single" w:color="auto" w:sz="2" w:space="0"/>
              <w:right w:val="single" w:color="auto" w:sz="2" w:space="0"/>
            </w:tcBorders>
            <w:vAlign w:val="center"/>
          </w:tcPr>
          <w:p w14:paraId="1619B538">
            <w:pPr>
              <w:spacing w:line="240" w:lineRule="exact"/>
              <w:jc w:val="right"/>
              <w:rPr>
                <w:rFonts w:ascii="宋体" w:hAnsi="宋体" w:eastAsia="宋体" w:cs="宋体"/>
                <w:sz w:val="18"/>
                <w:szCs w:val="18"/>
              </w:rPr>
            </w:pPr>
          </w:p>
        </w:tc>
      </w:tr>
      <w:tr w14:paraId="127914F5">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38B5C66">
            <w:pPr>
              <w:spacing w:line="240" w:lineRule="exact"/>
              <w:rPr>
                <w:rFonts w:ascii="宋体" w:hAnsi="宋体" w:eastAsia="宋体" w:cs="宋体"/>
                <w:sz w:val="18"/>
                <w:szCs w:val="18"/>
              </w:rPr>
            </w:pPr>
            <w:r>
              <w:rPr>
                <w:rFonts w:ascii="宋体" w:hAnsi="宋体" w:eastAsia="宋体" w:cs="宋体"/>
                <w:sz w:val="18"/>
                <w:szCs w:val="18"/>
              </w:rPr>
              <w:t>西藏藏红花生物科技开发有限公司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44649D21">
            <w:pPr>
              <w:spacing w:line="240" w:lineRule="exact"/>
              <w:jc w:val="right"/>
              <w:rPr>
                <w:rFonts w:ascii="宋体" w:hAnsi="宋体" w:eastAsia="宋体" w:cs="宋体"/>
                <w:sz w:val="18"/>
                <w:szCs w:val="18"/>
              </w:rPr>
            </w:pPr>
            <w:r>
              <w:rPr>
                <w:rFonts w:ascii="宋体" w:hAnsi="宋体" w:eastAsia="宋体" w:cs="宋体"/>
                <w:sz w:val="18"/>
                <w:szCs w:val="18"/>
              </w:rPr>
              <w:t>4,750,000.00</w:t>
            </w:r>
          </w:p>
        </w:tc>
        <w:tc>
          <w:tcPr>
            <w:tcW w:w="1071" w:type="dxa"/>
            <w:tcBorders>
              <w:top w:val="single" w:color="auto" w:sz="2" w:space="0"/>
              <w:left w:val="single" w:color="auto" w:sz="2" w:space="0"/>
              <w:bottom w:val="single" w:color="auto" w:sz="2" w:space="0"/>
              <w:right w:val="single" w:color="auto" w:sz="2" w:space="0"/>
            </w:tcBorders>
            <w:vAlign w:val="center"/>
          </w:tcPr>
          <w:p w14:paraId="62ECE05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6846C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F6FDE7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B742F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E90EA9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84ECDC">
            <w:pPr>
              <w:spacing w:line="240" w:lineRule="exact"/>
              <w:jc w:val="right"/>
              <w:rPr>
                <w:rFonts w:ascii="宋体" w:hAnsi="宋体" w:eastAsia="宋体" w:cs="宋体"/>
                <w:sz w:val="18"/>
                <w:szCs w:val="18"/>
              </w:rPr>
            </w:pPr>
            <w:r>
              <w:rPr>
                <w:rFonts w:ascii="宋体" w:hAnsi="宋体" w:eastAsia="宋体" w:cs="宋体"/>
                <w:sz w:val="18"/>
                <w:szCs w:val="18"/>
              </w:rPr>
              <w:t>4,750,000.00</w:t>
            </w:r>
          </w:p>
        </w:tc>
        <w:tc>
          <w:tcPr>
            <w:tcW w:w="1071" w:type="dxa"/>
            <w:tcBorders>
              <w:top w:val="single" w:color="auto" w:sz="2" w:space="0"/>
              <w:left w:val="single" w:color="auto" w:sz="2" w:space="0"/>
              <w:bottom w:val="single" w:color="auto" w:sz="2" w:space="0"/>
              <w:right w:val="single" w:color="auto" w:sz="2" w:space="0"/>
            </w:tcBorders>
            <w:vAlign w:val="center"/>
          </w:tcPr>
          <w:p w14:paraId="4E7FA8BC">
            <w:pPr>
              <w:spacing w:line="240" w:lineRule="exact"/>
              <w:jc w:val="right"/>
              <w:rPr>
                <w:rFonts w:ascii="宋体" w:hAnsi="宋体" w:eastAsia="宋体" w:cs="宋体"/>
                <w:sz w:val="18"/>
                <w:szCs w:val="18"/>
              </w:rPr>
            </w:pPr>
          </w:p>
        </w:tc>
      </w:tr>
      <w:tr w14:paraId="31BDF3C1">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A25BA9E">
            <w:pPr>
              <w:spacing w:line="240" w:lineRule="exact"/>
              <w:rPr>
                <w:rFonts w:ascii="宋体" w:hAnsi="宋体" w:eastAsia="宋体" w:cs="宋体"/>
                <w:sz w:val="18"/>
                <w:szCs w:val="18"/>
              </w:rPr>
            </w:pPr>
            <w:r>
              <w:rPr>
                <w:rFonts w:ascii="宋体" w:hAnsi="宋体" w:eastAsia="宋体" w:cs="宋体"/>
                <w:sz w:val="18"/>
                <w:szCs w:val="18"/>
              </w:rPr>
              <w:t>日喀则圣源啤酒有限公有限公司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4752168">
            <w:pPr>
              <w:spacing w:line="240" w:lineRule="exact"/>
              <w:jc w:val="right"/>
              <w:rPr>
                <w:rFonts w:ascii="宋体" w:hAnsi="宋体" w:eastAsia="宋体" w:cs="宋体"/>
                <w:sz w:val="18"/>
                <w:szCs w:val="18"/>
              </w:rPr>
            </w:pPr>
            <w:r>
              <w:rPr>
                <w:rFonts w:ascii="宋体" w:hAnsi="宋体" w:eastAsia="宋体" w:cs="宋体"/>
                <w:sz w:val="18"/>
                <w:szCs w:val="18"/>
              </w:rPr>
              <w:t>7,000,000.00</w:t>
            </w:r>
          </w:p>
        </w:tc>
        <w:tc>
          <w:tcPr>
            <w:tcW w:w="1071" w:type="dxa"/>
            <w:tcBorders>
              <w:top w:val="single" w:color="auto" w:sz="2" w:space="0"/>
              <w:left w:val="single" w:color="auto" w:sz="2" w:space="0"/>
              <w:bottom w:val="single" w:color="auto" w:sz="2" w:space="0"/>
              <w:right w:val="single" w:color="auto" w:sz="2" w:space="0"/>
            </w:tcBorders>
            <w:vAlign w:val="center"/>
          </w:tcPr>
          <w:p w14:paraId="3C8F5CB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2E57CD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F387E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1B127B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4D9B4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4AE00B">
            <w:pPr>
              <w:spacing w:line="240" w:lineRule="exact"/>
              <w:jc w:val="right"/>
              <w:rPr>
                <w:rFonts w:ascii="宋体" w:hAnsi="宋体" w:eastAsia="宋体" w:cs="宋体"/>
                <w:sz w:val="18"/>
                <w:szCs w:val="18"/>
              </w:rPr>
            </w:pPr>
            <w:r>
              <w:rPr>
                <w:rFonts w:ascii="宋体" w:hAnsi="宋体" w:eastAsia="宋体" w:cs="宋体"/>
                <w:sz w:val="18"/>
                <w:szCs w:val="18"/>
              </w:rPr>
              <w:t>7,000,000.00</w:t>
            </w:r>
          </w:p>
        </w:tc>
        <w:tc>
          <w:tcPr>
            <w:tcW w:w="1071" w:type="dxa"/>
            <w:tcBorders>
              <w:top w:val="single" w:color="auto" w:sz="2" w:space="0"/>
              <w:left w:val="single" w:color="auto" w:sz="2" w:space="0"/>
              <w:bottom w:val="single" w:color="auto" w:sz="2" w:space="0"/>
              <w:right w:val="single" w:color="auto" w:sz="2" w:space="0"/>
            </w:tcBorders>
            <w:vAlign w:val="center"/>
          </w:tcPr>
          <w:p w14:paraId="5381B307">
            <w:pPr>
              <w:spacing w:line="240" w:lineRule="exact"/>
              <w:jc w:val="right"/>
              <w:rPr>
                <w:rFonts w:ascii="宋体" w:hAnsi="宋体" w:eastAsia="宋体" w:cs="宋体"/>
                <w:sz w:val="18"/>
                <w:szCs w:val="18"/>
              </w:rPr>
            </w:pPr>
          </w:p>
        </w:tc>
      </w:tr>
      <w:tr w14:paraId="633A00B9">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F3CFDAA">
            <w:pPr>
              <w:spacing w:line="240" w:lineRule="exact"/>
              <w:rPr>
                <w:rFonts w:ascii="宋体" w:hAnsi="宋体" w:eastAsia="宋体" w:cs="宋体"/>
                <w:sz w:val="18"/>
                <w:szCs w:val="18"/>
              </w:rPr>
            </w:pPr>
            <w:r>
              <w:rPr>
                <w:rFonts w:ascii="宋体" w:hAnsi="宋体" w:eastAsia="宋体" w:cs="宋体"/>
                <w:sz w:val="18"/>
                <w:szCs w:val="18"/>
              </w:rPr>
              <w:t>西藏银河信息产业有限公司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41DC58B2">
            <w:pPr>
              <w:spacing w:line="240" w:lineRule="exact"/>
              <w:jc w:val="right"/>
              <w:rPr>
                <w:rFonts w:ascii="宋体" w:hAnsi="宋体" w:eastAsia="宋体" w:cs="宋体"/>
                <w:sz w:val="18"/>
                <w:szCs w:val="18"/>
              </w:rPr>
            </w:pPr>
            <w:r>
              <w:rPr>
                <w:rFonts w:ascii="宋体" w:hAnsi="宋体" w:eastAsia="宋体" w:cs="宋体"/>
                <w:sz w:val="18"/>
                <w:szCs w:val="18"/>
              </w:rPr>
              <w:t>9,500,000.00</w:t>
            </w:r>
          </w:p>
        </w:tc>
        <w:tc>
          <w:tcPr>
            <w:tcW w:w="1071" w:type="dxa"/>
            <w:tcBorders>
              <w:top w:val="single" w:color="auto" w:sz="2" w:space="0"/>
              <w:left w:val="single" w:color="auto" w:sz="2" w:space="0"/>
              <w:bottom w:val="single" w:color="auto" w:sz="2" w:space="0"/>
              <w:right w:val="single" w:color="auto" w:sz="2" w:space="0"/>
            </w:tcBorders>
            <w:vAlign w:val="center"/>
          </w:tcPr>
          <w:p w14:paraId="3D437AC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0C9330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B66EA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BED1F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8A6C9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73BD2F">
            <w:pPr>
              <w:spacing w:line="240" w:lineRule="exact"/>
              <w:jc w:val="right"/>
              <w:rPr>
                <w:rFonts w:ascii="宋体" w:hAnsi="宋体" w:eastAsia="宋体" w:cs="宋体"/>
                <w:sz w:val="18"/>
                <w:szCs w:val="18"/>
              </w:rPr>
            </w:pPr>
            <w:r>
              <w:rPr>
                <w:rFonts w:ascii="宋体" w:hAnsi="宋体" w:eastAsia="宋体" w:cs="宋体"/>
                <w:sz w:val="18"/>
                <w:szCs w:val="18"/>
              </w:rPr>
              <w:t>9,500,000.00</w:t>
            </w:r>
          </w:p>
        </w:tc>
        <w:tc>
          <w:tcPr>
            <w:tcW w:w="1071" w:type="dxa"/>
            <w:tcBorders>
              <w:top w:val="single" w:color="auto" w:sz="2" w:space="0"/>
              <w:left w:val="single" w:color="auto" w:sz="2" w:space="0"/>
              <w:bottom w:val="single" w:color="auto" w:sz="2" w:space="0"/>
              <w:right w:val="single" w:color="auto" w:sz="2" w:space="0"/>
            </w:tcBorders>
            <w:vAlign w:val="center"/>
          </w:tcPr>
          <w:p w14:paraId="792D8AFD">
            <w:pPr>
              <w:spacing w:line="240" w:lineRule="exact"/>
              <w:jc w:val="right"/>
              <w:rPr>
                <w:rFonts w:ascii="宋体" w:hAnsi="宋体" w:eastAsia="宋体" w:cs="宋体"/>
                <w:sz w:val="18"/>
                <w:szCs w:val="18"/>
              </w:rPr>
            </w:pPr>
          </w:p>
        </w:tc>
      </w:tr>
      <w:tr w14:paraId="79215DAD">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33A99F1">
            <w:pPr>
              <w:spacing w:line="240" w:lineRule="exact"/>
              <w:rPr>
                <w:rFonts w:ascii="宋体" w:hAnsi="宋体" w:eastAsia="宋体" w:cs="宋体"/>
                <w:sz w:val="18"/>
                <w:szCs w:val="18"/>
              </w:rPr>
            </w:pPr>
            <w:r>
              <w:rPr>
                <w:rFonts w:ascii="宋体" w:hAnsi="宋体" w:eastAsia="宋体" w:cs="宋体"/>
                <w:sz w:val="18"/>
                <w:szCs w:val="18"/>
              </w:rPr>
              <w:t>西藏银河商贸有限公司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3A307922">
            <w:pPr>
              <w:spacing w:line="240" w:lineRule="exact"/>
              <w:jc w:val="right"/>
              <w:rPr>
                <w:rFonts w:ascii="宋体" w:hAnsi="宋体" w:eastAsia="宋体" w:cs="宋体"/>
                <w:sz w:val="18"/>
                <w:szCs w:val="18"/>
              </w:rPr>
            </w:pPr>
            <w:r>
              <w:rPr>
                <w:rFonts w:ascii="宋体" w:hAnsi="宋体" w:eastAsia="宋体" w:cs="宋体"/>
                <w:sz w:val="18"/>
                <w:szCs w:val="18"/>
              </w:rPr>
              <w:t>10,000,000.00</w:t>
            </w:r>
          </w:p>
        </w:tc>
        <w:tc>
          <w:tcPr>
            <w:tcW w:w="1071" w:type="dxa"/>
            <w:tcBorders>
              <w:top w:val="single" w:color="auto" w:sz="2" w:space="0"/>
              <w:left w:val="single" w:color="auto" w:sz="2" w:space="0"/>
              <w:bottom w:val="single" w:color="auto" w:sz="2" w:space="0"/>
              <w:right w:val="single" w:color="auto" w:sz="2" w:space="0"/>
            </w:tcBorders>
            <w:vAlign w:val="center"/>
          </w:tcPr>
          <w:p w14:paraId="70A3EB3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844D7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D9D957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7AF28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B632C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C6D60E">
            <w:pPr>
              <w:spacing w:line="240" w:lineRule="exact"/>
              <w:jc w:val="right"/>
              <w:rPr>
                <w:rFonts w:ascii="宋体" w:hAnsi="宋体" w:eastAsia="宋体" w:cs="宋体"/>
                <w:sz w:val="18"/>
                <w:szCs w:val="18"/>
              </w:rPr>
            </w:pPr>
            <w:r>
              <w:rPr>
                <w:rFonts w:ascii="宋体" w:hAnsi="宋体" w:eastAsia="宋体" w:cs="宋体"/>
                <w:sz w:val="18"/>
                <w:szCs w:val="18"/>
              </w:rPr>
              <w:t>10,000,000.00</w:t>
            </w:r>
          </w:p>
        </w:tc>
        <w:tc>
          <w:tcPr>
            <w:tcW w:w="1071" w:type="dxa"/>
            <w:tcBorders>
              <w:top w:val="single" w:color="auto" w:sz="2" w:space="0"/>
              <w:left w:val="single" w:color="auto" w:sz="2" w:space="0"/>
              <w:bottom w:val="single" w:color="auto" w:sz="2" w:space="0"/>
              <w:right w:val="single" w:color="auto" w:sz="2" w:space="0"/>
            </w:tcBorders>
            <w:vAlign w:val="center"/>
          </w:tcPr>
          <w:p w14:paraId="530EC827">
            <w:pPr>
              <w:spacing w:line="240" w:lineRule="exact"/>
              <w:jc w:val="right"/>
              <w:rPr>
                <w:rFonts w:ascii="宋体" w:hAnsi="宋体" w:eastAsia="宋体" w:cs="宋体"/>
                <w:sz w:val="18"/>
                <w:szCs w:val="18"/>
              </w:rPr>
            </w:pPr>
          </w:p>
        </w:tc>
      </w:tr>
      <w:tr w14:paraId="2C220AC2">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13AA11">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5D6FF729">
            <w:pPr>
              <w:spacing w:line="240" w:lineRule="exact"/>
              <w:jc w:val="right"/>
              <w:rPr>
                <w:rFonts w:ascii="宋体" w:hAnsi="宋体" w:eastAsia="宋体" w:cs="宋体"/>
                <w:sz w:val="18"/>
                <w:szCs w:val="18"/>
              </w:rPr>
            </w:pPr>
            <w:r>
              <w:rPr>
                <w:rFonts w:ascii="宋体" w:hAnsi="宋体" w:eastAsia="宋体" w:cs="宋体"/>
                <w:sz w:val="18"/>
                <w:szCs w:val="18"/>
              </w:rPr>
              <w:t>221,258,847.50</w:t>
            </w:r>
          </w:p>
        </w:tc>
        <w:tc>
          <w:tcPr>
            <w:tcW w:w="1071" w:type="dxa"/>
            <w:tcBorders>
              <w:top w:val="single" w:color="auto" w:sz="2" w:space="0"/>
              <w:left w:val="single" w:color="auto" w:sz="2" w:space="0"/>
              <w:bottom w:val="single" w:color="auto" w:sz="2" w:space="0"/>
              <w:right w:val="single" w:color="auto" w:sz="2" w:space="0"/>
            </w:tcBorders>
            <w:vAlign w:val="center"/>
          </w:tcPr>
          <w:p w14:paraId="2B69C77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153B4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90DF7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DA116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D989B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84CBED">
            <w:pPr>
              <w:spacing w:line="240" w:lineRule="exact"/>
              <w:jc w:val="right"/>
              <w:rPr>
                <w:rFonts w:ascii="宋体" w:hAnsi="宋体" w:eastAsia="宋体" w:cs="宋体"/>
                <w:sz w:val="18"/>
                <w:szCs w:val="18"/>
              </w:rPr>
            </w:pPr>
            <w:r>
              <w:rPr>
                <w:rFonts w:ascii="宋体" w:hAnsi="宋体" w:eastAsia="宋体" w:cs="宋体"/>
                <w:sz w:val="18"/>
                <w:szCs w:val="18"/>
              </w:rPr>
              <w:t>221,258,847.50</w:t>
            </w:r>
          </w:p>
        </w:tc>
        <w:tc>
          <w:tcPr>
            <w:tcW w:w="1071" w:type="dxa"/>
            <w:tcBorders>
              <w:top w:val="single" w:color="auto" w:sz="2" w:space="0"/>
              <w:left w:val="single" w:color="auto" w:sz="2" w:space="0"/>
              <w:bottom w:val="single" w:color="auto" w:sz="2" w:space="0"/>
              <w:right w:val="single" w:color="auto" w:sz="2" w:space="0"/>
            </w:tcBorders>
            <w:vAlign w:val="center"/>
          </w:tcPr>
          <w:p w14:paraId="1A9047E0">
            <w:pPr>
              <w:spacing w:line="240" w:lineRule="exact"/>
              <w:jc w:val="right"/>
              <w:rPr>
                <w:rFonts w:ascii="宋体" w:hAnsi="宋体" w:eastAsia="宋体" w:cs="宋体"/>
                <w:sz w:val="18"/>
                <w:szCs w:val="18"/>
              </w:rPr>
            </w:pPr>
          </w:p>
        </w:tc>
      </w:tr>
    </w:tbl>
    <w:p w14:paraId="310378AA">
      <w:pPr>
        <w:keepNext/>
        <w:keepLines/>
        <w:spacing w:before="300" w:after="100" w:line="280" w:lineRule="exact"/>
        <w:outlineLvl w:val="3"/>
        <w:rPr>
          <w:rFonts w:ascii="宋体" w:hAnsi="宋体" w:eastAsia="宋体" w:cs="宋体"/>
          <w:b/>
          <w:bCs/>
          <w:szCs w:val="21"/>
        </w:rPr>
      </w:pPr>
      <w:bookmarkStart w:id="541" w:name="_Toc989430"/>
      <w:r>
        <w:rPr>
          <w:rFonts w:ascii="宋体" w:hAnsi="宋体" w:eastAsia="宋体" w:cs="宋体"/>
          <w:b/>
          <w:bCs/>
          <w:szCs w:val="21"/>
        </w:rPr>
        <w:t>（2） 对联营、合营企业投资</w:t>
      </w:r>
      <w:bookmarkEnd w:id="541"/>
    </w:p>
    <w:p w14:paraId="6D38D07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5"/>
        <w:gridCol w:w="741"/>
        <w:gridCol w:w="743"/>
      </w:tblGrid>
      <w:tr w14:paraId="104391F1">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A28D12">
            <w:pPr>
              <w:spacing w:before="40" w:after="40" w:line="240" w:lineRule="exact"/>
              <w:jc w:val="center"/>
              <w:rPr>
                <w:rFonts w:ascii="宋体" w:hAnsi="宋体" w:eastAsia="宋体" w:cs="宋体"/>
                <w:sz w:val="18"/>
                <w:szCs w:val="18"/>
              </w:rPr>
            </w:pPr>
            <w:r>
              <w:rPr>
                <w:rFonts w:ascii="宋体" w:hAnsi="宋体" w:eastAsia="宋体" w:cs="宋体"/>
                <w:sz w:val="18"/>
                <w:szCs w:val="18"/>
              </w:rPr>
              <w:t>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0AC09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8AF430">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6AC6AA2E">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7B914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9807635">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减值准备期末余额</w:t>
            </w:r>
          </w:p>
        </w:tc>
      </w:tr>
      <w:tr w14:paraId="2E98B960">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42975B"/>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B53881"/>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07457A6B"/>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F760E46">
            <w:pPr>
              <w:spacing w:before="40" w:after="40" w:line="240" w:lineRule="exact"/>
              <w:jc w:val="center"/>
              <w:rPr>
                <w:rFonts w:ascii="宋体" w:hAnsi="宋体" w:eastAsia="宋体" w:cs="宋体"/>
                <w:sz w:val="18"/>
                <w:szCs w:val="18"/>
              </w:rPr>
            </w:pPr>
            <w:r>
              <w:rPr>
                <w:rFonts w:ascii="宋体" w:hAnsi="宋体" w:eastAsia="宋体" w:cs="宋体"/>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F0E5E22">
            <w:pPr>
              <w:spacing w:before="40" w:after="40" w:line="240" w:lineRule="exact"/>
              <w:jc w:val="center"/>
              <w:rPr>
                <w:rFonts w:ascii="宋体" w:hAnsi="宋体" w:eastAsia="宋体" w:cs="宋体"/>
                <w:sz w:val="18"/>
                <w:szCs w:val="18"/>
              </w:rPr>
            </w:pPr>
            <w:r>
              <w:rPr>
                <w:rFonts w:ascii="宋体" w:hAnsi="宋体" w:eastAsia="宋体" w:cs="宋体"/>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53E1BDD">
            <w:pPr>
              <w:spacing w:before="40" w:after="40" w:line="240" w:lineRule="exact"/>
              <w:jc w:val="center"/>
              <w:rPr>
                <w:rFonts w:ascii="宋体" w:hAnsi="宋体" w:eastAsia="宋体" w:cs="宋体"/>
                <w:sz w:val="18"/>
                <w:szCs w:val="18"/>
              </w:rPr>
            </w:pPr>
            <w:r>
              <w:rPr>
                <w:rFonts w:ascii="宋体" w:hAnsi="宋体" w:eastAsia="宋体" w:cs="宋体"/>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ABFBB22">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87AFCFE">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148567D">
            <w:pPr>
              <w:spacing w:before="40" w:after="40" w:line="240" w:lineRule="exact"/>
              <w:jc w:val="center"/>
              <w:rPr>
                <w:rFonts w:ascii="宋体" w:hAnsi="宋体" w:eastAsia="宋体" w:cs="宋体"/>
                <w:sz w:val="18"/>
                <w:szCs w:val="18"/>
              </w:rPr>
            </w:pPr>
            <w:r>
              <w:rPr>
                <w:rFonts w:ascii="宋体" w:hAnsi="宋体" w:eastAsia="宋体" w:cs="宋体"/>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F2AFEC7">
            <w:pPr>
              <w:spacing w:before="40" w:after="40" w:line="240" w:lineRule="exact"/>
              <w:jc w:val="center"/>
              <w:rPr>
                <w:rFonts w:ascii="宋体" w:hAnsi="宋体" w:eastAsia="宋体" w:cs="宋体"/>
                <w:sz w:val="18"/>
                <w:szCs w:val="18"/>
              </w:rPr>
            </w:pPr>
            <w:r>
              <w:rPr>
                <w:rFonts w:ascii="宋体" w:hAnsi="宋体" w:eastAsia="宋体" w:cs="宋体"/>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F7D24C9">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F8FCAC"/>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024187"/>
        </w:tc>
      </w:tr>
      <w:tr w14:paraId="5C2B6E62">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340C6FD8">
            <w:pPr>
              <w:spacing w:before="40" w:after="40" w:line="240" w:lineRule="exact"/>
              <w:rPr>
                <w:rFonts w:ascii="宋体" w:hAnsi="宋体" w:eastAsia="宋体" w:cs="宋体"/>
                <w:sz w:val="18"/>
                <w:szCs w:val="18"/>
              </w:rPr>
            </w:pPr>
            <w:r>
              <w:rPr>
                <w:rFonts w:ascii="宋体" w:hAnsi="宋体" w:eastAsia="宋体" w:cs="宋体"/>
                <w:sz w:val="18"/>
                <w:szCs w:val="18"/>
              </w:rPr>
              <w:t>一、合营企业</w:t>
            </w:r>
          </w:p>
        </w:tc>
      </w:tr>
      <w:tr w14:paraId="0EA3971C">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0936994B">
            <w:pPr>
              <w:spacing w:before="40" w:after="40" w:line="240" w:lineRule="exact"/>
              <w:rPr>
                <w:rFonts w:ascii="宋体" w:hAnsi="宋体" w:eastAsia="宋体" w:cs="宋体"/>
                <w:sz w:val="18"/>
                <w:szCs w:val="18"/>
              </w:rPr>
            </w:pPr>
            <w:r>
              <w:rPr>
                <w:rFonts w:ascii="宋体" w:hAnsi="宋体" w:eastAsia="宋体" w:cs="宋体"/>
                <w:sz w:val="18"/>
                <w:szCs w:val="18"/>
              </w:rPr>
              <w:t>二、联营企业</w:t>
            </w:r>
          </w:p>
        </w:tc>
      </w:tr>
      <w:tr w14:paraId="16102A66">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34E8BDE0">
            <w:pPr>
              <w:spacing w:line="240" w:lineRule="exact"/>
              <w:rPr>
                <w:rFonts w:ascii="宋体" w:hAnsi="宋体" w:eastAsia="宋体" w:cs="宋体"/>
                <w:sz w:val="18"/>
                <w:szCs w:val="18"/>
              </w:rPr>
            </w:pPr>
            <w:r>
              <w:rPr>
                <w:rFonts w:ascii="宋体" w:hAnsi="宋体" w:eastAsia="宋体" w:cs="宋体"/>
                <w:sz w:val="18"/>
                <w:szCs w:val="18"/>
              </w:rPr>
              <w:t>四川恒生科技发展有限公司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5FC916C3">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41" w:type="dxa"/>
            <w:tcBorders>
              <w:top w:val="single" w:color="auto" w:sz="2" w:space="0"/>
              <w:left w:val="single" w:color="auto" w:sz="2" w:space="0"/>
              <w:bottom w:val="single" w:color="auto" w:sz="2" w:space="0"/>
              <w:right w:val="single" w:color="auto" w:sz="2" w:space="0"/>
            </w:tcBorders>
            <w:vAlign w:val="center"/>
          </w:tcPr>
          <w:p w14:paraId="407B0F41">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051757">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5D3F91">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5C8B25">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41" w:type="dxa"/>
            <w:tcBorders>
              <w:top w:val="single" w:color="auto" w:sz="2" w:space="0"/>
              <w:left w:val="single" w:color="auto" w:sz="2" w:space="0"/>
              <w:bottom w:val="single" w:color="auto" w:sz="2" w:space="0"/>
              <w:right w:val="single" w:color="auto" w:sz="2" w:space="0"/>
            </w:tcBorders>
            <w:vAlign w:val="center"/>
          </w:tcPr>
          <w:p w14:paraId="0752F2D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3A16B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87303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50B858">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BCDB10">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2CDF82">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41" w:type="dxa"/>
            <w:tcBorders>
              <w:top w:val="single" w:color="auto" w:sz="2" w:space="0"/>
              <w:left w:val="single" w:color="auto" w:sz="2" w:space="0"/>
              <w:bottom w:val="single" w:color="auto" w:sz="2" w:space="0"/>
              <w:right w:val="single" w:color="auto" w:sz="2" w:space="0"/>
            </w:tcBorders>
            <w:vAlign w:val="center"/>
          </w:tcPr>
          <w:p w14:paraId="7B87713D">
            <w:pPr>
              <w:spacing w:line="240" w:lineRule="exact"/>
              <w:jc w:val="right"/>
              <w:rPr>
                <w:rFonts w:ascii="宋体" w:hAnsi="宋体" w:eastAsia="宋体" w:cs="宋体"/>
                <w:sz w:val="18"/>
                <w:szCs w:val="18"/>
              </w:rPr>
            </w:pPr>
          </w:p>
        </w:tc>
      </w:tr>
      <w:tr w14:paraId="67CD9B30">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05373AA3">
            <w:pPr>
              <w:spacing w:line="240" w:lineRule="exact"/>
              <w:rPr>
                <w:rFonts w:ascii="宋体" w:hAnsi="宋体" w:eastAsia="宋体" w:cs="宋体"/>
                <w:sz w:val="18"/>
                <w:szCs w:val="18"/>
              </w:rPr>
            </w:pPr>
            <w:r>
              <w:rPr>
                <w:rFonts w:ascii="宋体" w:hAnsi="宋体" w:eastAsia="宋体" w:cs="宋体"/>
                <w:sz w:val="18"/>
                <w:szCs w:val="18"/>
              </w:rPr>
              <w:t>苏州华信善达力创投资企业（有限合伙）</w:t>
            </w:r>
          </w:p>
        </w:tc>
        <w:tc>
          <w:tcPr>
            <w:tcW w:w="741" w:type="dxa"/>
            <w:tcBorders>
              <w:top w:val="single" w:color="auto" w:sz="2" w:space="0"/>
              <w:left w:val="single" w:color="auto" w:sz="2" w:space="0"/>
              <w:bottom w:val="single" w:color="auto" w:sz="2" w:space="0"/>
              <w:right w:val="single" w:color="auto" w:sz="2" w:space="0"/>
            </w:tcBorders>
            <w:vAlign w:val="center"/>
          </w:tcPr>
          <w:p w14:paraId="32D13FCE">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20898B58">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741" w:type="dxa"/>
            <w:tcBorders>
              <w:top w:val="single" w:color="auto" w:sz="2" w:space="0"/>
              <w:left w:val="single" w:color="auto" w:sz="2" w:space="0"/>
              <w:bottom w:val="single" w:color="auto" w:sz="2" w:space="0"/>
              <w:right w:val="single" w:color="auto" w:sz="2" w:space="0"/>
            </w:tcBorders>
            <w:vAlign w:val="center"/>
          </w:tcPr>
          <w:p w14:paraId="57B369B6">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EB548B">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1721C7">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779B7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952690">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F52A79">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C6B145D">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F8F44C">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C0F083">
            <w:pPr>
              <w:spacing w:line="240" w:lineRule="exact"/>
              <w:jc w:val="right"/>
              <w:rPr>
                <w:rFonts w:ascii="宋体" w:hAnsi="宋体" w:eastAsia="宋体" w:cs="宋体"/>
                <w:sz w:val="18"/>
                <w:szCs w:val="18"/>
              </w:rPr>
            </w:pPr>
            <w:r>
              <w:rPr>
                <w:rFonts w:ascii="宋体" w:hAnsi="宋体" w:eastAsia="宋体" w:cs="宋体"/>
                <w:sz w:val="18"/>
                <w:szCs w:val="18"/>
              </w:rPr>
              <w:t>0.00</w:t>
            </w:r>
          </w:p>
        </w:tc>
        <w:tc>
          <w:tcPr>
            <w:tcW w:w="741" w:type="dxa"/>
            <w:tcBorders>
              <w:top w:val="single" w:color="auto" w:sz="2" w:space="0"/>
              <w:left w:val="single" w:color="auto" w:sz="2" w:space="0"/>
              <w:bottom w:val="single" w:color="auto" w:sz="2" w:space="0"/>
              <w:right w:val="single" w:color="auto" w:sz="2" w:space="0"/>
            </w:tcBorders>
            <w:vAlign w:val="center"/>
          </w:tcPr>
          <w:p w14:paraId="0BD79075">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r w14:paraId="03114BDF">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5C7739A">
            <w:pPr>
              <w:spacing w:before="40" w:after="40" w:line="240" w:lineRule="exact"/>
              <w:rPr>
                <w:rFonts w:ascii="宋体" w:hAnsi="宋体" w:eastAsia="宋体" w:cs="宋体"/>
                <w:sz w:val="18"/>
                <w:szCs w:val="18"/>
              </w:rPr>
            </w:pPr>
            <w:r>
              <w:rPr>
                <w:rFonts w:ascii="宋体" w:hAnsi="宋体" w:eastAsia="宋体" w:cs="宋体"/>
                <w:sz w:val="18"/>
                <w:szCs w:val="18"/>
              </w:rPr>
              <w:t>小计</w:t>
            </w:r>
          </w:p>
        </w:tc>
        <w:tc>
          <w:tcPr>
            <w:tcW w:w="741" w:type="dxa"/>
            <w:tcBorders>
              <w:top w:val="single" w:color="auto" w:sz="2" w:space="0"/>
              <w:left w:val="single" w:color="auto" w:sz="2" w:space="0"/>
              <w:bottom w:val="single" w:color="auto" w:sz="2" w:space="0"/>
              <w:right w:val="single" w:color="auto" w:sz="2" w:space="0"/>
            </w:tcBorders>
            <w:vAlign w:val="center"/>
          </w:tcPr>
          <w:p w14:paraId="5FAABBC0">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41" w:type="dxa"/>
            <w:tcBorders>
              <w:top w:val="single" w:color="auto" w:sz="2" w:space="0"/>
              <w:left w:val="single" w:color="auto" w:sz="2" w:space="0"/>
              <w:bottom w:val="single" w:color="auto" w:sz="2" w:space="0"/>
              <w:right w:val="single" w:color="auto" w:sz="2" w:space="0"/>
            </w:tcBorders>
            <w:vAlign w:val="center"/>
          </w:tcPr>
          <w:p w14:paraId="33F1A8AA">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741" w:type="dxa"/>
            <w:tcBorders>
              <w:top w:val="single" w:color="auto" w:sz="2" w:space="0"/>
              <w:left w:val="single" w:color="auto" w:sz="2" w:space="0"/>
              <w:bottom w:val="single" w:color="auto" w:sz="2" w:space="0"/>
              <w:right w:val="single" w:color="auto" w:sz="2" w:space="0"/>
            </w:tcBorders>
            <w:vAlign w:val="center"/>
          </w:tcPr>
          <w:p w14:paraId="58E05B8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223EE6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7D031D">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41" w:type="dxa"/>
            <w:tcBorders>
              <w:top w:val="single" w:color="auto" w:sz="2" w:space="0"/>
              <w:left w:val="single" w:color="auto" w:sz="2" w:space="0"/>
              <w:bottom w:val="single" w:color="auto" w:sz="2" w:space="0"/>
              <w:right w:val="single" w:color="auto" w:sz="2" w:space="0"/>
            </w:tcBorders>
            <w:vAlign w:val="center"/>
          </w:tcPr>
          <w:p w14:paraId="01ED3D64">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58CE3E">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ECDAB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90A107">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7E5751">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E8AD19">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41" w:type="dxa"/>
            <w:tcBorders>
              <w:top w:val="single" w:color="auto" w:sz="2" w:space="0"/>
              <w:left w:val="single" w:color="auto" w:sz="2" w:space="0"/>
              <w:bottom w:val="single" w:color="auto" w:sz="2" w:space="0"/>
              <w:right w:val="single" w:color="auto" w:sz="2" w:space="0"/>
            </w:tcBorders>
            <w:vAlign w:val="center"/>
          </w:tcPr>
          <w:p w14:paraId="5445566C">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r w14:paraId="5D75D041">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9986D4C">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77A5DACB">
            <w:pPr>
              <w:spacing w:line="240" w:lineRule="exact"/>
              <w:jc w:val="right"/>
              <w:rPr>
                <w:rFonts w:ascii="宋体" w:hAnsi="宋体" w:eastAsia="宋体" w:cs="宋体"/>
                <w:sz w:val="18"/>
                <w:szCs w:val="18"/>
              </w:rPr>
            </w:pPr>
            <w:r>
              <w:rPr>
                <w:rFonts w:ascii="宋体" w:hAnsi="宋体" w:eastAsia="宋体" w:cs="宋体"/>
                <w:sz w:val="18"/>
                <w:szCs w:val="18"/>
              </w:rPr>
              <w:t>189,821,527.71</w:t>
            </w:r>
          </w:p>
        </w:tc>
        <w:tc>
          <w:tcPr>
            <w:tcW w:w="741" w:type="dxa"/>
            <w:tcBorders>
              <w:top w:val="single" w:color="auto" w:sz="2" w:space="0"/>
              <w:left w:val="single" w:color="auto" w:sz="2" w:space="0"/>
              <w:bottom w:val="single" w:color="auto" w:sz="2" w:space="0"/>
              <w:right w:val="single" w:color="auto" w:sz="2" w:space="0"/>
            </w:tcBorders>
            <w:vAlign w:val="center"/>
          </w:tcPr>
          <w:p w14:paraId="30C79AF4">
            <w:pPr>
              <w:spacing w:line="240" w:lineRule="exact"/>
              <w:jc w:val="right"/>
              <w:rPr>
                <w:rFonts w:ascii="宋体" w:hAnsi="宋体" w:eastAsia="宋体" w:cs="宋体"/>
                <w:sz w:val="18"/>
                <w:szCs w:val="18"/>
              </w:rPr>
            </w:pPr>
            <w:r>
              <w:rPr>
                <w:rFonts w:ascii="宋体" w:hAnsi="宋体" w:eastAsia="宋体" w:cs="宋体"/>
                <w:sz w:val="18"/>
                <w:szCs w:val="18"/>
              </w:rPr>
              <w:t>256,049,418.05</w:t>
            </w:r>
          </w:p>
        </w:tc>
        <w:tc>
          <w:tcPr>
            <w:tcW w:w="741" w:type="dxa"/>
            <w:tcBorders>
              <w:top w:val="single" w:color="auto" w:sz="2" w:space="0"/>
              <w:left w:val="single" w:color="auto" w:sz="2" w:space="0"/>
              <w:bottom w:val="single" w:color="auto" w:sz="2" w:space="0"/>
              <w:right w:val="single" w:color="auto" w:sz="2" w:space="0"/>
            </w:tcBorders>
            <w:vAlign w:val="center"/>
          </w:tcPr>
          <w:p w14:paraId="74904A3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7B4BE9">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1C0B47">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741" w:type="dxa"/>
            <w:tcBorders>
              <w:top w:val="single" w:color="auto" w:sz="2" w:space="0"/>
              <w:left w:val="single" w:color="auto" w:sz="2" w:space="0"/>
              <w:bottom w:val="single" w:color="auto" w:sz="2" w:space="0"/>
              <w:right w:val="single" w:color="auto" w:sz="2" w:space="0"/>
            </w:tcBorders>
            <w:vAlign w:val="center"/>
          </w:tcPr>
          <w:p w14:paraId="3DE97045">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84D9DD">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A6C21C">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71894F">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AD6D12">
            <w:pPr>
              <w:spacing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3E2F6B">
            <w:pPr>
              <w:spacing w:line="240" w:lineRule="exact"/>
              <w:jc w:val="right"/>
              <w:rPr>
                <w:rFonts w:ascii="宋体" w:hAnsi="宋体" w:eastAsia="宋体" w:cs="宋体"/>
                <w:sz w:val="18"/>
                <w:szCs w:val="18"/>
              </w:rPr>
            </w:pPr>
            <w:r>
              <w:rPr>
                <w:rFonts w:ascii="宋体" w:hAnsi="宋体" w:eastAsia="宋体" w:cs="宋体"/>
                <w:sz w:val="18"/>
                <w:szCs w:val="18"/>
              </w:rPr>
              <w:t>186,575,677.04</w:t>
            </w:r>
          </w:p>
        </w:tc>
        <w:tc>
          <w:tcPr>
            <w:tcW w:w="741" w:type="dxa"/>
            <w:tcBorders>
              <w:top w:val="single" w:color="auto" w:sz="2" w:space="0"/>
              <w:left w:val="single" w:color="auto" w:sz="2" w:space="0"/>
              <w:bottom w:val="single" w:color="auto" w:sz="2" w:space="0"/>
              <w:right w:val="single" w:color="auto" w:sz="2" w:space="0"/>
            </w:tcBorders>
            <w:vAlign w:val="center"/>
          </w:tcPr>
          <w:p w14:paraId="70ADFAA7">
            <w:pPr>
              <w:spacing w:line="240" w:lineRule="exact"/>
              <w:jc w:val="right"/>
              <w:rPr>
                <w:rFonts w:ascii="宋体" w:hAnsi="宋体" w:eastAsia="宋体" w:cs="宋体"/>
                <w:sz w:val="18"/>
                <w:szCs w:val="18"/>
              </w:rPr>
            </w:pPr>
            <w:r>
              <w:rPr>
                <w:rFonts w:ascii="宋体" w:hAnsi="宋体" w:eastAsia="宋体" w:cs="宋体"/>
                <w:sz w:val="18"/>
                <w:szCs w:val="18"/>
              </w:rPr>
              <w:t>256,049,418.05</w:t>
            </w:r>
          </w:p>
        </w:tc>
      </w:tr>
    </w:tbl>
    <w:p w14:paraId="0BC3238F">
      <w:pPr>
        <w:spacing w:before="100" w:after="100" w:line="240" w:lineRule="exac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5837E589">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36DA8A2">
      <w:pPr>
        <w:spacing w:before="100" w:after="100" w:line="240" w:lineRule="exact"/>
        <w:rPr>
          <w:rFonts w:ascii="宋体" w:hAnsi="宋体" w:eastAsia="宋体" w:cs="宋体"/>
          <w:sz w:val="18"/>
          <w:szCs w:val="18"/>
        </w:rPr>
      </w:pPr>
      <w:r>
        <w:rPr>
          <w:rFonts w:ascii="宋体" w:hAnsi="宋体" w:eastAsia="宋体" w:cs="宋体"/>
          <w:sz w:val="18"/>
          <w:szCs w:val="18"/>
        </w:rPr>
        <w:t>可收回金额按预计未来现金流量的现值确定</w:t>
      </w:r>
    </w:p>
    <w:p w14:paraId="50EB5652">
      <w:pPr>
        <w:spacing w:before="100"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F5B7136">
      <w:pPr>
        <w:spacing w:before="100" w:after="100" w:line="240" w:lineRule="exact"/>
        <w:rPr>
          <w:rFonts w:ascii="宋体" w:hAnsi="宋体" w:eastAsia="宋体" w:cs="宋体"/>
          <w:sz w:val="18"/>
          <w:szCs w:val="18"/>
        </w:rPr>
      </w:pPr>
      <w:r>
        <w:rPr>
          <w:rFonts w:ascii="宋体" w:hAnsi="宋体" w:eastAsia="宋体" w:cs="宋体"/>
          <w:sz w:val="18"/>
          <w:szCs w:val="18"/>
        </w:rPr>
        <w:t>前述信息与以前年度减值测试采用的信息或外部信息明显不一致的差异原因</w:t>
      </w:r>
    </w:p>
    <w:p w14:paraId="22131443"/>
    <w:p w14:paraId="18F5D5AA">
      <w:pPr>
        <w:spacing w:before="100" w:after="100" w:line="240" w:lineRule="exact"/>
      </w:pPr>
      <w:r>
        <w:rPr>
          <w:rFonts w:ascii="宋体" w:hAnsi="宋体" w:eastAsia="宋体" w:cs="宋体"/>
          <w:sz w:val="18"/>
          <w:szCs w:val="18"/>
        </w:rPr>
        <w:t>公司以前年度减值测试采用信息与当年实际情况明显不一致的差异原因</w:t>
      </w:r>
    </w:p>
    <w:p w14:paraId="2A129AAC">
      <w:pPr>
        <w:keepNext/>
        <w:keepLines/>
        <w:spacing w:before="300" w:after="100" w:line="280" w:lineRule="exact"/>
        <w:outlineLvl w:val="3"/>
        <w:rPr>
          <w:rFonts w:ascii="宋体" w:hAnsi="宋体" w:eastAsia="宋体" w:cs="宋体"/>
          <w:b/>
          <w:bCs/>
          <w:szCs w:val="21"/>
        </w:rPr>
      </w:pPr>
      <w:bookmarkStart w:id="542" w:name="_Toc989431"/>
      <w:r>
        <w:rPr>
          <w:rFonts w:ascii="宋体" w:hAnsi="宋体" w:eastAsia="宋体" w:cs="宋体"/>
          <w:b/>
          <w:bCs/>
          <w:szCs w:val="21"/>
        </w:rPr>
        <w:t>（3） 其他说明</w:t>
      </w:r>
      <w:bookmarkEnd w:id="542"/>
    </w:p>
    <w:p w14:paraId="5DD52FD5">
      <w:pPr>
        <w:pStyle w:val="3"/>
        <w:spacing w:after="100" w:line="280" w:lineRule="exact"/>
        <w:jc w:val="left"/>
        <w:rPr>
          <w:rFonts w:ascii="宋体" w:hAnsi="宋体" w:cs="宋体"/>
          <w:b/>
          <w:bCs/>
        </w:rPr>
      </w:pPr>
      <w:bookmarkStart w:id="543" w:name="_Toc989432"/>
      <w:r>
        <w:rPr>
          <w:rFonts w:ascii="宋体" w:hAnsi="宋体" w:cs="宋体"/>
          <w:b/>
          <w:bCs/>
        </w:rPr>
        <w:t>4、营业收入和营业成本</w:t>
      </w:r>
      <w:bookmarkEnd w:id="543"/>
    </w:p>
    <w:p w14:paraId="5698E46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D847D8F">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28038F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C151505">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FD445BE">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C26850B">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ED1DA9A"/>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BBFEF8">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312C55">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7EBA95">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C8A9C9">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r>
    </w:tbl>
    <w:p w14:paraId="4CCAEF1B">
      <w:pPr>
        <w:spacing w:before="100" w:after="40" w:line="240" w:lineRule="exact"/>
        <w:rPr>
          <w:rFonts w:ascii="宋体" w:hAnsi="宋体" w:eastAsia="宋体" w:cs="宋体"/>
          <w:sz w:val="18"/>
          <w:szCs w:val="18"/>
        </w:rPr>
      </w:pPr>
      <w:r>
        <w:rPr>
          <w:rFonts w:ascii="宋体" w:hAnsi="宋体" w:eastAsia="宋体" w:cs="宋体"/>
          <w:sz w:val="18"/>
          <w:szCs w:val="18"/>
        </w:rPr>
        <w:t>营业收入、营业成本的分解信息：</w:t>
      </w:r>
    </w:p>
    <w:p w14:paraId="2043BF2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2C7FDB5">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099EB9">
            <w:pPr>
              <w:spacing w:before="40" w:after="40" w:line="240" w:lineRule="exact"/>
              <w:jc w:val="center"/>
              <w:rPr>
                <w:rFonts w:ascii="宋体" w:hAnsi="宋体" w:eastAsia="宋体" w:cs="宋体"/>
                <w:sz w:val="18"/>
                <w:szCs w:val="18"/>
              </w:rPr>
            </w:pPr>
            <w:r>
              <w:rPr>
                <w:rFonts w:ascii="宋体" w:hAnsi="宋体" w:eastAsia="宋体" w:cs="宋体"/>
                <w:sz w:val="18"/>
                <w:szCs w:val="18"/>
              </w:rPr>
              <w:t>合同分类</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61B11B3">
            <w:pPr>
              <w:spacing w:before="40" w:after="40" w:line="240" w:lineRule="exact"/>
              <w:jc w:val="center"/>
              <w:rPr>
                <w:rFonts w:ascii="宋体" w:hAnsi="宋体" w:eastAsia="宋体" w:cs="宋体"/>
                <w:sz w:val="18"/>
                <w:szCs w:val="18"/>
              </w:rPr>
            </w:pPr>
            <w:r>
              <w:rPr>
                <w:rFonts w:ascii="宋体" w:hAnsi="宋体" w:eastAsia="宋体" w:cs="宋体"/>
                <w:sz w:val="18"/>
                <w:szCs w:val="18"/>
              </w:rPr>
              <w:t>分部1</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782C87B">
            <w:pPr>
              <w:spacing w:before="40" w:after="40" w:line="240" w:lineRule="exact"/>
              <w:jc w:val="center"/>
              <w:rPr>
                <w:rFonts w:ascii="宋体" w:hAnsi="宋体" w:eastAsia="宋体" w:cs="宋体"/>
                <w:sz w:val="18"/>
                <w:szCs w:val="18"/>
              </w:rPr>
            </w:pPr>
            <w:r>
              <w:rPr>
                <w:rFonts w:ascii="宋体" w:hAnsi="宋体" w:eastAsia="宋体" w:cs="宋体"/>
                <w:sz w:val="18"/>
                <w:szCs w:val="18"/>
              </w:rPr>
              <w:t>分部2</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6F520952">
            <w:pPr>
              <w:spacing w:line="240" w:lineRule="exact"/>
              <w:jc w:val="center"/>
              <w:rPr>
                <w:rFonts w:ascii="宋体" w:hAnsi="宋体" w:eastAsia="宋体" w:cs="宋体"/>
                <w:sz w:val="18"/>
                <w:szCs w:val="18"/>
              </w:rPr>
            </w:pP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93C8BB2">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4CA2D742">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5D04F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4951787">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B48A08">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72035A4">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9B69B29">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6B51C7">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2D2FFD">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596B793">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0D8B39">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r>
      <w:tr w14:paraId="7BAB7E3F">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28D8BE">
            <w:pPr>
              <w:spacing w:before="40" w:after="40" w:line="240" w:lineRule="exact"/>
              <w:rPr>
                <w:rFonts w:ascii="宋体" w:hAnsi="宋体" w:eastAsia="宋体" w:cs="宋体"/>
                <w:sz w:val="18"/>
                <w:szCs w:val="18"/>
              </w:rPr>
            </w:pPr>
            <w:r>
              <w:rPr>
                <w:rFonts w:ascii="宋体" w:hAnsi="宋体" w:eastAsia="宋体" w:cs="宋体"/>
                <w:sz w:val="18"/>
                <w:szCs w:val="18"/>
              </w:rPr>
              <w:t>业务类型</w:t>
            </w:r>
          </w:p>
        </w:tc>
        <w:tc>
          <w:tcPr>
            <w:tcW w:w="1071" w:type="dxa"/>
            <w:tcBorders>
              <w:top w:val="single" w:color="auto" w:sz="2" w:space="0"/>
              <w:left w:val="single" w:color="auto" w:sz="2" w:space="0"/>
              <w:bottom w:val="single" w:color="auto" w:sz="2" w:space="0"/>
              <w:right w:val="single" w:color="auto" w:sz="2" w:space="0"/>
            </w:tcBorders>
            <w:vAlign w:val="center"/>
          </w:tcPr>
          <w:p w14:paraId="200FBBB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A1AC1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3536F7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E890F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F0DE79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37A448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A2C8A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F79211">
            <w:pPr>
              <w:spacing w:line="240" w:lineRule="exact"/>
              <w:jc w:val="right"/>
              <w:rPr>
                <w:rFonts w:ascii="宋体" w:hAnsi="宋体" w:eastAsia="宋体" w:cs="宋体"/>
                <w:sz w:val="18"/>
                <w:szCs w:val="18"/>
              </w:rPr>
            </w:pPr>
          </w:p>
        </w:tc>
      </w:tr>
      <w:tr w14:paraId="0B4D49FF">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1742A0">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063EB3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4425C0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0D1D00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26E0C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A896FA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8E540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3B81D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F1E0E3"/>
        </w:tc>
      </w:tr>
      <w:tr w14:paraId="3D7662B2">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F1C73D6">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94950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2742C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38CBF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F4B0B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02B75D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5425B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371C2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63F824C">
            <w:pPr>
              <w:spacing w:line="240" w:lineRule="exact"/>
              <w:jc w:val="right"/>
              <w:rPr>
                <w:rFonts w:ascii="宋体" w:hAnsi="宋体" w:eastAsia="宋体" w:cs="宋体"/>
                <w:sz w:val="18"/>
                <w:szCs w:val="18"/>
              </w:rPr>
            </w:pPr>
          </w:p>
        </w:tc>
      </w:tr>
      <w:tr w14:paraId="563792B8">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B50C47">
            <w:pPr>
              <w:spacing w:before="40" w:after="40" w:line="240" w:lineRule="exact"/>
              <w:rPr>
                <w:rFonts w:ascii="宋体" w:hAnsi="宋体" w:eastAsia="宋体" w:cs="宋体"/>
                <w:sz w:val="18"/>
                <w:szCs w:val="18"/>
              </w:rPr>
            </w:pPr>
            <w:r>
              <w:rPr>
                <w:rFonts w:ascii="宋体" w:hAnsi="宋体" w:eastAsia="宋体" w:cs="宋体"/>
                <w:sz w:val="18"/>
                <w:szCs w:val="18"/>
              </w:rPr>
              <w:t>按经营地区分类</w:t>
            </w:r>
          </w:p>
        </w:tc>
        <w:tc>
          <w:tcPr>
            <w:tcW w:w="1071" w:type="dxa"/>
            <w:tcBorders>
              <w:top w:val="single" w:color="auto" w:sz="2" w:space="0"/>
              <w:left w:val="single" w:color="auto" w:sz="2" w:space="0"/>
              <w:bottom w:val="single" w:color="auto" w:sz="2" w:space="0"/>
              <w:right w:val="single" w:color="auto" w:sz="2" w:space="0"/>
            </w:tcBorders>
            <w:vAlign w:val="center"/>
          </w:tcPr>
          <w:p w14:paraId="19A4A97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D05A0A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F2266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3B711A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12E342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492896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AD8C0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0E1EC6A">
            <w:pPr>
              <w:spacing w:line="240" w:lineRule="exact"/>
              <w:jc w:val="right"/>
              <w:rPr>
                <w:rFonts w:ascii="宋体" w:hAnsi="宋体" w:eastAsia="宋体" w:cs="宋体"/>
                <w:sz w:val="18"/>
                <w:szCs w:val="18"/>
              </w:rPr>
            </w:pPr>
          </w:p>
        </w:tc>
      </w:tr>
      <w:tr w14:paraId="4F96B2C0">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04927C">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374594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9164B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D1804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31BA7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CB4F4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AE5FA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97FD8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E613EA"/>
        </w:tc>
      </w:tr>
      <w:tr w14:paraId="0DB2A23A">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354592D">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5EDF3A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A850F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37CA2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F534EF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A099C9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CA446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3AEBF3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1EA89BB">
            <w:pPr>
              <w:spacing w:line="240" w:lineRule="exact"/>
              <w:jc w:val="right"/>
              <w:rPr>
                <w:rFonts w:ascii="宋体" w:hAnsi="宋体" w:eastAsia="宋体" w:cs="宋体"/>
                <w:sz w:val="18"/>
                <w:szCs w:val="18"/>
              </w:rPr>
            </w:pPr>
          </w:p>
        </w:tc>
      </w:tr>
      <w:tr w14:paraId="380EFFD7">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065600">
            <w:pPr>
              <w:spacing w:before="40" w:after="40" w:line="240" w:lineRule="exact"/>
              <w:rPr>
                <w:rFonts w:ascii="宋体" w:hAnsi="宋体" w:eastAsia="宋体" w:cs="宋体"/>
                <w:sz w:val="18"/>
                <w:szCs w:val="18"/>
              </w:rPr>
            </w:pPr>
            <w:r>
              <w:rPr>
                <w:rFonts w:ascii="宋体" w:hAnsi="宋体" w:eastAsia="宋体" w:cs="宋体"/>
                <w:sz w:val="18"/>
                <w:szCs w:val="18"/>
              </w:rPr>
              <w:t>市场或客户类型</w:t>
            </w:r>
          </w:p>
        </w:tc>
        <w:tc>
          <w:tcPr>
            <w:tcW w:w="1071" w:type="dxa"/>
            <w:tcBorders>
              <w:top w:val="single" w:color="auto" w:sz="2" w:space="0"/>
              <w:left w:val="single" w:color="auto" w:sz="2" w:space="0"/>
              <w:bottom w:val="single" w:color="auto" w:sz="2" w:space="0"/>
              <w:right w:val="single" w:color="auto" w:sz="2" w:space="0"/>
            </w:tcBorders>
            <w:vAlign w:val="center"/>
          </w:tcPr>
          <w:p w14:paraId="231E0A0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747C9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DBE3C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3BF057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427A5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5BD44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EAEFD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FF3130">
            <w:pPr>
              <w:spacing w:line="240" w:lineRule="exact"/>
              <w:jc w:val="right"/>
              <w:rPr>
                <w:rFonts w:ascii="宋体" w:hAnsi="宋体" w:eastAsia="宋体" w:cs="宋体"/>
                <w:sz w:val="18"/>
                <w:szCs w:val="18"/>
              </w:rPr>
            </w:pPr>
          </w:p>
        </w:tc>
      </w:tr>
      <w:tr w14:paraId="67A2F2B6">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79A942">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05F0DC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99FC1F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DFF4B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BB371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3D52C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9EA6C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717A3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3693F02"/>
        </w:tc>
      </w:tr>
      <w:tr w14:paraId="46D28380">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14618CA">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31F41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C6D259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47DD8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0A95E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326980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A39A8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16C70F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3726A7">
            <w:pPr>
              <w:spacing w:line="240" w:lineRule="exact"/>
              <w:jc w:val="right"/>
              <w:rPr>
                <w:rFonts w:ascii="宋体" w:hAnsi="宋体" w:eastAsia="宋体" w:cs="宋体"/>
                <w:sz w:val="18"/>
                <w:szCs w:val="18"/>
              </w:rPr>
            </w:pPr>
          </w:p>
        </w:tc>
      </w:tr>
      <w:tr w14:paraId="04368326">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0B8D22">
            <w:pPr>
              <w:spacing w:before="40" w:after="40" w:line="240" w:lineRule="exact"/>
              <w:rPr>
                <w:rFonts w:ascii="宋体" w:hAnsi="宋体" w:eastAsia="宋体" w:cs="宋体"/>
                <w:sz w:val="18"/>
                <w:szCs w:val="18"/>
              </w:rPr>
            </w:pPr>
            <w:r>
              <w:rPr>
                <w:rFonts w:ascii="宋体" w:hAnsi="宋体" w:eastAsia="宋体" w:cs="宋体"/>
                <w:sz w:val="18"/>
                <w:szCs w:val="18"/>
              </w:rPr>
              <w:t>合同类型</w:t>
            </w:r>
          </w:p>
        </w:tc>
        <w:tc>
          <w:tcPr>
            <w:tcW w:w="1071" w:type="dxa"/>
            <w:tcBorders>
              <w:top w:val="single" w:color="auto" w:sz="2" w:space="0"/>
              <w:left w:val="single" w:color="auto" w:sz="2" w:space="0"/>
              <w:bottom w:val="single" w:color="auto" w:sz="2" w:space="0"/>
              <w:right w:val="single" w:color="auto" w:sz="2" w:space="0"/>
            </w:tcBorders>
            <w:vAlign w:val="center"/>
          </w:tcPr>
          <w:p w14:paraId="77321DB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8AA5FC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B282F2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FA6B6C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9BFAE1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98582B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1F382D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EF30F8">
            <w:pPr>
              <w:spacing w:line="240" w:lineRule="exact"/>
              <w:jc w:val="right"/>
              <w:rPr>
                <w:rFonts w:ascii="宋体" w:hAnsi="宋体" w:eastAsia="宋体" w:cs="宋体"/>
                <w:sz w:val="18"/>
                <w:szCs w:val="18"/>
              </w:rPr>
            </w:pPr>
          </w:p>
        </w:tc>
      </w:tr>
      <w:tr w14:paraId="06B90945">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A51EF3E">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453FE5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550D06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58E5C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74BB2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3C53D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68E09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7D661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C13FCA"/>
        </w:tc>
      </w:tr>
      <w:tr w14:paraId="50448A6C">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3A54A4D">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20223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CDABA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3F733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C33283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9ACB2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A6F823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E3279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717FE6">
            <w:pPr>
              <w:spacing w:line="240" w:lineRule="exact"/>
              <w:jc w:val="right"/>
              <w:rPr>
                <w:rFonts w:ascii="宋体" w:hAnsi="宋体" w:eastAsia="宋体" w:cs="宋体"/>
                <w:sz w:val="18"/>
                <w:szCs w:val="18"/>
              </w:rPr>
            </w:pPr>
          </w:p>
        </w:tc>
      </w:tr>
      <w:tr w14:paraId="507935E2">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07F3257">
            <w:pPr>
              <w:spacing w:before="40" w:after="40" w:line="240" w:lineRule="exact"/>
              <w:rPr>
                <w:rFonts w:ascii="宋体" w:hAnsi="宋体" w:eastAsia="宋体" w:cs="宋体"/>
                <w:sz w:val="18"/>
                <w:szCs w:val="18"/>
              </w:rPr>
            </w:pPr>
            <w:r>
              <w:rPr>
                <w:rFonts w:ascii="宋体" w:hAnsi="宋体" w:eastAsia="宋体" w:cs="宋体"/>
                <w:sz w:val="18"/>
                <w:szCs w:val="18"/>
              </w:rPr>
              <w:t>按商品转让的时间分类</w:t>
            </w:r>
          </w:p>
        </w:tc>
        <w:tc>
          <w:tcPr>
            <w:tcW w:w="1071" w:type="dxa"/>
            <w:tcBorders>
              <w:top w:val="single" w:color="auto" w:sz="2" w:space="0"/>
              <w:left w:val="single" w:color="auto" w:sz="2" w:space="0"/>
              <w:bottom w:val="single" w:color="auto" w:sz="2" w:space="0"/>
              <w:right w:val="single" w:color="auto" w:sz="2" w:space="0"/>
            </w:tcBorders>
            <w:vAlign w:val="center"/>
          </w:tcPr>
          <w:p w14:paraId="5ABB1D0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755854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E62E8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79322E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AE73B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9A537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805B7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4295C9">
            <w:pPr>
              <w:spacing w:line="240" w:lineRule="exact"/>
              <w:jc w:val="right"/>
              <w:rPr>
                <w:rFonts w:ascii="宋体" w:hAnsi="宋体" w:eastAsia="宋体" w:cs="宋体"/>
                <w:sz w:val="18"/>
                <w:szCs w:val="18"/>
              </w:rPr>
            </w:pPr>
          </w:p>
        </w:tc>
      </w:tr>
      <w:tr w14:paraId="595A8ED8">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514EE4D">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F06D99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4D6329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60E38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050C0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4AC4B6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D591D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C490D1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98834B3"/>
        </w:tc>
      </w:tr>
      <w:tr w14:paraId="27937C25">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226C9D1">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19062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0D0A7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5745F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E24845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9F6463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7EF82F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7F39C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D88C83">
            <w:pPr>
              <w:spacing w:line="240" w:lineRule="exact"/>
              <w:jc w:val="right"/>
              <w:rPr>
                <w:rFonts w:ascii="宋体" w:hAnsi="宋体" w:eastAsia="宋体" w:cs="宋体"/>
                <w:sz w:val="18"/>
                <w:szCs w:val="18"/>
              </w:rPr>
            </w:pPr>
          </w:p>
        </w:tc>
      </w:tr>
      <w:tr w14:paraId="2B83BA71">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0E6956">
            <w:pPr>
              <w:spacing w:before="40" w:after="40" w:line="240" w:lineRule="exact"/>
              <w:rPr>
                <w:rFonts w:ascii="宋体" w:hAnsi="宋体" w:eastAsia="宋体" w:cs="宋体"/>
                <w:sz w:val="18"/>
                <w:szCs w:val="18"/>
              </w:rPr>
            </w:pPr>
            <w:r>
              <w:rPr>
                <w:rFonts w:ascii="宋体" w:hAnsi="宋体" w:eastAsia="宋体" w:cs="宋体"/>
                <w:sz w:val="18"/>
                <w:szCs w:val="18"/>
              </w:rPr>
              <w:t>按合同期限分类</w:t>
            </w:r>
          </w:p>
        </w:tc>
        <w:tc>
          <w:tcPr>
            <w:tcW w:w="1071" w:type="dxa"/>
            <w:tcBorders>
              <w:top w:val="single" w:color="auto" w:sz="2" w:space="0"/>
              <w:left w:val="single" w:color="auto" w:sz="2" w:space="0"/>
              <w:bottom w:val="single" w:color="auto" w:sz="2" w:space="0"/>
              <w:right w:val="single" w:color="auto" w:sz="2" w:space="0"/>
            </w:tcBorders>
            <w:vAlign w:val="center"/>
          </w:tcPr>
          <w:p w14:paraId="23EBF68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5DCDF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FB47C83">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19955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84009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1707E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7971677">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459C24">
            <w:pPr>
              <w:spacing w:line="240" w:lineRule="exact"/>
              <w:jc w:val="right"/>
              <w:rPr>
                <w:rFonts w:ascii="宋体" w:hAnsi="宋体" w:eastAsia="宋体" w:cs="宋体"/>
                <w:sz w:val="18"/>
                <w:szCs w:val="18"/>
              </w:rPr>
            </w:pPr>
          </w:p>
        </w:tc>
      </w:tr>
      <w:tr w14:paraId="699D1D18">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7943EB7">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D36DF2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D1AB72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4F1158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FD4BFE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FD1E5A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2649D2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8EE88D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044A24"/>
        </w:tc>
      </w:tr>
      <w:tr w14:paraId="6543B4D8">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B720FA3">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CECBF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737DD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AAFD3C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5D8E3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25513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A942C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74D00D">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5E35D4">
            <w:pPr>
              <w:spacing w:line="240" w:lineRule="exact"/>
              <w:jc w:val="right"/>
              <w:rPr>
                <w:rFonts w:ascii="宋体" w:hAnsi="宋体" w:eastAsia="宋体" w:cs="宋体"/>
                <w:sz w:val="18"/>
                <w:szCs w:val="18"/>
              </w:rPr>
            </w:pPr>
          </w:p>
        </w:tc>
      </w:tr>
      <w:tr w14:paraId="2D7A7D6B">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17DBBF6">
            <w:pPr>
              <w:spacing w:before="40" w:after="40" w:line="240" w:lineRule="exact"/>
              <w:rPr>
                <w:rFonts w:ascii="宋体" w:hAnsi="宋体" w:eastAsia="宋体" w:cs="宋体"/>
                <w:sz w:val="18"/>
                <w:szCs w:val="18"/>
              </w:rPr>
            </w:pPr>
            <w:r>
              <w:rPr>
                <w:rFonts w:ascii="宋体" w:hAnsi="宋体" w:eastAsia="宋体" w:cs="宋体"/>
                <w:sz w:val="18"/>
                <w:szCs w:val="18"/>
              </w:rPr>
              <w:t>按销售渠道分类</w:t>
            </w:r>
          </w:p>
        </w:tc>
        <w:tc>
          <w:tcPr>
            <w:tcW w:w="1071" w:type="dxa"/>
            <w:tcBorders>
              <w:top w:val="single" w:color="auto" w:sz="2" w:space="0"/>
              <w:left w:val="single" w:color="auto" w:sz="2" w:space="0"/>
              <w:bottom w:val="single" w:color="auto" w:sz="2" w:space="0"/>
              <w:right w:val="single" w:color="auto" w:sz="2" w:space="0"/>
            </w:tcBorders>
            <w:vAlign w:val="center"/>
          </w:tcPr>
          <w:p w14:paraId="7FA0CDB1">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6FFECEB">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330E9A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81B12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75B8B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73C7AC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63F21E0">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F035256">
            <w:pPr>
              <w:spacing w:line="240" w:lineRule="exact"/>
              <w:jc w:val="right"/>
              <w:rPr>
                <w:rFonts w:ascii="宋体" w:hAnsi="宋体" w:eastAsia="宋体" w:cs="宋体"/>
                <w:sz w:val="18"/>
                <w:szCs w:val="18"/>
              </w:rPr>
            </w:pPr>
          </w:p>
        </w:tc>
      </w:tr>
      <w:tr w14:paraId="48BB8766">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2A32FC">
            <w:pPr>
              <w:spacing w:before="40" w:after="40" w:line="240" w:lineRule="exac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F2C17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F4DCD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C9833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BCB88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EFF756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9469A0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90A4B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0BB8C0"/>
        </w:tc>
      </w:tr>
      <w:tr w14:paraId="544C72F5">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D46323D">
            <w:pPr>
              <w:spacing w:line="240" w:lineRule="exac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902345C">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9FA45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7034D5">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A7B50F">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ED9C694">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3A41C9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E8C9CE">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92C998">
            <w:pPr>
              <w:spacing w:line="240" w:lineRule="exact"/>
              <w:jc w:val="right"/>
              <w:rPr>
                <w:rFonts w:ascii="宋体" w:hAnsi="宋体" w:eastAsia="宋体" w:cs="宋体"/>
                <w:sz w:val="18"/>
                <w:szCs w:val="18"/>
              </w:rPr>
            </w:pPr>
          </w:p>
        </w:tc>
      </w:tr>
      <w:tr w14:paraId="41172408">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3E2F754">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0536FF3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E9FFE8">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10B24BA">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8CA4F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A0CCA6">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D7FC82">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FED8F9">
            <w:pPr>
              <w:spacing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7D6A8D1">
            <w:pPr>
              <w:spacing w:line="240" w:lineRule="exact"/>
              <w:jc w:val="right"/>
              <w:rPr>
                <w:rFonts w:ascii="宋体" w:hAnsi="宋体" w:eastAsia="宋体" w:cs="宋体"/>
                <w:sz w:val="18"/>
                <w:szCs w:val="18"/>
              </w:rPr>
            </w:pPr>
          </w:p>
        </w:tc>
      </w:tr>
    </w:tbl>
    <w:p w14:paraId="2FCE1309">
      <w:pPr>
        <w:spacing w:before="100" w:after="100" w:line="240" w:lineRule="exact"/>
        <w:rPr>
          <w:rFonts w:ascii="宋体" w:hAnsi="宋体" w:eastAsia="宋体" w:cs="宋体"/>
          <w:sz w:val="18"/>
          <w:szCs w:val="18"/>
        </w:rPr>
      </w:pPr>
      <w:r>
        <w:rPr>
          <w:rFonts w:ascii="宋体" w:hAnsi="宋体" w:eastAsia="宋体" w:cs="宋体"/>
          <w:sz w:val="18"/>
          <w:szCs w:val="18"/>
        </w:rPr>
        <w:t>与履约义务相关的信息：</w:t>
      </w:r>
    </w:p>
    <w:p w14:paraId="0FBD08BA">
      <w:pPr>
        <w:spacing w:line="0" w:lineRule="atLeast"/>
      </w:pP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21862B9">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0493D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A8C239">
            <w:pPr>
              <w:spacing w:before="40" w:after="40" w:line="240" w:lineRule="exact"/>
              <w:jc w:val="center"/>
              <w:rPr>
                <w:rFonts w:ascii="宋体" w:hAnsi="宋体" w:eastAsia="宋体" w:cs="宋体"/>
                <w:sz w:val="18"/>
                <w:szCs w:val="18"/>
              </w:rPr>
            </w:pPr>
            <w:r>
              <w:rPr>
                <w:rFonts w:ascii="宋体" w:hAnsi="宋体" w:eastAsia="宋体" w:cs="宋体"/>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2FEF1B">
            <w:pPr>
              <w:spacing w:before="40" w:after="40" w:line="240" w:lineRule="exact"/>
              <w:jc w:val="center"/>
              <w:rPr>
                <w:rFonts w:ascii="宋体" w:hAnsi="宋体" w:eastAsia="宋体" w:cs="宋体"/>
                <w:sz w:val="18"/>
                <w:szCs w:val="18"/>
              </w:rPr>
            </w:pPr>
            <w:r>
              <w:rPr>
                <w:rFonts w:ascii="宋体" w:hAnsi="宋体" w:eastAsia="宋体" w:cs="宋体"/>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F4B5F2">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F50EA3">
            <w:pPr>
              <w:spacing w:before="40" w:after="40" w:line="240" w:lineRule="exact"/>
              <w:jc w:val="center"/>
              <w:rPr>
                <w:rFonts w:ascii="宋体" w:hAnsi="宋体" w:eastAsia="宋体" w:cs="宋体"/>
                <w:sz w:val="18"/>
                <w:szCs w:val="18"/>
              </w:rPr>
            </w:pPr>
            <w:r>
              <w:rPr>
                <w:rFonts w:ascii="宋体" w:hAnsi="宋体" w:eastAsia="宋体" w:cs="宋体"/>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3F314C">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52FF4A">
            <w:pPr>
              <w:spacing w:before="40" w:after="40" w:line="240" w:lineRule="exact"/>
              <w:jc w:val="center"/>
              <w:rPr>
                <w:rFonts w:ascii="宋体" w:hAnsi="宋体" w:eastAsia="宋体" w:cs="宋体"/>
                <w:sz w:val="18"/>
                <w:szCs w:val="18"/>
              </w:rPr>
            </w:pPr>
            <w:r>
              <w:rPr>
                <w:rFonts w:ascii="宋体" w:hAnsi="宋体" w:eastAsia="宋体" w:cs="宋体"/>
                <w:sz w:val="18"/>
                <w:szCs w:val="18"/>
              </w:rPr>
              <w:t>公司提供的质量保证类型及相关义务</w:t>
            </w:r>
          </w:p>
        </w:tc>
      </w:tr>
    </w:tbl>
    <w:p w14:paraId="5C54B0A3">
      <w:pPr>
        <w:spacing w:before="100" w:after="100" w:line="240" w:lineRule="exact"/>
      </w:pPr>
      <w:r>
        <w:rPr>
          <w:rFonts w:ascii="宋体" w:hAnsi="宋体" w:eastAsia="宋体" w:cs="宋体"/>
          <w:sz w:val="18"/>
          <w:szCs w:val="18"/>
        </w:rPr>
        <w:t>其他说明</w:t>
      </w:r>
    </w:p>
    <w:p w14:paraId="380939E7">
      <w:pPr>
        <w:spacing w:before="100" w:after="100" w:line="240" w:lineRule="exact"/>
        <w:rPr>
          <w:rFonts w:ascii="宋体" w:hAnsi="宋体" w:eastAsia="宋体" w:cs="宋体"/>
          <w:sz w:val="18"/>
          <w:szCs w:val="18"/>
        </w:rPr>
      </w:pPr>
      <w:r>
        <w:rPr>
          <w:rFonts w:ascii="宋体" w:hAnsi="宋体" w:eastAsia="宋体" w:cs="宋体"/>
          <w:sz w:val="18"/>
          <w:szCs w:val="18"/>
        </w:rPr>
        <w:t>与分摊至剩余履约义务的交易价格相关的信息：</w:t>
      </w:r>
    </w:p>
    <w:p w14:paraId="54FF20D8">
      <w:pPr>
        <w:spacing w:before="40" w:after="40" w:line="240" w:lineRule="exact"/>
        <w:rPr>
          <w:rFonts w:ascii="宋体" w:hAnsi="宋体" w:eastAsia="宋体" w:cs="宋体"/>
          <w:sz w:val="18"/>
          <w:szCs w:val="18"/>
        </w:rPr>
      </w:pPr>
      <w:r>
        <w:rPr>
          <w:rFonts w:ascii="宋体" w:hAnsi="宋体" w:eastAsia="宋体" w:cs="宋体"/>
          <w:sz w:val="18"/>
          <w:szCs w:val="18"/>
        </w:rPr>
        <w:t>本报告期末已签订合同、但尚未履行或尚未履行完毕的履约义务所对应的收入金额为0.00元，其中，元预计将于年度确认收入，元预计将于年度确认收入，元预计将于年度确认收入。</w:t>
      </w:r>
    </w:p>
    <w:p w14:paraId="5A9BD4B6">
      <w:pPr>
        <w:spacing w:before="100" w:after="100" w:line="240" w:lineRule="exact"/>
        <w:rPr>
          <w:rFonts w:ascii="宋体" w:hAnsi="宋体" w:eastAsia="宋体" w:cs="宋体"/>
          <w:sz w:val="18"/>
          <w:szCs w:val="18"/>
        </w:rPr>
      </w:pPr>
      <w:r>
        <w:rPr>
          <w:rFonts w:ascii="宋体" w:hAnsi="宋体" w:eastAsia="宋体" w:cs="宋体"/>
          <w:sz w:val="18"/>
          <w:szCs w:val="18"/>
        </w:rPr>
        <w:t>重大合同变更或重大交易价格调整</w:t>
      </w:r>
    </w:p>
    <w:p w14:paraId="273C269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402AEA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A0DB2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042369">
            <w:pPr>
              <w:spacing w:before="40" w:after="40" w:line="240" w:lineRule="exact"/>
              <w:jc w:val="center"/>
              <w:rPr>
                <w:rFonts w:ascii="宋体" w:hAnsi="宋体" w:eastAsia="宋体" w:cs="宋体"/>
                <w:sz w:val="18"/>
                <w:szCs w:val="18"/>
              </w:rPr>
            </w:pPr>
            <w:r>
              <w:rPr>
                <w:rFonts w:ascii="宋体" w:hAnsi="宋体" w:eastAsia="宋体" w:cs="宋体"/>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CF4E7C">
            <w:pPr>
              <w:spacing w:before="40" w:after="40" w:line="240" w:lineRule="exact"/>
              <w:jc w:val="center"/>
              <w:rPr>
                <w:rFonts w:ascii="宋体" w:hAnsi="宋体" w:eastAsia="宋体" w:cs="宋体"/>
                <w:sz w:val="18"/>
                <w:szCs w:val="18"/>
              </w:rPr>
            </w:pPr>
            <w:r>
              <w:rPr>
                <w:rFonts w:ascii="宋体" w:hAnsi="宋体" w:eastAsia="宋体" w:cs="宋体"/>
                <w:sz w:val="18"/>
                <w:szCs w:val="18"/>
              </w:rPr>
              <w:t>对收入的影响金额</w:t>
            </w:r>
          </w:p>
        </w:tc>
      </w:tr>
    </w:tbl>
    <w:p w14:paraId="1C08E094">
      <w:pPr>
        <w:spacing w:before="100" w:after="100" w:line="240" w:lineRule="exact"/>
      </w:pPr>
      <w:r>
        <w:rPr>
          <w:rFonts w:ascii="宋体" w:hAnsi="宋体" w:eastAsia="宋体" w:cs="宋体"/>
          <w:sz w:val="18"/>
          <w:szCs w:val="18"/>
        </w:rPr>
        <w:t>其他说明：</w:t>
      </w:r>
    </w:p>
    <w:p w14:paraId="1B9C5FD1">
      <w:pPr>
        <w:pStyle w:val="3"/>
        <w:spacing w:after="100" w:line="280" w:lineRule="exact"/>
        <w:jc w:val="left"/>
        <w:rPr>
          <w:rFonts w:ascii="宋体" w:hAnsi="宋体" w:cs="宋体"/>
          <w:b/>
          <w:bCs/>
        </w:rPr>
      </w:pPr>
      <w:bookmarkStart w:id="544" w:name="_Toc989433"/>
      <w:r>
        <w:rPr>
          <w:rFonts w:ascii="宋体" w:hAnsi="宋体" w:cs="宋体"/>
          <w:b/>
          <w:bCs/>
        </w:rPr>
        <w:t>5、投资收益</w:t>
      </w:r>
      <w:bookmarkEnd w:id="544"/>
    </w:p>
    <w:p w14:paraId="5914846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60C9C3C">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294FF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ECC48A">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3CC2DE">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1381283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D27E9E">
            <w:pPr>
              <w:spacing w:before="40" w:after="40" w:line="240" w:lineRule="exact"/>
              <w:rPr>
                <w:rFonts w:ascii="宋体" w:hAnsi="宋体" w:eastAsia="宋体" w:cs="宋体"/>
                <w:sz w:val="18"/>
                <w:szCs w:val="18"/>
              </w:rPr>
            </w:pPr>
            <w:r>
              <w:rPr>
                <w:rFonts w:ascii="宋体" w:hAnsi="宋体" w:eastAsia="宋体" w:cs="宋体"/>
                <w:sz w:val="18"/>
                <w:szCs w:val="18"/>
              </w:rPr>
              <w:t>权益法核算的长期股权投资收益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42503E8D">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1B7C882F">
            <w:pPr>
              <w:spacing w:line="240" w:lineRule="exact"/>
              <w:jc w:val="right"/>
              <w:rPr>
                <w:rFonts w:ascii="宋体" w:hAnsi="宋体" w:eastAsia="宋体" w:cs="宋体"/>
                <w:sz w:val="18"/>
                <w:szCs w:val="18"/>
              </w:rPr>
            </w:pPr>
            <w:r>
              <w:rPr>
                <w:rFonts w:ascii="宋体" w:hAnsi="宋体" w:eastAsia="宋体" w:cs="宋体"/>
                <w:sz w:val="18"/>
                <w:szCs w:val="18"/>
              </w:rPr>
              <w:t>-4,034,373.17</w:t>
            </w:r>
          </w:p>
        </w:tc>
      </w:tr>
      <w:tr w14:paraId="653A0514">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EFFE0C">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DF2042C">
            <w:pPr>
              <w:spacing w:line="240" w:lineRule="exact"/>
              <w:jc w:val="right"/>
              <w:rPr>
                <w:rFonts w:ascii="宋体" w:hAnsi="宋体" w:eastAsia="宋体" w:cs="宋体"/>
                <w:sz w:val="18"/>
                <w:szCs w:val="18"/>
              </w:rPr>
            </w:pPr>
            <w:r>
              <w:rPr>
                <w:rFonts w:ascii="宋体" w:hAnsi="宋体" w:eastAsia="宋体" w:cs="宋体"/>
                <w:sz w:val="18"/>
                <w:szCs w:val="18"/>
              </w:rPr>
              <w:t>-3,245,850.67</w:t>
            </w:r>
          </w:p>
        </w:tc>
        <w:tc>
          <w:tcPr>
            <w:tcW w:w="3213" w:type="dxa"/>
            <w:tcBorders>
              <w:top w:val="single" w:color="auto" w:sz="2" w:space="0"/>
              <w:left w:val="single" w:color="auto" w:sz="2" w:space="0"/>
              <w:bottom w:val="single" w:color="auto" w:sz="2" w:space="0"/>
              <w:right w:val="single" w:color="auto" w:sz="2" w:space="0"/>
            </w:tcBorders>
            <w:vAlign w:val="center"/>
          </w:tcPr>
          <w:p w14:paraId="489708D1">
            <w:pPr>
              <w:spacing w:line="240" w:lineRule="exact"/>
              <w:jc w:val="right"/>
              <w:rPr>
                <w:rFonts w:ascii="宋体" w:hAnsi="宋体" w:eastAsia="宋体" w:cs="宋体"/>
                <w:sz w:val="18"/>
                <w:szCs w:val="18"/>
              </w:rPr>
            </w:pPr>
            <w:r>
              <w:rPr>
                <w:rFonts w:ascii="宋体" w:hAnsi="宋体" w:eastAsia="宋体" w:cs="宋体"/>
                <w:sz w:val="18"/>
                <w:szCs w:val="18"/>
              </w:rPr>
              <w:t>-4,034,373.17</w:t>
            </w:r>
          </w:p>
        </w:tc>
      </w:tr>
    </w:tbl>
    <w:p w14:paraId="5658B332">
      <w:pPr>
        <w:pStyle w:val="3"/>
        <w:spacing w:line="280" w:lineRule="exact"/>
        <w:jc w:val="left"/>
      </w:pPr>
      <w:bookmarkStart w:id="545" w:name="_Toc989434"/>
      <w:r>
        <w:rPr>
          <w:rFonts w:ascii="宋体" w:hAnsi="宋体" w:cs="宋体"/>
          <w:b/>
          <w:bCs/>
        </w:rPr>
        <w:t>6、其他</w:t>
      </w:r>
      <w:bookmarkEnd w:id="545"/>
    </w:p>
    <w:p w14:paraId="23DF56C3">
      <w:pPr>
        <w:pStyle w:val="2"/>
        <w:spacing w:before="300" w:after="300" w:line="320" w:lineRule="exact"/>
        <w:rPr>
          <w:rFonts w:ascii="宋体" w:hAnsi="宋体" w:eastAsia="宋体" w:cs="宋体"/>
          <w:b/>
          <w:bCs/>
          <w:sz w:val="24"/>
          <w:szCs w:val="24"/>
        </w:rPr>
      </w:pPr>
      <w:bookmarkStart w:id="546" w:name="_Toc989435"/>
      <w:r>
        <w:rPr>
          <w:rFonts w:ascii="宋体" w:hAnsi="宋体" w:eastAsia="宋体" w:cs="宋体"/>
          <w:b/>
          <w:bCs/>
          <w:sz w:val="24"/>
          <w:szCs w:val="24"/>
        </w:rPr>
        <w:t>二十、补充资料</w:t>
      </w:r>
      <w:bookmarkEnd w:id="546"/>
    </w:p>
    <w:p w14:paraId="4A104943">
      <w:pPr>
        <w:pStyle w:val="3"/>
        <w:spacing w:after="100" w:line="280" w:lineRule="exact"/>
        <w:jc w:val="left"/>
        <w:rPr>
          <w:rFonts w:ascii="宋体" w:hAnsi="宋体" w:cs="宋体"/>
          <w:b/>
          <w:bCs/>
        </w:rPr>
      </w:pPr>
      <w:bookmarkStart w:id="547" w:name="_Toc989436"/>
      <w:r>
        <w:rPr>
          <w:rFonts w:ascii="宋体" w:hAnsi="宋体" w:cs="宋体"/>
          <w:b/>
          <w:bCs/>
        </w:rPr>
        <w:t>1、当期非经常性损益明细表</w:t>
      </w:r>
      <w:bookmarkEnd w:id="547"/>
    </w:p>
    <w:p w14:paraId="6DD761AF">
      <w:pPr>
        <w:spacing w:line="240" w:lineRule="exac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7ACB6850">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737043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6DBB1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AEA50A">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FE4201">
            <w:pPr>
              <w:spacing w:before="40" w:after="40" w:line="240" w:lineRule="exact"/>
              <w:jc w:val="center"/>
              <w:rPr>
                <w:rFonts w:ascii="宋体" w:hAnsi="宋体" w:eastAsia="宋体" w:cs="宋体"/>
                <w:sz w:val="18"/>
                <w:szCs w:val="18"/>
              </w:rPr>
            </w:pPr>
            <w:r>
              <w:rPr>
                <w:rFonts w:ascii="宋体" w:hAnsi="宋体" w:eastAsia="宋体" w:cs="宋体"/>
                <w:sz w:val="18"/>
                <w:szCs w:val="18"/>
              </w:rPr>
              <w:t>说明</w:t>
            </w:r>
          </w:p>
        </w:tc>
      </w:tr>
      <w:tr w14:paraId="6B923A98">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AA9D3C">
            <w:pPr>
              <w:spacing w:before="40" w:after="40" w:line="240" w:lineRule="exact"/>
              <w:rPr>
                <w:rFonts w:ascii="宋体" w:hAnsi="宋体" w:eastAsia="宋体" w:cs="宋体"/>
                <w:sz w:val="18"/>
                <w:szCs w:val="18"/>
              </w:rPr>
            </w:pPr>
            <w:r>
              <w:rPr>
                <w:rFonts w:ascii="宋体" w:hAnsi="宋体" w:eastAsia="宋体" w:cs="宋体"/>
                <w:sz w:val="18"/>
                <w:szCs w:val="18"/>
              </w:rPr>
              <w:t>非流动性资产处置损益</w:t>
            </w:r>
          </w:p>
        </w:tc>
        <w:tc>
          <w:tcPr>
            <w:tcW w:w="3213" w:type="dxa"/>
            <w:tcBorders>
              <w:top w:val="single" w:color="auto" w:sz="2" w:space="0"/>
              <w:left w:val="single" w:color="auto" w:sz="2" w:space="0"/>
              <w:bottom w:val="single" w:color="auto" w:sz="2" w:space="0"/>
              <w:right w:val="single" w:color="auto" w:sz="2" w:space="0"/>
            </w:tcBorders>
            <w:vAlign w:val="center"/>
          </w:tcPr>
          <w:p w14:paraId="105ED10E">
            <w:pPr>
              <w:spacing w:line="240" w:lineRule="exact"/>
              <w:jc w:val="right"/>
              <w:rPr>
                <w:rFonts w:ascii="宋体" w:hAnsi="宋体" w:eastAsia="宋体" w:cs="宋体"/>
                <w:sz w:val="18"/>
                <w:szCs w:val="18"/>
              </w:rPr>
            </w:pPr>
            <w:r>
              <w:rPr>
                <w:rFonts w:ascii="宋体" w:hAnsi="宋体" w:eastAsia="宋体" w:cs="宋体"/>
                <w:sz w:val="18"/>
                <w:szCs w:val="18"/>
              </w:rPr>
              <w:t>-281,185.69</w:t>
            </w:r>
          </w:p>
        </w:tc>
        <w:tc>
          <w:tcPr>
            <w:tcW w:w="3213" w:type="dxa"/>
            <w:tcBorders>
              <w:top w:val="single" w:color="auto" w:sz="2" w:space="0"/>
              <w:left w:val="single" w:color="auto" w:sz="2" w:space="0"/>
              <w:bottom w:val="single" w:color="auto" w:sz="2" w:space="0"/>
              <w:right w:val="single" w:color="auto" w:sz="2" w:space="0"/>
            </w:tcBorders>
            <w:vAlign w:val="center"/>
          </w:tcPr>
          <w:p w14:paraId="2086B9CA">
            <w:pPr>
              <w:spacing w:line="240" w:lineRule="exact"/>
              <w:rPr>
                <w:rFonts w:ascii="宋体" w:hAnsi="宋体" w:eastAsia="宋体" w:cs="宋体"/>
                <w:sz w:val="18"/>
                <w:szCs w:val="18"/>
              </w:rPr>
            </w:pPr>
          </w:p>
        </w:tc>
      </w:tr>
      <w:tr w14:paraId="736E482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DECC9B">
            <w:pPr>
              <w:spacing w:before="40" w:after="40" w:line="240" w:lineRule="exact"/>
              <w:rPr>
                <w:rFonts w:ascii="宋体" w:hAnsi="宋体" w:eastAsia="宋体" w:cs="宋体"/>
                <w:sz w:val="18"/>
                <w:szCs w:val="18"/>
              </w:rPr>
            </w:pPr>
            <w:r>
              <w:rPr>
                <w:rFonts w:ascii="宋体" w:hAnsi="宋体" w:eastAsia="宋体" w:cs="宋体"/>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color="auto" w:sz="2" w:space="0"/>
              <w:left w:val="single" w:color="auto" w:sz="2" w:space="0"/>
              <w:bottom w:val="single" w:color="auto" w:sz="2" w:space="0"/>
              <w:right w:val="single" w:color="auto" w:sz="2" w:space="0"/>
            </w:tcBorders>
            <w:vAlign w:val="center"/>
          </w:tcPr>
          <w:p w14:paraId="755C4C05">
            <w:pPr>
              <w:spacing w:line="240" w:lineRule="exact"/>
              <w:jc w:val="right"/>
              <w:rPr>
                <w:rFonts w:ascii="宋体" w:hAnsi="宋体" w:eastAsia="宋体" w:cs="宋体"/>
                <w:sz w:val="18"/>
                <w:szCs w:val="18"/>
              </w:rPr>
            </w:pPr>
            <w:r>
              <w:rPr>
                <w:rFonts w:ascii="宋体" w:hAnsi="宋体" w:eastAsia="宋体" w:cs="宋体"/>
                <w:sz w:val="18"/>
                <w:szCs w:val="18"/>
              </w:rPr>
              <w:t>15,755.47</w:t>
            </w:r>
          </w:p>
        </w:tc>
        <w:tc>
          <w:tcPr>
            <w:tcW w:w="3213" w:type="dxa"/>
            <w:tcBorders>
              <w:top w:val="single" w:color="auto" w:sz="2" w:space="0"/>
              <w:left w:val="single" w:color="auto" w:sz="2" w:space="0"/>
              <w:bottom w:val="single" w:color="auto" w:sz="2" w:space="0"/>
              <w:right w:val="single" w:color="auto" w:sz="2" w:space="0"/>
            </w:tcBorders>
            <w:vAlign w:val="center"/>
          </w:tcPr>
          <w:p w14:paraId="70DD435D">
            <w:pPr>
              <w:spacing w:line="240" w:lineRule="exact"/>
              <w:rPr>
                <w:rFonts w:ascii="宋体" w:hAnsi="宋体" w:eastAsia="宋体" w:cs="宋体"/>
                <w:sz w:val="18"/>
                <w:szCs w:val="18"/>
              </w:rPr>
            </w:pPr>
          </w:p>
        </w:tc>
      </w:tr>
      <w:tr w14:paraId="2DAC3E3F">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D42796">
            <w:pPr>
              <w:spacing w:before="40" w:after="40" w:line="240" w:lineRule="exact"/>
              <w:rPr>
                <w:rFonts w:ascii="宋体" w:hAnsi="宋体" w:eastAsia="宋体" w:cs="宋体"/>
                <w:sz w:val="18"/>
                <w:szCs w:val="18"/>
              </w:rPr>
            </w:pPr>
            <w:r>
              <w:rPr>
                <w:rFonts w:ascii="宋体" w:hAnsi="宋体" w:eastAsia="宋体" w:cs="宋体"/>
                <w:sz w:val="18"/>
                <w:szCs w:val="18"/>
              </w:rPr>
              <w:t>除同公司正常经营业务相关的有效套期保值业务外，非金融企业持有金融资产和金融负债产生的公允价值变动损益以及处置金融资产和金融负债产生的损益</w:t>
            </w:r>
          </w:p>
        </w:tc>
        <w:tc>
          <w:tcPr>
            <w:tcW w:w="3213" w:type="dxa"/>
            <w:tcBorders>
              <w:top w:val="single" w:color="auto" w:sz="2" w:space="0"/>
              <w:left w:val="single" w:color="auto" w:sz="2" w:space="0"/>
              <w:bottom w:val="single" w:color="auto" w:sz="2" w:space="0"/>
              <w:right w:val="single" w:color="auto" w:sz="2" w:space="0"/>
            </w:tcBorders>
            <w:vAlign w:val="center"/>
          </w:tcPr>
          <w:p w14:paraId="1BD67364">
            <w:pPr>
              <w:widowControl/>
              <w:jc w:val="right"/>
              <w:rPr>
                <w:rFonts w:ascii="Times New Roman" w:hAnsi="Times New Roman" w:cs="Times New Roman"/>
                <w:kern w:val="0"/>
                <w:sz w:val="18"/>
                <w:szCs w:val="18"/>
              </w:rPr>
            </w:pPr>
            <w:r>
              <w:rPr>
                <w:rFonts w:ascii="Times New Roman" w:hAnsi="Times New Roman" w:cs="Times New Roman"/>
                <w:sz w:val="18"/>
                <w:szCs w:val="18"/>
              </w:rPr>
              <w:t>7,028,315.36</w:t>
            </w:r>
          </w:p>
          <w:p w14:paraId="124B4843">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5F938C">
            <w:pPr>
              <w:spacing w:line="240" w:lineRule="exact"/>
              <w:rPr>
                <w:rFonts w:ascii="宋体" w:hAnsi="宋体" w:eastAsia="宋体" w:cs="宋体"/>
                <w:sz w:val="18"/>
                <w:szCs w:val="18"/>
              </w:rPr>
            </w:pPr>
          </w:p>
        </w:tc>
      </w:tr>
      <w:tr w14:paraId="2F32AB62">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DCCF4D">
            <w:pPr>
              <w:spacing w:before="40" w:after="40" w:line="240" w:lineRule="exact"/>
              <w:rPr>
                <w:rFonts w:ascii="宋体" w:hAnsi="宋体" w:eastAsia="宋体" w:cs="宋体"/>
                <w:sz w:val="18"/>
                <w:szCs w:val="18"/>
              </w:rPr>
            </w:pPr>
            <w:r>
              <w:rPr>
                <w:rFonts w:ascii="宋体" w:hAnsi="宋体" w:eastAsia="宋体" w:cs="宋体"/>
                <w:sz w:val="18"/>
                <w:szCs w:val="18"/>
              </w:rPr>
              <w:t>除上述各项之外的其他营业外收入和支出</w:t>
            </w:r>
          </w:p>
        </w:tc>
        <w:tc>
          <w:tcPr>
            <w:tcW w:w="3213" w:type="dxa"/>
            <w:tcBorders>
              <w:top w:val="single" w:color="auto" w:sz="2" w:space="0"/>
              <w:left w:val="single" w:color="auto" w:sz="2" w:space="0"/>
              <w:bottom w:val="single" w:color="auto" w:sz="2" w:space="0"/>
              <w:right w:val="single" w:color="auto" w:sz="2" w:space="0"/>
            </w:tcBorders>
            <w:vAlign w:val="center"/>
          </w:tcPr>
          <w:p w14:paraId="47F06CDF">
            <w:pPr>
              <w:widowControl/>
              <w:jc w:val="right"/>
              <w:rPr>
                <w:rFonts w:ascii="Times New Roman" w:hAnsi="Times New Roman" w:cs="Times New Roman"/>
                <w:kern w:val="0"/>
                <w:sz w:val="18"/>
                <w:szCs w:val="18"/>
              </w:rPr>
            </w:pPr>
            <w:r>
              <w:rPr>
                <w:rFonts w:ascii="Times New Roman" w:hAnsi="Times New Roman" w:cs="Times New Roman"/>
                <w:sz w:val="18"/>
                <w:szCs w:val="18"/>
              </w:rPr>
              <w:t>-62,000.45</w:t>
            </w:r>
          </w:p>
          <w:p w14:paraId="461064A0">
            <w:pPr>
              <w:spacing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D9E4FD">
            <w:pPr>
              <w:spacing w:line="240" w:lineRule="exact"/>
              <w:rPr>
                <w:rFonts w:ascii="宋体" w:hAnsi="宋体" w:eastAsia="宋体" w:cs="宋体"/>
                <w:sz w:val="18"/>
                <w:szCs w:val="18"/>
              </w:rPr>
            </w:pPr>
          </w:p>
        </w:tc>
      </w:tr>
      <w:tr w14:paraId="244CDD20">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E5908A">
            <w:pPr>
              <w:spacing w:before="40" w:after="40" w:line="240" w:lineRule="exact"/>
              <w:rPr>
                <w:rFonts w:ascii="宋体" w:hAnsi="宋体" w:eastAsia="宋体" w:cs="宋体"/>
                <w:sz w:val="18"/>
                <w:szCs w:val="18"/>
              </w:rPr>
            </w:pPr>
            <w:r>
              <w:rPr>
                <w:rFonts w:ascii="宋体" w:hAnsi="宋体" w:eastAsia="宋体" w:cs="宋体"/>
                <w:sz w:val="18"/>
                <w:szCs w:val="18"/>
              </w:rPr>
              <w:t>减：所得税影响额</w:t>
            </w:r>
          </w:p>
        </w:tc>
        <w:tc>
          <w:tcPr>
            <w:tcW w:w="3213" w:type="dxa"/>
            <w:tcBorders>
              <w:top w:val="single" w:color="auto" w:sz="2" w:space="0"/>
              <w:left w:val="single" w:color="auto" w:sz="2" w:space="0"/>
              <w:bottom w:val="single" w:color="auto" w:sz="2" w:space="0"/>
              <w:right w:val="single" w:color="auto" w:sz="2" w:space="0"/>
            </w:tcBorders>
            <w:vAlign w:val="center"/>
          </w:tcPr>
          <w:p w14:paraId="12E6D1FB">
            <w:pPr>
              <w:spacing w:line="240" w:lineRule="exact"/>
              <w:jc w:val="right"/>
              <w:rPr>
                <w:rFonts w:ascii="宋体" w:hAnsi="宋体" w:eastAsia="宋体" w:cs="宋体"/>
                <w:sz w:val="18"/>
                <w:szCs w:val="18"/>
              </w:rPr>
            </w:pPr>
            <w:r>
              <w:rPr>
                <w:rFonts w:ascii="宋体" w:hAnsi="宋体" w:eastAsia="宋体" w:cs="宋体"/>
                <w:sz w:val="18"/>
                <w:szCs w:val="18"/>
              </w:rPr>
              <w:t>-30,755.06</w:t>
            </w:r>
          </w:p>
        </w:tc>
        <w:tc>
          <w:tcPr>
            <w:tcW w:w="3213" w:type="dxa"/>
            <w:tcBorders>
              <w:top w:val="single" w:color="auto" w:sz="2" w:space="0"/>
              <w:left w:val="single" w:color="auto" w:sz="2" w:space="0"/>
              <w:bottom w:val="single" w:color="auto" w:sz="2" w:space="0"/>
              <w:right w:val="single" w:color="auto" w:sz="2" w:space="0"/>
            </w:tcBorders>
            <w:vAlign w:val="center"/>
          </w:tcPr>
          <w:p w14:paraId="3C12477A">
            <w:pPr>
              <w:spacing w:line="240" w:lineRule="exact"/>
              <w:rPr>
                <w:rFonts w:ascii="宋体" w:hAnsi="宋体" w:eastAsia="宋体" w:cs="宋体"/>
                <w:sz w:val="18"/>
                <w:szCs w:val="18"/>
              </w:rPr>
            </w:pPr>
          </w:p>
        </w:tc>
      </w:tr>
      <w:tr w14:paraId="3DB96335">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CBEB3E">
            <w:pPr>
              <w:spacing w:before="40" w:after="40" w:line="240" w:lineRule="exact"/>
              <w:ind w:firstLine="360" w:firstLineChars="200"/>
              <w:rPr>
                <w:rFonts w:ascii="宋体" w:hAnsi="宋体" w:eastAsia="宋体" w:cs="宋体"/>
                <w:sz w:val="18"/>
                <w:szCs w:val="18"/>
              </w:rPr>
            </w:pPr>
            <w:r>
              <w:rPr>
                <w:rFonts w:ascii="宋体" w:hAnsi="宋体" w:eastAsia="宋体" w:cs="宋体"/>
                <w:sz w:val="18"/>
                <w:szCs w:val="18"/>
              </w:rPr>
              <w:t>少数股东权益影响额（税后）</w:t>
            </w:r>
          </w:p>
        </w:tc>
        <w:tc>
          <w:tcPr>
            <w:tcW w:w="3213" w:type="dxa"/>
            <w:tcBorders>
              <w:top w:val="single" w:color="auto" w:sz="2" w:space="0"/>
              <w:left w:val="single" w:color="auto" w:sz="2" w:space="0"/>
              <w:bottom w:val="single" w:color="auto" w:sz="2" w:space="0"/>
              <w:right w:val="single" w:color="auto" w:sz="2" w:space="0"/>
            </w:tcBorders>
            <w:vAlign w:val="center"/>
          </w:tcPr>
          <w:p w14:paraId="310C8277">
            <w:pPr>
              <w:spacing w:line="240" w:lineRule="exact"/>
              <w:jc w:val="right"/>
              <w:rPr>
                <w:rFonts w:ascii="宋体" w:hAnsi="宋体" w:eastAsia="宋体" w:cs="宋体"/>
                <w:sz w:val="18"/>
                <w:szCs w:val="18"/>
              </w:rPr>
            </w:pPr>
            <w:r>
              <w:rPr>
                <w:rFonts w:ascii="宋体" w:hAnsi="宋体" w:eastAsia="宋体" w:cs="宋体"/>
                <w:sz w:val="18"/>
                <w:szCs w:val="18"/>
              </w:rPr>
              <w:t>-155,483.91</w:t>
            </w:r>
          </w:p>
        </w:tc>
        <w:tc>
          <w:tcPr>
            <w:tcW w:w="3213" w:type="dxa"/>
            <w:tcBorders>
              <w:top w:val="single" w:color="auto" w:sz="2" w:space="0"/>
              <w:left w:val="single" w:color="auto" w:sz="2" w:space="0"/>
              <w:bottom w:val="single" w:color="auto" w:sz="2" w:space="0"/>
              <w:right w:val="single" w:color="auto" w:sz="2" w:space="0"/>
            </w:tcBorders>
            <w:vAlign w:val="center"/>
          </w:tcPr>
          <w:p w14:paraId="47F5DA02">
            <w:pPr>
              <w:spacing w:line="240" w:lineRule="exact"/>
              <w:rPr>
                <w:rFonts w:ascii="宋体" w:hAnsi="宋体" w:eastAsia="宋体" w:cs="宋体"/>
                <w:sz w:val="18"/>
                <w:szCs w:val="18"/>
              </w:rPr>
            </w:pPr>
          </w:p>
        </w:tc>
      </w:tr>
      <w:tr w14:paraId="371F6A7A">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1FB1FD">
            <w:pPr>
              <w:spacing w:before="40" w:after="40" w:line="240" w:lineRule="exac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6FBE032">
            <w:pPr>
              <w:spacing w:line="240" w:lineRule="exact"/>
              <w:jc w:val="right"/>
              <w:rPr>
                <w:rFonts w:ascii="宋体" w:hAnsi="宋体" w:eastAsia="宋体" w:cs="宋体"/>
                <w:sz w:val="18"/>
                <w:szCs w:val="18"/>
              </w:rPr>
            </w:pPr>
            <w:r>
              <w:rPr>
                <w:rFonts w:ascii="宋体" w:hAnsi="宋体" w:eastAsia="宋体" w:cs="宋体"/>
                <w:sz w:val="18"/>
                <w:szCs w:val="18"/>
              </w:rPr>
              <w:t>6,887,123.66</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D4BB39">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4B448C08">
      <w:pPr>
        <w:spacing w:before="100" w:after="100" w:line="240" w:lineRule="exact"/>
        <w:rPr>
          <w:rFonts w:ascii="宋体" w:hAnsi="宋体" w:eastAsia="宋体" w:cs="宋体"/>
          <w:sz w:val="18"/>
          <w:szCs w:val="18"/>
        </w:rPr>
      </w:pPr>
      <w:r>
        <w:rPr>
          <w:rFonts w:ascii="宋体" w:hAnsi="宋体" w:eastAsia="宋体" w:cs="宋体"/>
          <w:sz w:val="18"/>
          <w:szCs w:val="18"/>
        </w:rPr>
        <w:t>其他符合非经常性损益定义的损益项目的具体情况：</w:t>
      </w:r>
    </w:p>
    <w:p w14:paraId="1FBCF436">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EF18546">
      <w:pPr>
        <w:spacing w:before="100" w:after="100" w:line="240" w:lineRule="exact"/>
        <w:rPr>
          <w:rFonts w:ascii="宋体" w:hAnsi="宋体" w:eastAsia="宋体" w:cs="宋体"/>
          <w:sz w:val="18"/>
          <w:szCs w:val="18"/>
        </w:rPr>
      </w:pPr>
      <w:r>
        <w:rPr>
          <w:rFonts w:ascii="宋体" w:hAnsi="宋体" w:eastAsia="宋体" w:cs="宋体"/>
          <w:sz w:val="18"/>
          <w:szCs w:val="18"/>
        </w:rPr>
        <w:t>公司不存在其他符合非经常性损益定义的损益项目的具体情况。</w:t>
      </w:r>
    </w:p>
    <w:p w14:paraId="0292971D">
      <w:pPr>
        <w:spacing w:before="40" w:after="40" w:line="240" w:lineRule="exact"/>
        <w:rPr>
          <w:rFonts w:ascii="宋体" w:hAnsi="宋体" w:eastAsia="宋体" w:cs="宋体"/>
          <w:sz w:val="18"/>
          <w:szCs w:val="18"/>
        </w:rPr>
      </w:pPr>
      <w:r>
        <w:rPr>
          <w:rFonts w:ascii="宋体" w:hAnsi="宋体" w:eastAsia="宋体" w:cs="宋体"/>
          <w:sz w:val="18"/>
          <w:szCs w:val="18"/>
        </w:rPr>
        <w:t>将《公开发行证券的公司信息披露解释性公告第1号——非经常性损益》中列举的非经常性损益项目界定为经常性损益项目的情况说明</w:t>
      </w:r>
    </w:p>
    <w:p w14:paraId="4CBBEE5A">
      <w:pPr>
        <w:spacing w:before="40" w:after="4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0B3E317">
      <w:pPr>
        <w:pStyle w:val="3"/>
        <w:spacing w:line="280" w:lineRule="exact"/>
        <w:jc w:val="left"/>
        <w:rPr>
          <w:rFonts w:ascii="宋体" w:hAnsi="宋体" w:cs="宋体"/>
          <w:b/>
          <w:bCs/>
        </w:rPr>
      </w:pPr>
      <w:bookmarkStart w:id="548" w:name="_Toc989437"/>
      <w:r>
        <w:rPr>
          <w:rFonts w:ascii="宋体" w:hAnsi="宋体" w:cs="宋体"/>
          <w:b/>
          <w:bCs/>
        </w:rPr>
        <w:t>2、净资产收益率及每股收益</w:t>
      </w:r>
      <w:bookmarkEnd w:id="548"/>
    </w:p>
    <w:tbl>
      <w:tblPr>
        <w:tblStyle w:val="11"/>
        <w:tblW w:w="9639" w:type="dxa"/>
        <w:tblInd w:w="10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57ADB1CF">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1BC584">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报告期利润</w:t>
            </w:r>
          </w:p>
        </w:tc>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7542D3">
            <w:pPr>
              <w:spacing w:before="40" w:after="40" w:line="240" w:lineRule="exact"/>
              <w:jc w:val="center"/>
              <w:rPr>
                <w:rFonts w:ascii="宋体" w:hAnsi="宋体" w:eastAsia="宋体" w:cs="宋体"/>
                <w:sz w:val="18"/>
                <w:szCs w:val="18"/>
              </w:rPr>
            </w:pPr>
            <w:r>
              <w:rPr>
                <w:rFonts w:ascii="宋体" w:hAnsi="宋体" w:eastAsia="宋体" w:cs="宋体"/>
                <w:sz w:val="18"/>
                <w:szCs w:val="18"/>
              </w:rPr>
              <w:t>加权平均净资产收益率</w:t>
            </w:r>
          </w:p>
        </w:tc>
        <w:tc>
          <w:tcPr>
            <w:tcW w:w="482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1918BD1">
            <w:pPr>
              <w:spacing w:before="40" w:after="40" w:line="240" w:lineRule="exact"/>
              <w:jc w:val="center"/>
              <w:rPr>
                <w:rFonts w:ascii="宋体" w:hAnsi="宋体" w:eastAsia="宋体" w:cs="宋体"/>
                <w:sz w:val="18"/>
                <w:szCs w:val="18"/>
              </w:rPr>
            </w:pPr>
            <w:r>
              <w:rPr>
                <w:rFonts w:ascii="宋体" w:hAnsi="宋体" w:eastAsia="宋体" w:cs="宋体"/>
                <w:sz w:val="18"/>
                <w:szCs w:val="18"/>
              </w:rPr>
              <w:t>每股收益</w:t>
            </w:r>
          </w:p>
        </w:tc>
      </w:tr>
      <w:tr w14:paraId="7D4F8DA9">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8B26B8"/>
        </w:tc>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59367D"/>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F8C247D">
            <w:pPr>
              <w:spacing w:before="40" w:after="40" w:line="240" w:lineRule="exact"/>
              <w:jc w:val="center"/>
              <w:rPr>
                <w:rFonts w:ascii="宋体" w:hAnsi="宋体" w:eastAsia="宋体" w:cs="宋体"/>
                <w:sz w:val="18"/>
                <w:szCs w:val="18"/>
              </w:rPr>
            </w:pPr>
            <w:r>
              <w:rPr>
                <w:rFonts w:ascii="宋体" w:hAnsi="宋体" w:eastAsia="宋体" w:cs="宋体"/>
                <w:sz w:val="18"/>
                <w:szCs w:val="18"/>
              </w:rPr>
              <w:t>基本每股收益（元/股）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60A967">
            <w:pPr>
              <w:spacing w:before="40" w:after="40" w:line="240" w:lineRule="exact"/>
              <w:jc w:val="center"/>
              <w:rPr>
                <w:rFonts w:ascii="宋体" w:hAnsi="宋体" w:eastAsia="宋体" w:cs="宋体"/>
                <w:sz w:val="18"/>
                <w:szCs w:val="18"/>
              </w:rPr>
            </w:pPr>
            <w:r>
              <w:rPr>
                <w:rFonts w:ascii="宋体" w:hAnsi="宋体" w:eastAsia="宋体" w:cs="宋体"/>
                <w:sz w:val="18"/>
                <w:szCs w:val="18"/>
              </w:rPr>
              <w:t>稀释每股收益（元/股）</w:t>
            </w:r>
          </w:p>
        </w:tc>
      </w:tr>
      <w:tr w14:paraId="02C6A9C6">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FA83E7">
            <w:pPr>
              <w:spacing w:before="40" w:after="40" w:line="240" w:lineRule="exact"/>
              <w:rPr>
                <w:rFonts w:ascii="宋体" w:hAnsi="宋体" w:eastAsia="宋体" w:cs="宋体"/>
                <w:sz w:val="18"/>
                <w:szCs w:val="18"/>
              </w:rPr>
            </w:pPr>
            <w:r>
              <w:rPr>
                <w:rFonts w:ascii="宋体" w:hAnsi="宋体" w:eastAsia="宋体" w:cs="宋体"/>
                <w:sz w:val="18"/>
                <w:szCs w:val="18"/>
              </w:rPr>
              <w:t>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78A32A54">
            <w:pPr>
              <w:spacing w:line="240" w:lineRule="exact"/>
              <w:jc w:val="right"/>
              <w:rPr>
                <w:rFonts w:ascii="宋体" w:hAnsi="宋体" w:eastAsia="宋体" w:cs="宋体"/>
                <w:sz w:val="18"/>
                <w:szCs w:val="18"/>
              </w:rPr>
            </w:pPr>
            <w:r>
              <w:rPr>
                <w:rFonts w:ascii="宋体" w:hAnsi="宋体" w:eastAsia="宋体" w:cs="宋体"/>
                <w:sz w:val="18"/>
                <w:szCs w:val="18"/>
              </w:rPr>
              <w:t>8.64%</w:t>
            </w:r>
          </w:p>
        </w:tc>
        <w:tc>
          <w:tcPr>
            <w:tcW w:w="2410" w:type="dxa"/>
            <w:tcBorders>
              <w:top w:val="single" w:color="auto" w:sz="2" w:space="0"/>
              <w:left w:val="single" w:color="auto" w:sz="2" w:space="0"/>
              <w:bottom w:val="single" w:color="auto" w:sz="2" w:space="0"/>
              <w:right w:val="single" w:color="auto" w:sz="2" w:space="0"/>
            </w:tcBorders>
            <w:vAlign w:val="center"/>
          </w:tcPr>
          <w:p w14:paraId="269BCAA2">
            <w:pPr>
              <w:spacing w:line="240" w:lineRule="exact"/>
              <w:jc w:val="right"/>
              <w:rPr>
                <w:rFonts w:ascii="宋体" w:hAnsi="宋体" w:eastAsia="宋体" w:cs="宋体"/>
                <w:sz w:val="18"/>
                <w:szCs w:val="18"/>
              </w:rPr>
            </w:pPr>
            <w:r>
              <w:rPr>
                <w:rFonts w:ascii="宋体" w:hAnsi="宋体" w:eastAsia="宋体" w:cs="宋体"/>
                <w:sz w:val="18"/>
                <w:szCs w:val="18"/>
              </w:rPr>
              <w:t>0.038</w:t>
            </w:r>
          </w:p>
        </w:tc>
        <w:tc>
          <w:tcPr>
            <w:tcW w:w="2410" w:type="dxa"/>
            <w:tcBorders>
              <w:top w:val="single" w:color="auto" w:sz="2" w:space="0"/>
              <w:left w:val="single" w:color="auto" w:sz="2" w:space="0"/>
              <w:bottom w:val="single" w:color="auto" w:sz="2" w:space="0"/>
              <w:right w:val="single" w:color="auto" w:sz="2" w:space="0"/>
            </w:tcBorders>
            <w:vAlign w:val="center"/>
          </w:tcPr>
          <w:p w14:paraId="41B974E7">
            <w:pPr>
              <w:spacing w:line="240" w:lineRule="exact"/>
              <w:jc w:val="right"/>
              <w:rPr>
                <w:rFonts w:ascii="宋体" w:hAnsi="宋体" w:eastAsia="宋体" w:cs="宋体"/>
                <w:sz w:val="18"/>
                <w:szCs w:val="18"/>
              </w:rPr>
            </w:pPr>
            <w:r>
              <w:rPr>
                <w:rFonts w:ascii="宋体" w:hAnsi="宋体" w:eastAsia="宋体" w:cs="宋体"/>
                <w:sz w:val="18"/>
                <w:szCs w:val="18"/>
              </w:rPr>
              <w:t>0.038</w:t>
            </w:r>
          </w:p>
        </w:tc>
      </w:tr>
      <w:tr w14:paraId="0A9C7B9F">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6BBAF8">
            <w:pPr>
              <w:spacing w:before="40" w:after="40" w:line="240" w:lineRule="exact"/>
              <w:rPr>
                <w:rFonts w:ascii="宋体" w:hAnsi="宋体" w:eastAsia="宋体" w:cs="宋体"/>
                <w:sz w:val="18"/>
                <w:szCs w:val="18"/>
              </w:rPr>
            </w:pPr>
            <w:r>
              <w:rPr>
                <w:rFonts w:ascii="宋体" w:hAnsi="宋体" w:eastAsia="宋体" w:cs="宋体"/>
                <w:sz w:val="18"/>
                <w:szCs w:val="18"/>
              </w:rPr>
              <w:t>扣除非经常性损益后归属于公司普通股股东的净利润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31F06BC0">
            <w:pPr>
              <w:spacing w:line="240" w:lineRule="exact"/>
              <w:jc w:val="right"/>
              <w:rPr>
                <w:rFonts w:ascii="宋体" w:hAnsi="宋体" w:eastAsia="宋体" w:cs="宋体"/>
                <w:sz w:val="18"/>
                <w:szCs w:val="18"/>
              </w:rPr>
            </w:pPr>
            <w:r>
              <w:rPr>
                <w:rFonts w:ascii="宋体" w:hAnsi="宋体" w:eastAsia="宋体" w:cs="宋体"/>
                <w:sz w:val="18"/>
                <w:szCs w:val="18"/>
              </w:rPr>
              <w:t>2.73%</w:t>
            </w:r>
          </w:p>
        </w:tc>
        <w:tc>
          <w:tcPr>
            <w:tcW w:w="2410" w:type="dxa"/>
            <w:tcBorders>
              <w:top w:val="single" w:color="auto" w:sz="2" w:space="0"/>
              <w:left w:val="single" w:color="auto" w:sz="2" w:space="0"/>
              <w:bottom w:val="single" w:color="auto" w:sz="2" w:space="0"/>
              <w:right w:val="single" w:color="auto" w:sz="2" w:space="0"/>
            </w:tcBorders>
            <w:vAlign w:val="center"/>
          </w:tcPr>
          <w:p w14:paraId="6F62834F">
            <w:pPr>
              <w:spacing w:line="240" w:lineRule="exact"/>
              <w:jc w:val="right"/>
              <w:rPr>
                <w:rFonts w:ascii="宋体" w:hAnsi="宋体" w:eastAsia="宋体" w:cs="宋体"/>
                <w:sz w:val="18"/>
                <w:szCs w:val="18"/>
              </w:rPr>
            </w:pPr>
            <w:r>
              <w:rPr>
                <w:rFonts w:ascii="宋体" w:hAnsi="宋体" w:eastAsia="宋体" w:cs="宋体"/>
                <w:sz w:val="18"/>
                <w:szCs w:val="18"/>
              </w:rPr>
              <w:t>0.0121</w:t>
            </w:r>
          </w:p>
        </w:tc>
        <w:tc>
          <w:tcPr>
            <w:tcW w:w="2410" w:type="dxa"/>
            <w:tcBorders>
              <w:top w:val="single" w:color="auto" w:sz="2" w:space="0"/>
              <w:left w:val="single" w:color="auto" w:sz="2" w:space="0"/>
              <w:bottom w:val="single" w:color="auto" w:sz="2" w:space="0"/>
              <w:right w:val="single" w:color="auto" w:sz="2" w:space="0"/>
            </w:tcBorders>
            <w:vAlign w:val="center"/>
          </w:tcPr>
          <w:p w14:paraId="31545062">
            <w:pPr>
              <w:spacing w:line="240" w:lineRule="exact"/>
              <w:jc w:val="right"/>
              <w:rPr>
                <w:rFonts w:ascii="宋体" w:hAnsi="宋体" w:eastAsia="宋体" w:cs="宋体"/>
                <w:sz w:val="18"/>
                <w:szCs w:val="18"/>
              </w:rPr>
            </w:pPr>
            <w:r>
              <w:rPr>
                <w:rFonts w:ascii="宋体" w:hAnsi="宋体" w:eastAsia="宋体" w:cs="宋体"/>
                <w:sz w:val="18"/>
                <w:szCs w:val="18"/>
              </w:rPr>
              <w:t>0.0121</w:t>
            </w:r>
          </w:p>
        </w:tc>
      </w:tr>
    </w:tbl>
    <w:p w14:paraId="303F4932">
      <w:pPr>
        <w:pStyle w:val="3"/>
        <w:spacing w:after="100" w:line="280" w:lineRule="exact"/>
        <w:jc w:val="left"/>
        <w:rPr>
          <w:rFonts w:ascii="宋体" w:hAnsi="宋体" w:cs="宋体"/>
          <w:b/>
          <w:bCs/>
        </w:rPr>
      </w:pPr>
      <w:bookmarkStart w:id="549" w:name="_Toc989438"/>
      <w:r>
        <w:rPr>
          <w:rFonts w:ascii="宋体" w:hAnsi="宋体" w:cs="宋体"/>
          <w:b/>
          <w:bCs/>
        </w:rPr>
        <w:t>3、境内外会计准则下会计数据差异</w:t>
      </w:r>
      <w:bookmarkEnd w:id="549"/>
    </w:p>
    <w:p w14:paraId="06E7D31E">
      <w:pPr>
        <w:keepNext/>
        <w:keepLines/>
        <w:spacing w:before="300" w:after="100" w:line="280" w:lineRule="exact"/>
        <w:outlineLvl w:val="3"/>
        <w:rPr>
          <w:rFonts w:ascii="宋体" w:hAnsi="宋体" w:eastAsia="宋体" w:cs="宋体"/>
          <w:b/>
          <w:bCs/>
          <w:szCs w:val="21"/>
        </w:rPr>
      </w:pPr>
      <w:bookmarkStart w:id="550" w:name="_Toc989439"/>
      <w:r>
        <w:rPr>
          <w:rFonts w:ascii="宋体" w:hAnsi="宋体" w:eastAsia="宋体" w:cs="宋体"/>
          <w:b/>
          <w:bCs/>
          <w:szCs w:val="21"/>
        </w:rPr>
        <w:t>（1） 同时按照国际会计准则与按中国会计准则披露的财务报告中净利润和净资产差异情况</w:t>
      </w:r>
      <w:bookmarkEnd w:id="550"/>
    </w:p>
    <w:p w14:paraId="069AD21C">
      <w:pPr>
        <w:spacing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C7B3617">
      <w:pPr>
        <w:keepNext/>
        <w:keepLines/>
        <w:spacing w:before="300" w:after="100" w:line="280" w:lineRule="exact"/>
        <w:outlineLvl w:val="3"/>
        <w:rPr>
          <w:rFonts w:ascii="宋体" w:hAnsi="宋体" w:eastAsia="宋体" w:cs="宋体"/>
          <w:b/>
          <w:bCs/>
          <w:szCs w:val="21"/>
        </w:rPr>
      </w:pPr>
      <w:bookmarkStart w:id="551" w:name="_Toc989440"/>
      <w:r>
        <w:rPr>
          <w:rFonts w:ascii="宋体" w:hAnsi="宋体" w:eastAsia="宋体" w:cs="宋体"/>
          <w:b/>
          <w:bCs/>
          <w:szCs w:val="21"/>
        </w:rPr>
        <w:t>（2） 同时按照境外会计准则与按中国会计准则披露的财务报告中净利润和净资产差异情况</w:t>
      </w:r>
      <w:bookmarkEnd w:id="551"/>
    </w:p>
    <w:p w14:paraId="1DD6F9DB">
      <w:pPr>
        <w:spacing w:after="100" w:line="240" w:lineRule="exac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B3C16CE">
      <w:pPr>
        <w:keepNext/>
        <w:keepLines/>
        <w:spacing w:before="300" w:after="100" w:line="280" w:lineRule="exact"/>
        <w:outlineLvl w:val="3"/>
        <w:rPr>
          <w:rFonts w:ascii="宋体" w:hAnsi="宋体" w:eastAsia="宋体" w:cs="宋体"/>
          <w:b/>
          <w:bCs/>
          <w:szCs w:val="21"/>
        </w:rPr>
      </w:pPr>
      <w:bookmarkStart w:id="552" w:name="_Toc989441"/>
      <w:r>
        <w:rPr>
          <w:rFonts w:ascii="宋体" w:hAnsi="宋体" w:eastAsia="宋体" w:cs="宋体"/>
          <w:b/>
          <w:bCs/>
          <w:szCs w:val="21"/>
        </w:rPr>
        <w:t>（3） 境内外会计准则下会计数据差异原因说明，对已经境外审计机构审计的数据进行差异调节的，应注明该境外机构的名称</w:t>
      </w:r>
      <w:bookmarkEnd w:id="552"/>
    </w:p>
    <w:p w14:paraId="2B43CB48">
      <w:pPr>
        <w:pStyle w:val="3"/>
        <w:spacing w:after="100" w:line="280" w:lineRule="exact"/>
        <w:jc w:val="left"/>
        <w:rPr>
          <w:rFonts w:ascii="宋体" w:hAnsi="宋体" w:cs="宋体"/>
          <w:b/>
          <w:bCs/>
        </w:rPr>
      </w:pPr>
      <w:bookmarkStart w:id="553" w:name="_Toc989442"/>
      <w:r>
        <w:rPr>
          <w:rFonts w:ascii="宋体" w:hAnsi="宋体" w:cs="宋体"/>
          <w:b/>
          <w:bCs/>
        </w:rPr>
        <w:t>4、其他</w:t>
      </w:r>
      <w:bookmarkEnd w:id="553"/>
    </w:p>
    <w:p w14:paraId="62DA58F4"/>
    <w:sectPr>
      <w:headerReference r:id="rId3" w:type="default"/>
      <w:footerReference r:id="rId4"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Song">
    <w:panose1 w:val="02010600040101010101"/>
    <w:charset w:val="86"/>
    <w:family w:val="auto"/>
    <w:pitch w:val="default"/>
    <w:sig w:usb0="80000287" w:usb1="280F3C52" w:usb2="00000016" w:usb3="00000000" w:csb0="0004001F" w:csb1="00000000"/>
  </w:font>
  <w:font w:name="Heiti SC Light">
    <w:panose1 w:val="00000000000000000000"/>
    <w:charset w:val="86"/>
    <w:family w:val="auto"/>
    <w:pitch w:val="default"/>
    <w:sig w:usb0="8000002F" w:usb1="0800004A" w:usb2="00000000" w:usb3="00000000" w:csb0="203E0000" w:csb1="00000000"/>
  </w:font>
  <w:font w:name="Calibri Light">
    <w:altName w:val="Helvetica Neue"/>
    <w:panose1 w:val="00000000000000000000"/>
    <w:charset w:val="00"/>
    <w:family w:val="auto"/>
    <w:pitch w:val="default"/>
    <w:sig w:usb0="00000000" w:usb1="00000000" w:usb2="0000000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_GB2312">
    <w:altName w:val="方正仿宋_GBK"/>
    <w:panose1 w:val="00000000000000000000"/>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宋体-简">
    <w:panose1 w:val="02010800040101010101"/>
    <w:charset w:val="86"/>
    <w:family w:val="auto"/>
    <w:pitch w:val="default"/>
    <w:sig w:usb0="00000001" w:usb1="080F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5D7">
    <w:pPr>
      <w:pStyle w:val="18"/>
    </w:pPr>
    <w:r>
      <w:fldChar w:fldCharType="begin"/>
    </w:r>
    <w:r>
      <w:instrText xml:space="preserve">PAGE   \* MERGEFORMAT</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A14FD">
    <w:pPr>
      <w:pStyle w:val="16"/>
      <w:pBdr>
        <w:bottom w:val="single" w:color="auto" w:sz="6" w:space="1"/>
      </w:pBdr>
    </w:pPr>
    <w:r>
      <w:t>西藏发展股份有限公司2024年半年度报告全文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ED69A8"/>
    <w:multiLevelType w:val="singleLevel"/>
    <w:tmpl w:val="CBED69A8"/>
    <w:lvl w:ilvl="0" w:tentative="0">
      <w:start w:val="1"/>
      <w:numFmt w:val="decimal"/>
      <w:suff w:val="space"/>
      <w:lvlText w:val="%1."/>
      <w:lvlJc w:val="left"/>
    </w:lvl>
  </w:abstractNum>
  <w:abstractNum w:abstractNumId="1">
    <w:nsid w:val="DC864B88"/>
    <w:multiLevelType w:val="singleLevel"/>
    <w:tmpl w:val="DC864B88"/>
    <w:lvl w:ilvl="0" w:tentative="0">
      <w:start w:val="3"/>
      <w:numFmt w:val="decimal"/>
      <w:suff w:val="space"/>
      <w:lvlText w:val="%1."/>
      <w:lvlJc w:val="left"/>
    </w:lvl>
  </w:abstractNum>
  <w:abstractNum w:abstractNumId="2">
    <w:nsid w:val="DD7AF3E2"/>
    <w:multiLevelType w:val="singleLevel"/>
    <w:tmpl w:val="DD7AF3E2"/>
    <w:lvl w:ilvl="0" w:tentative="0">
      <w:start w:val="1"/>
      <w:numFmt w:val="decimal"/>
      <w:suff w:val="nothing"/>
      <w:lvlText w:val="%1．"/>
      <w:lvlJc w:val="left"/>
      <w:pPr>
        <w:ind w:left="0" w:firstLine="400"/>
      </w:pPr>
      <w:rPr>
        <w:rFonts w:hint="default"/>
      </w:rPr>
    </w:lvl>
  </w:abstractNum>
  <w:abstractNum w:abstractNumId="3">
    <w:nsid w:val="043E3C0E"/>
    <w:multiLevelType w:val="singleLevel"/>
    <w:tmpl w:val="043E3C0E"/>
    <w:lvl w:ilvl="0" w:tentative="0">
      <w:start w:val="1"/>
      <w:numFmt w:val="chineseCounting"/>
      <w:suff w:val="space"/>
      <w:lvlText w:val="（%1）"/>
      <w:lvlJc w:val="left"/>
      <w:rPr>
        <w:rFonts w:hint="eastAsia"/>
      </w:rPr>
    </w:lvl>
  </w:abstractNum>
  <w:abstractNum w:abstractNumId="4">
    <w:nsid w:val="09BEC42D"/>
    <w:multiLevelType w:val="singleLevel"/>
    <w:tmpl w:val="09BEC42D"/>
    <w:lvl w:ilvl="0" w:tentative="0">
      <w:start w:val="1"/>
      <w:numFmt w:val="decimal"/>
      <w:suff w:val="nothing"/>
      <w:lvlText w:val="%1．"/>
      <w:lvlJc w:val="left"/>
      <w:pPr>
        <w:ind w:left="0" w:firstLine="400"/>
      </w:pPr>
      <w:rPr>
        <w:rFonts w:hint="default"/>
      </w:rPr>
    </w:lvl>
  </w:abstractNum>
  <w:abstractNum w:abstractNumId="5">
    <w:nsid w:val="0BDD5DFE"/>
    <w:multiLevelType w:val="singleLevel"/>
    <w:tmpl w:val="0BDD5DFE"/>
    <w:lvl w:ilvl="0" w:tentative="0">
      <w:start w:val="1"/>
      <w:numFmt w:val="decimal"/>
      <w:suff w:val="nothing"/>
      <w:lvlText w:val="%1．"/>
      <w:lvlJc w:val="left"/>
      <w:pPr>
        <w:ind w:left="0" w:firstLine="400"/>
      </w:pPr>
      <w:rPr>
        <w:rFonts w:hint="default"/>
      </w:rPr>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3"/>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
  <w:docVars>
    <w:docVar w:name="commondata" w:val="eyJoZGlkIjoiNzQyM2Q5ZWM1MzZlZjMxODQ2NzU4ZWUxOWFkMjAwOTcifQ=="/>
  </w:docVars>
  <w:rsids>
    <w:rsidRoot w:val="00736A96"/>
    <w:rsid w:val="0002159D"/>
    <w:rsid w:val="000D6610"/>
    <w:rsid w:val="000F5D0F"/>
    <w:rsid w:val="0010411D"/>
    <w:rsid w:val="00132729"/>
    <w:rsid w:val="00146EDE"/>
    <w:rsid w:val="00181563"/>
    <w:rsid w:val="00196696"/>
    <w:rsid w:val="00196808"/>
    <w:rsid w:val="001E4D16"/>
    <w:rsid w:val="002273CD"/>
    <w:rsid w:val="00242416"/>
    <w:rsid w:val="00255582"/>
    <w:rsid w:val="00266CBB"/>
    <w:rsid w:val="002A4638"/>
    <w:rsid w:val="002B1DFE"/>
    <w:rsid w:val="002B54D2"/>
    <w:rsid w:val="00300C78"/>
    <w:rsid w:val="0034652C"/>
    <w:rsid w:val="00387AE5"/>
    <w:rsid w:val="003E611A"/>
    <w:rsid w:val="003E6304"/>
    <w:rsid w:val="003F6D31"/>
    <w:rsid w:val="00415B42"/>
    <w:rsid w:val="00455CAF"/>
    <w:rsid w:val="004577C9"/>
    <w:rsid w:val="00464834"/>
    <w:rsid w:val="00485324"/>
    <w:rsid w:val="00497999"/>
    <w:rsid w:val="004A5F97"/>
    <w:rsid w:val="004E7FF5"/>
    <w:rsid w:val="00533209"/>
    <w:rsid w:val="00583AED"/>
    <w:rsid w:val="005858C2"/>
    <w:rsid w:val="005A2778"/>
    <w:rsid w:val="005C6BE4"/>
    <w:rsid w:val="005E6782"/>
    <w:rsid w:val="00623FE0"/>
    <w:rsid w:val="0063382B"/>
    <w:rsid w:val="0063404B"/>
    <w:rsid w:val="0065795E"/>
    <w:rsid w:val="006579B1"/>
    <w:rsid w:val="006668DA"/>
    <w:rsid w:val="006719DA"/>
    <w:rsid w:val="00682F40"/>
    <w:rsid w:val="006853A1"/>
    <w:rsid w:val="006A0226"/>
    <w:rsid w:val="006F0206"/>
    <w:rsid w:val="006F0631"/>
    <w:rsid w:val="006F713D"/>
    <w:rsid w:val="00731853"/>
    <w:rsid w:val="00736A96"/>
    <w:rsid w:val="007459D6"/>
    <w:rsid w:val="00756757"/>
    <w:rsid w:val="0078192C"/>
    <w:rsid w:val="007B25E5"/>
    <w:rsid w:val="007C72AA"/>
    <w:rsid w:val="00805E56"/>
    <w:rsid w:val="00811784"/>
    <w:rsid w:val="00853E27"/>
    <w:rsid w:val="00880C45"/>
    <w:rsid w:val="00943BCC"/>
    <w:rsid w:val="009604DC"/>
    <w:rsid w:val="009B1692"/>
    <w:rsid w:val="009D55F2"/>
    <w:rsid w:val="009E7EA1"/>
    <w:rsid w:val="00A11B3A"/>
    <w:rsid w:val="00A32219"/>
    <w:rsid w:val="00A445E3"/>
    <w:rsid w:val="00A46788"/>
    <w:rsid w:val="00A53399"/>
    <w:rsid w:val="00A76973"/>
    <w:rsid w:val="00A82C81"/>
    <w:rsid w:val="00A87B12"/>
    <w:rsid w:val="00A921E9"/>
    <w:rsid w:val="00A96C1B"/>
    <w:rsid w:val="00AB6394"/>
    <w:rsid w:val="00AD77A0"/>
    <w:rsid w:val="00B13503"/>
    <w:rsid w:val="00B17CC4"/>
    <w:rsid w:val="00B262FB"/>
    <w:rsid w:val="00B67E4B"/>
    <w:rsid w:val="00B7388C"/>
    <w:rsid w:val="00BB0F04"/>
    <w:rsid w:val="00BD0D96"/>
    <w:rsid w:val="00BD44D9"/>
    <w:rsid w:val="00BD6576"/>
    <w:rsid w:val="00BE16A5"/>
    <w:rsid w:val="00BF2360"/>
    <w:rsid w:val="00BF3044"/>
    <w:rsid w:val="00C45539"/>
    <w:rsid w:val="00C61A63"/>
    <w:rsid w:val="00C70EEB"/>
    <w:rsid w:val="00C80FDE"/>
    <w:rsid w:val="00CA7869"/>
    <w:rsid w:val="00CB4524"/>
    <w:rsid w:val="00CB5AE1"/>
    <w:rsid w:val="00CC6842"/>
    <w:rsid w:val="00D03EA8"/>
    <w:rsid w:val="00D241DD"/>
    <w:rsid w:val="00D6449E"/>
    <w:rsid w:val="00D80947"/>
    <w:rsid w:val="00D86188"/>
    <w:rsid w:val="00E04047"/>
    <w:rsid w:val="00E05633"/>
    <w:rsid w:val="00E32C68"/>
    <w:rsid w:val="00E575CE"/>
    <w:rsid w:val="00E67853"/>
    <w:rsid w:val="00F23E48"/>
    <w:rsid w:val="00F31637"/>
    <w:rsid w:val="00FB6CB0"/>
    <w:rsid w:val="00FD65A4"/>
    <w:rsid w:val="02254A5C"/>
    <w:rsid w:val="02647ECA"/>
    <w:rsid w:val="03A444B4"/>
    <w:rsid w:val="03C2759E"/>
    <w:rsid w:val="04F278A4"/>
    <w:rsid w:val="05BE2C1B"/>
    <w:rsid w:val="0969226A"/>
    <w:rsid w:val="0983332C"/>
    <w:rsid w:val="0A3B59B5"/>
    <w:rsid w:val="0AA468C8"/>
    <w:rsid w:val="0AC8660C"/>
    <w:rsid w:val="0C506B43"/>
    <w:rsid w:val="0D1F336B"/>
    <w:rsid w:val="0E0D38D7"/>
    <w:rsid w:val="0E6A4ABA"/>
    <w:rsid w:val="0FD540FA"/>
    <w:rsid w:val="103435D2"/>
    <w:rsid w:val="10AD6EE0"/>
    <w:rsid w:val="11B664F8"/>
    <w:rsid w:val="12A4013D"/>
    <w:rsid w:val="13113756"/>
    <w:rsid w:val="131840CA"/>
    <w:rsid w:val="137F77F2"/>
    <w:rsid w:val="13DD2C97"/>
    <w:rsid w:val="161549FF"/>
    <w:rsid w:val="16210154"/>
    <w:rsid w:val="164E00A6"/>
    <w:rsid w:val="170F4451"/>
    <w:rsid w:val="1747107F"/>
    <w:rsid w:val="18B43502"/>
    <w:rsid w:val="19DD0184"/>
    <w:rsid w:val="1B9E3FF5"/>
    <w:rsid w:val="1CC978E5"/>
    <w:rsid w:val="1D1B47C7"/>
    <w:rsid w:val="1E7A4110"/>
    <w:rsid w:val="1FEA3D4B"/>
    <w:rsid w:val="21793326"/>
    <w:rsid w:val="2590067B"/>
    <w:rsid w:val="25C263BF"/>
    <w:rsid w:val="263C1E2E"/>
    <w:rsid w:val="29121B7F"/>
    <w:rsid w:val="29A44ECD"/>
    <w:rsid w:val="29D15596"/>
    <w:rsid w:val="29F13CA2"/>
    <w:rsid w:val="2CB43679"/>
    <w:rsid w:val="2CD41577"/>
    <w:rsid w:val="2CF97044"/>
    <w:rsid w:val="2F0A3971"/>
    <w:rsid w:val="2FE97C07"/>
    <w:rsid w:val="303D07B7"/>
    <w:rsid w:val="3048241C"/>
    <w:rsid w:val="30F640EA"/>
    <w:rsid w:val="31DD3A9D"/>
    <w:rsid w:val="3276207A"/>
    <w:rsid w:val="32BF68D3"/>
    <w:rsid w:val="33F65C41"/>
    <w:rsid w:val="35325A82"/>
    <w:rsid w:val="35E623C9"/>
    <w:rsid w:val="35ED285D"/>
    <w:rsid w:val="38A50319"/>
    <w:rsid w:val="392C4597"/>
    <w:rsid w:val="3A865F28"/>
    <w:rsid w:val="3B64411A"/>
    <w:rsid w:val="3CD52281"/>
    <w:rsid w:val="3D08531B"/>
    <w:rsid w:val="3F2F6B8F"/>
    <w:rsid w:val="3FE94F8F"/>
    <w:rsid w:val="41474F61"/>
    <w:rsid w:val="41695F2B"/>
    <w:rsid w:val="419B75EA"/>
    <w:rsid w:val="41FA6415"/>
    <w:rsid w:val="421D7172"/>
    <w:rsid w:val="42321EA2"/>
    <w:rsid w:val="43A044FF"/>
    <w:rsid w:val="467770E5"/>
    <w:rsid w:val="4678706D"/>
    <w:rsid w:val="48F637EC"/>
    <w:rsid w:val="491868E5"/>
    <w:rsid w:val="495C4A24"/>
    <w:rsid w:val="4B4C2793"/>
    <w:rsid w:val="4CCA6149"/>
    <w:rsid w:val="4CEE00CD"/>
    <w:rsid w:val="4D2A4601"/>
    <w:rsid w:val="4D5123C6"/>
    <w:rsid w:val="4E8862BB"/>
    <w:rsid w:val="4F3E0865"/>
    <w:rsid w:val="50CA6717"/>
    <w:rsid w:val="50D47596"/>
    <w:rsid w:val="520E6AD8"/>
    <w:rsid w:val="55893465"/>
    <w:rsid w:val="56BC2FA6"/>
    <w:rsid w:val="56D0377C"/>
    <w:rsid w:val="58117322"/>
    <w:rsid w:val="591F044E"/>
    <w:rsid w:val="592941F7"/>
    <w:rsid w:val="59DD74BB"/>
    <w:rsid w:val="5A8E07B6"/>
    <w:rsid w:val="5A9F219A"/>
    <w:rsid w:val="5ACE32A8"/>
    <w:rsid w:val="5AF01470"/>
    <w:rsid w:val="5C213D05"/>
    <w:rsid w:val="5CC2508E"/>
    <w:rsid w:val="5D3513BC"/>
    <w:rsid w:val="5D55380D"/>
    <w:rsid w:val="5DDB053E"/>
    <w:rsid w:val="5EB12A83"/>
    <w:rsid w:val="601F2A4A"/>
    <w:rsid w:val="60A800F7"/>
    <w:rsid w:val="60C110C9"/>
    <w:rsid w:val="62FB30A8"/>
    <w:rsid w:val="632F7697"/>
    <w:rsid w:val="63EE6769"/>
    <w:rsid w:val="6401024A"/>
    <w:rsid w:val="65644F35"/>
    <w:rsid w:val="657734C0"/>
    <w:rsid w:val="669C06FE"/>
    <w:rsid w:val="693C3AD3"/>
    <w:rsid w:val="6958680B"/>
    <w:rsid w:val="6AF26B3F"/>
    <w:rsid w:val="6B086362"/>
    <w:rsid w:val="6D9728DF"/>
    <w:rsid w:val="6DEF55B7"/>
    <w:rsid w:val="6F467459"/>
    <w:rsid w:val="6FDF0BC6"/>
    <w:rsid w:val="701C751A"/>
    <w:rsid w:val="70494ADA"/>
    <w:rsid w:val="71615584"/>
    <w:rsid w:val="72F773E8"/>
    <w:rsid w:val="76C507FC"/>
    <w:rsid w:val="78476AE2"/>
    <w:rsid w:val="79856DD0"/>
    <w:rsid w:val="799040F2"/>
    <w:rsid w:val="79C21DD2"/>
    <w:rsid w:val="7A13262E"/>
    <w:rsid w:val="7A4B45CB"/>
    <w:rsid w:val="7D2D51FD"/>
    <w:rsid w:val="7D422279"/>
    <w:rsid w:val="7D68440B"/>
    <w:rsid w:val="7D7B29C4"/>
    <w:rsid w:val="7EA47CF8"/>
    <w:rsid w:val="7F6A7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156" w:after="156"/>
      <w:outlineLvl w:val="1"/>
    </w:pPr>
    <w:rPr>
      <w:szCs w:val="21"/>
    </w:rPr>
  </w:style>
  <w:style w:type="paragraph" w:styleId="3">
    <w:name w:val="heading 3"/>
    <w:basedOn w:val="1"/>
    <w:next w:val="1"/>
    <w:unhideWhenUsed/>
    <w:qFormat/>
    <w:uiPriority w:val="9"/>
    <w:pPr>
      <w:keepNext/>
      <w:keepLines/>
      <w:spacing w:before="300" w:after="300" w:line="241" w:lineRule="auto"/>
      <w:jc w:val="both"/>
      <w:outlineLvl w:val="2"/>
    </w:pPr>
    <w:rPr>
      <w:rFonts w:eastAsia="宋体"/>
      <w:szCs w:val="21"/>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style>
  <w:style w:type="paragraph" w:styleId="5">
    <w:name w:val="footer"/>
    <w:basedOn w:val="1"/>
    <w:link w:val="20"/>
    <w:unhideWhenUsed/>
    <w:qFormat/>
    <w:uiPriority w:val="99"/>
    <w:pPr>
      <w:tabs>
        <w:tab w:val="center" w:pos="4153"/>
        <w:tab w:val="right" w:pos="8306"/>
      </w:tabs>
      <w:snapToGrid w:val="0"/>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qFormat/>
    <w:uiPriority w:val="39"/>
  </w:style>
  <w:style w:type="paragraph" w:styleId="8">
    <w:name w:val="toc 2"/>
    <w:basedOn w:val="1"/>
    <w:next w:val="1"/>
    <w:autoRedefine/>
    <w:unhideWhenUsed/>
    <w:qFormat/>
    <w:uiPriority w:val="39"/>
    <w:pPr>
      <w:ind w:left="420" w:leftChars="200"/>
    </w:pPr>
  </w:style>
  <w:style w:type="paragraph" w:styleId="9">
    <w:name w:val="Normal (Web)"/>
    <w:basedOn w:val="1"/>
    <w:semiHidden/>
    <w:unhideWhenUsed/>
    <w:qFormat/>
    <w:uiPriority w:val="99"/>
    <w:pPr>
      <w:widowControl/>
      <w:spacing w:before="100" w:beforeAutospacing="1" w:after="100" w:afterAutospacing="1"/>
    </w:pPr>
    <w:rPr>
      <w:rFonts w:ascii="宋体" w:hAnsi="宋体" w:eastAsia="宋体" w:cs="宋体"/>
      <w:kern w:val="0"/>
      <w:sz w:val="24"/>
      <w:szCs w:val="24"/>
    </w:rPr>
  </w:style>
  <w:style w:type="paragraph" w:styleId="10">
    <w:name w:val="annotation subject"/>
    <w:basedOn w:val="4"/>
    <w:next w:val="4"/>
    <w:link w:val="23"/>
    <w:semiHidden/>
    <w:unhideWhenUsed/>
    <w:qFormat/>
    <w:uiPriority w:val="99"/>
    <w:rPr>
      <w:b/>
      <w:bCs/>
    </w:rPr>
  </w:style>
  <w:style w:type="character" w:styleId="13">
    <w:name w:val="Strong"/>
    <w:basedOn w:val="12"/>
    <w:qFormat/>
    <w:uiPriority w:val="22"/>
    <w:rPr>
      <w:b/>
      <w:bCs/>
    </w:rPr>
  </w:style>
  <w:style w:type="character" w:styleId="14">
    <w:name w:val="Hyperlink"/>
    <w:basedOn w:val="12"/>
    <w:semiHidden/>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paragraph" w:customStyle="1" w:styleId="16">
    <w:name w:val="Header 1"/>
    <w:qFormat/>
    <w:uiPriority w:val="0"/>
    <w:pPr>
      <w:jc w:val="right"/>
    </w:pPr>
    <w:rPr>
      <w:rFonts w:ascii="宋体" w:eastAsia="宋体" w:hAnsiTheme="minorHAnsi" w:cstheme="minorBidi"/>
      <w:kern w:val="2"/>
      <w:sz w:val="18"/>
      <w:szCs w:val="18"/>
      <w:lang w:val="en-US" w:eastAsia="zh-CN" w:bidi="ar-SA"/>
    </w:rPr>
  </w:style>
  <w:style w:type="paragraph" w:customStyle="1" w:styleId="17">
    <w:name w:val="heading h1"/>
    <w:basedOn w:val="1"/>
    <w:next w:val="1"/>
    <w:qFormat/>
    <w:uiPriority w:val="9"/>
    <w:pPr>
      <w:keepNext/>
      <w:keepLines/>
      <w:spacing w:before="240" w:after="240" w:line="578" w:lineRule="auto"/>
      <w:outlineLvl w:val="0"/>
    </w:pPr>
    <w:rPr>
      <w:kern w:val="44"/>
      <w:sz w:val="44"/>
      <w:szCs w:val="44"/>
    </w:rPr>
  </w:style>
  <w:style w:type="paragraph" w:customStyle="1" w:styleId="18">
    <w:name w:val="fotter 1"/>
    <w:qFormat/>
    <w:uiPriority w:val="0"/>
    <w:pPr>
      <w:jc w:val="right"/>
    </w:pPr>
    <w:rPr>
      <w:rFonts w:ascii="宋体" w:eastAsia="宋体" w:hAnsiTheme="minorHAnsi" w:cstheme="minorBidi"/>
      <w:kern w:val="2"/>
      <w:sz w:val="18"/>
      <w:szCs w:val="18"/>
      <w:lang w:val="en-US" w:eastAsia="zh-CN" w:bidi="ar-SA"/>
    </w:rPr>
  </w:style>
  <w:style w:type="character" w:customStyle="1" w:styleId="19">
    <w:name w:val="页眉 字符"/>
    <w:basedOn w:val="12"/>
    <w:link w:val="6"/>
    <w:qFormat/>
    <w:uiPriority w:val="99"/>
    <w:rPr>
      <w:sz w:val="18"/>
      <w:szCs w:val="18"/>
    </w:rPr>
  </w:style>
  <w:style w:type="character" w:customStyle="1" w:styleId="20">
    <w:name w:val="页脚 字符"/>
    <w:basedOn w:val="12"/>
    <w:link w:val="5"/>
    <w:qFormat/>
    <w:uiPriority w:val="99"/>
    <w:rPr>
      <w:sz w:val="18"/>
      <w:szCs w:val="18"/>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2">
    <w:name w:val="批注文字 字符"/>
    <w:basedOn w:val="12"/>
    <w:link w:val="4"/>
    <w:qFormat/>
    <w:uiPriority w:val="99"/>
  </w:style>
  <w:style w:type="character" w:customStyle="1" w:styleId="23">
    <w:name w:val="批注主题 字符"/>
    <w:basedOn w:val="22"/>
    <w:link w:val="10"/>
    <w:semiHidden/>
    <w:qFormat/>
    <w:uiPriority w:val="99"/>
    <w:rPr>
      <w:b/>
      <w:bCs/>
    </w:rPr>
  </w:style>
  <w:style w:type="paragraph" w:customStyle="1" w:styleId="24">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5">
    <w:name w:val="修订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6">
    <w:name w:val="修订4"/>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146</Pages>
  <Words>15909</Words>
  <Characters>19680</Characters>
  <Lines>926</Lines>
  <Paragraphs>260</Paragraphs>
  <TotalTime>217</TotalTime>
  <ScaleCrop>false</ScaleCrop>
  <LinksUpToDate>false</LinksUpToDate>
  <CharactersWithSpaces>19916</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2024-08-14T15:53:00Z</dcterms:created>
  <dc:creator>Lenovo</dc:creator>
  <cp:lastModifiedBy>李淼</cp:lastModifiedBy>
  <cp:lastPrinted>2024-08-21T16:22:00Z</cp:lastPrinted>
  <dcterms:modified xsi:type="dcterms:W3CDTF">2024-11-24T11:26:32Z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0B29E5DF1B7EA48DE89C426796A00263_43</vt:lpwstr>
  </property>
</Properties>
</file>